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2"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w:t>
      </w:r>
    </w:p>
    <w:p>
      <w:pPr>
        <w:spacing w:after="0" w:line="22" w:lineRule="exact"/>
        <w:rPr>
          <w:sz w:val="24"/>
          <w:szCs w:val="24"/>
          <w:color w:val="auto"/>
        </w:rPr>
      </w:pPr>
    </w:p>
    <w:p>
      <w:pPr>
        <w:ind w:left="1180" w:hanging="1145"/>
        <w:spacing w:after="0"/>
        <w:tabs>
          <w:tab w:leader="none" w:pos="11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OF 1934</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2015</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spacing w:after="0" w:line="22" w:lineRule="exact"/>
        <w:rPr>
          <w:sz w:val="24"/>
          <w:szCs w:val="24"/>
          <w:color w:val="auto"/>
        </w:rPr>
      </w:pPr>
    </w:p>
    <w:p>
      <w:pPr>
        <w:ind w:left="1180" w:hanging="1145"/>
        <w:spacing w:after="0"/>
        <w:tabs>
          <w:tab w:leader="none" w:pos="11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OF 1934</w:t>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000-12477</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Amgen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6"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6220" w:type="dxa"/>
            <w:vAlign w:val="bottom"/>
          </w:tcPr>
          <w:p>
            <w:pPr>
              <w:jc w:val="center"/>
              <w:ind w:right="383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340" w:type="dxa"/>
            <w:vAlign w:val="bottom"/>
          </w:tcPr>
          <w:p>
            <w:pPr>
              <w:jc w:val="center"/>
              <w:ind w:left="201"/>
              <w:spacing w:after="0"/>
              <w:rPr>
                <w:sz w:val="20"/>
                <w:szCs w:val="20"/>
                <w:color w:val="auto"/>
              </w:rPr>
            </w:pPr>
            <w:r>
              <w:rPr>
                <w:rFonts w:ascii="Times New Roman" w:cs="Times New Roman" w:eastAsia="Times New Roman" w:hAnsi="Times New Roman"/>
                <w:sz w:val="18"/>
                <w:szCs w:val="18"/>
                <w:b w:val="1"/>
                <w:bCs w:val="1"/>
                <w:color w:val="auto"/>
                <w:w w:val="98"/>
              </w:rPr>
              <w:t>95-3540776</w:t>
            </w:r>
          </w:p>
        </w:tc>
      </w:tr>
      <w:tr>
        <w:trPr>
          <w:trHeight w:val="180"/>
        </w:trPr>
        <w:tc>
          <w:tcPr>
            <w:tcW w:w="6220" w:type="dxa"/>
            <w:vAlign w:val="bottom"/>
          </w:tcPr>
          <w:p>
            <w:pPr>
              <w:jc w:val="center"/>
              <w:ind w:right="3837"/>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340" w:type="dxa"/>
            <w:vAlign w:val="bottom"/>
          </w:tcPr>
          <w:p>
            <w:pPr>
              <w:jc w:val="center"/>
              <w:ind w:left="201"/>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6220" w:type="dxa"/>
            <w:vAlign w:val="bottom"/>
          </w:tcPr>
          <w:p>
            <w:pPr>
              <w:jc w:val="center"/>
              <w:ind w:right="3837"/>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40" w:type="dxa"/>
            <w:vAlign w:val="bottom"/>
          </w:tcPr>
          <w:p>
            <w:pPr>
              <w:jc w:val="center"/>
              <w:ind w:left="18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555"/>
        </w:trPr>
        <w:tc>
          <w:tcPr>
            <w:tcW w:w="6220" w:type="dxa"/>
            <w:vAlign w:val="bottom"/>
          </w:tcPr>
          <w:p>
            <w:pPr>
              <w:jc w:val="center"/>
              <w:ind w:right="3837"/>
              <w:spacing w:after="0"/>
              <w:rPr>
                <w:sz w:val="20"/>
                <w:szCs w:val="20"/>
                <w:color w:val="auto"/>
              </w:rPr>
            </w:pPr>
            <w:r>
              <w:rPr>
                <w:rFonts w:ascii="Times New Roman" w:cs="Times New Roman" w:eastAsia="Times New Roman" w:hAnsi="Times New Roman"/>
                <w:sz w:val="18"/>
                <w:szCs w:val="18"/>
                <w:b w:val="1"/>
                <w:bCs w:val="1"/>
                <w:color w:val="auto"/>
              </w:rPr>
              <w:t>One Amgen Center Drive,</w:t>
            </w:r>
          </w:p>
        </w:tc>
        <w:tc>
          <w:tcPr>
            <w:tcW w:w="1340" w:type="dxa"/>
            <w:vAlign w:val="bottom"/>
          </w:tcPr>
          <w:p>
            <w:pPr>
              <w:spacing w:after="0"/>
              <w:rPr>
                <w:sz w:val="24"/>
                <w:szCs w:val="24"/>
                <w:color w:val="auto"/>
              </w:rPr>
            </w:pPr>
          </w:p>
        </w:tc>
      </w:tr>
      <w:tr>
        <w:trPr>
          <w:trHeight w:val="238"/>
        </w:trPr>
        <w:tc>
          <w:tcPr>
            <w:tcW w:w="6220" w:type="dxa"/>
            <w:vAlign w:val="bottom"/>
          </w:tcPr>
          <w:p>
            <w:pPr>
              <w:jc w:val="center"/>
              <w:ind w:right="3837"/>
              <w:spacing w:after="0"/>
              <w:rPr>
                <w:sz w:val="20"/>
                <w:szCs w:val="20"/>
                <w:color w:val="auto"/>
              </w:rPr>
            </w:pPr>
            <w:r>
              <w:rPr>
                <w:rFonts w:ascii="Times New Roman" w:cs="Times New Roman" w:eastAsia="Times New Roman" w:hAnsi="Times New Roman"/>
                <w:sz w:val="18"/>
                <w:szCs w:val="18"/>
                <w:b w:val="1"/>
                <w:bCs w:val="1"/>
                <w:color w:val="auto"/>
              </w:rPr>
              <w:t>Thousand Oaks, California</w:t>
            </w:r>
          </w:p>
        </w:tc>
        <w:tc>
          <w:tcPr>
            <w:tcW w:w="1340" w:type="dxa"/>
            <w:vAlign w:val="bottom"/>
          </w:tcPr>
          <w:p>
            <w:pPr>
              <w:jc w:val="center"/>
              <w:ind w:left="201"/>
              <w:spacing w:after="0"/>
              <w:rPr>
                <w:sz w:val="20"/>
                <w:szCs w:val="20"/>
                <w:color w:val="auto"/>
              </w:rPr>
            </w:pPr>
            <w:r>
              <w:rPr>
                <w:rFonts w:ascii="Times New Roman" w:cs="Times New Roman" w:eastAsia="Times New Roman" w:hAnsi="Times New Roman"/>
                <w:sz w:val="18"/>
                <w:szCs w:val="18"/>
                <w:b w:val="1"/>
                <w:bCs w:val="1"/>
                <w:color w:val="auto"/>
                <w:w w:val="98"/>
              </w:rPr>
              <w:t>91320-1799</w:t>
            </w:r>
          </w:p>
        </w:tc>
      </w:tr>
      <w:tr>
        <w:trPr>
          <w:trHeight w:val="220"/>
        </w:trPr>
        <w:tc>
          <w:tcPr>
            <w:tcW w:w="6220" w:type="dxa"/>
            <w:vAlign w:val="bottom"/>
          </w:tcPr>
          <w:p>
            <w:pPr>
              <w:jc w:val="center"/>
              <w:ind w:right="38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40" w:type="dxa"/>
            <w:vAlign w:val="bottom"/>
          </w:tcPr>
          <w:p>
            <w:pPr>
              <w:jc w:val="center"/>
              <w:ind w:left="181"/>
              <w:spacing w:after="0"/>
              <w:rPr>
                <w:sz w:val="20"/>
                <w:szCs w:val="20"/>
                <w:color w:val="auto"/>
              </w:rPr>
            </w:pPr>
            <w:r>
              <w:rPr>
                <w:rFonts w:ascii="Times New Roman" w:cs="Times New Roman" w:eastAsia="Times New Roman" w:hAnsi="Times New Roman"/>
                <w:sz w:val="14"/>
                <w:szCs w:val="14"/>
                <w:color w:val="auto"/>
              </w:rPr>
              <w:t>(Zip Code)</w:t>
            </w:r>
          </w:p>
        </w:tc>
      </w:tr>
      <w:tr>
        <w:trPr>
          <w:trHeight w:val="370"/>
        </w:trPr>
        <w:tc>
          <w:tcPr>
            <w:tcW w:w="6220" w:type="dxa"/>
            <w:vAlign w:val="bottom"/>
          </w:tcPr>
          <w:p>
            <w:pPr>
              <w:jc w:val="right"/>
              <w:ind w:right="1517"/>
              <w:spacing w:after="0"/>
              <w:rPr>
                <w:sz w:val="20"/>
                <w:szCs w:val="20"/>
                <w:color w:val="auto"/>
              </w:rPr>
            </w:pPr>
            <w:r>
              <w:rPr>
                <w:rFonts w:ascii="Times New Roman" w:cs="Times New Roman" w:eastAsia="Times New Roman" w:hAnsi="Times New Roman"/>
                <w:sz w:val="18"/>
                <w:szCs w:val="18"/>
                <w:b w:val="1"/>
                <w:bCs w:val="1"/>
                <w:color w:val="auto"/>
              </w:rPr>
              <w:t>(805) 447-1000</w:t>
            </w:r>
          </w:p>
        </w:tc>
        <w:tc>
          <w:tcPr>
            <w:tcW w:w="1340" w:type="dxa"/>
            <w:vAlign w:val="bottom"/>
          </w:tcPr>
          <w:p>
            <w:pPr>
              <w:spacing w:after="0"/>
              <w:rPr>
                <w:sz w:val="24"/>
                <w:szCs w:val="24"/>
                <w:color w:val="auto"/>
              </w:rPr>
            </w:pPr>
          </w:p>
        </w:tc>
      </w:tr>
      <w:tr>
        <w:trPr>
          <w:trHeight w:val="234"/>
        </w:trPr>
        <w:tc>
          <w:tcPr>
            <w:tcW w:w="6220" w:type="dxa"/>
            <w:vAlign w:val="bottom"/>
          </w:tcPr>
          <w:p>
            <w:pPr>
              <w:jc w:val="center"/>
              <w:ind w:left="1797"/>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340" w:type="dxa"/>
            <w:vAlign w:val="bottom"/>
          </w:tcPr>
          <w:p>
            <w:pPr>
              <w:spacing w:after="0"/>
              <w:rPr>
                <w:sz w:val="20"/>
                <w:szCs w:val="20"/>
                <w:color w:val="auto"/>
              </w:rPr>
            </w:pPr>
          </w:p>
        </w:tc>
      </w:tr>
    </w:tbl>
    <w:p>
      <w:pPr>
        <w:spacing w:after="0" w:line="144" w:lineRule="exact"/>
        <w:rPr>
          <w:sz w:val="24"/>
          <w:szCs w:val="24"/>
          <w:color w:val="auto"/>
        </w:rPr>
      </w:pPr>
    </w:p>
    <w:p>
      <w:pPr>
        <w:jc w:val="both"/>
        <w:ind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jc w:val="both"/>
        <w:ind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376" w:right="239" w:bottom="1440" w:gutter="0" w:footer="0" w:header="0"/>
        </w:sectPr>
      </w:pPr>
    </w:p>
    <w:p>
      <w:pPr>
        <w:spacing w:after="0" w:line="124" w:lineRule="exact"/>
        <w:rPr>
          <w:sz w:val="24"/>
          <w:szCs w:val="24"/>
          <w:color w:val="auto"/>
        </w:rPr>
      </w:pPr>
    </w:p>
    <w:p>
      <w:pPr>
        <w:ind w:left="2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25" w:lineRule="exact"/>
        <w:rPr>
          <w:sz w:val="24"/>
          <w:szCs w:val="24"/>
          <w:color w:val="auto"/>
        </w:rPr>
      </w:pPr>
    </w:p>
    <w:p>
      <w:pPr>
        <w:sectPr>
          <w:pgSz w:w="11900" w:h="16838" w:orient="portrait"/>
          <w:cols w:equalWidth="0" w:num="4">
            <w:col w:w="2060" w:space="500"/>
            <w:col w:w="1460" w:space="720"/>
            <w:col w:w="3440" w:space="720"/>
            <w:col w:w="2520"/>
          </w:cols>
          <w:pgMar w:left="240" w:top="376" w:right="239" w:bottom="1440" w:gutter="0" w:footer="0" w:header="0"/>
          <w:type w:val="continuous"/>
        </w:sectPr>
      </w:pPr>
    </w:p>
    <w:p>
      <w:pPr>
        <w:ind w:left="500" w:right="256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28, 2015, the registrant had 758,250,346 shares of common stock, $0.0001 par value, outstanding.</w:t>
      </w:r>
    </w:p>
    <w:p>
      <w:pPr>
        <w:sectPr>
          <w:pgSz w:w="11900" w:h="16838" w:orient="portrait"/>
          <w:cols w:equalWidth="0" w:num="1">
            <w:col w:w="11420"/>
          </w:cols>
          <w:pgMar w:left="240" w:top="376" w:right="239" w:bottom="1440" w:gutter="0" w:footer="0" w:header="0"/>
          <w:type w:val="continuous"/>
        </w:sectPr>
      </w:pPr>
    </w:p>
    <w:bookmarkStart w:id="1" w:name="page2"/>
    <w:bookmarkEnd w:id="1"/>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4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96"/>
        </w:trPr>
        <w:tc>
          <w:tcPr>
            <w:tcW w:w="3140" w:type="dxa"/>
            <w:vAlign w:val="bottom"/>
            <w:tcBorders>
              <w:bottom w:val="single" w:sz="8" w:color="0000FF"/>
            </w:tcBorders>
            <w:gridSpan w:val="9"/>
          </w:tcPr>
          <w:p>
            <w:pPr>
              <w:spacing w:after="0" w:line="170" w:lineRule="exact"/>
              <w:rPr>
                <w:rFonts w:ascii="Times New Roman" w:cs="Times New Roman" w:eastAsia="Times New Roman" w:hAnsi="Times New Roman"/>
                <w:sz w:val="18"/>
                <w:szCs w:val="18"/>
                <w:b w:val="1"/>
                <w:bCs w:val="1"/>
                <w:color w:val="0000FF"/>
                <w:w w:val="98"/>
              </w:rPr>
            </w:pPr>
            <w:hyperlink w:anchor="page2">
              <w:r>
                <w:rPr>
                  <w:rFonts w:ascii="Times New Roman" w:cs="Times New Roman" w:eastAsia="Times New Roman" w:hAnsi="Times New Roman"/>
                  <w:sz w:val="18"/>
                  <w:szCs w:val="18"/>
                  <w:b w:val="1"/>
                  <w:bCs w:val="1"/>
                  <w:color w:val="0000FF"/>
                  <w:w w:val="98"/>
                </w:rPr>
                <w:t>PART I - FINANCIAL INFORMATION</w:t>
              </w:r>
            </w:hyperlink>
          </w:p>
        </w:tc>
        <w:tc>
          <w:tcPr>
            <w:tcW w:w="6520" w:type="dxa"/>
            <w:vAlign w:val="bottom"/>
            <w:gridSpan w:val="9"/>
          </w:tcPr>
          <w:p>
            <w:pPr>
              <w:spacing w:after="0"/>
              <w:rPr>
                <w:sz w:val="17"/>
                <w:szCs w:val="17"/>
                <w:color w:val="auto"/>
              </w:rPr>
            </w:pPr>
          </w:p>
        </w:tc>
        <w:tc>
          <w:tcPr>
            <w:tcW w:w="10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Times New Roman" w:cs="Times New Roman" w:eastAsia="Times New Roman" w:hAnsi="Times New Roman"/>
                <w:sz w:val="18"/>
                <w:szCs w:val="18"/>
                <w:b w:val="1"/>
                <w:bCs w:val="1"/>
                <w:color w:val="0000FF"/>
                <w:w w:val="88"/>
              </w:rPr>
            </w:pPr>
            <w:hyperlink w:anchor="page2">
              <w:r>
                <w:rPr>
                  <w:rFonts w:ascii="Times New Roman" w:cs="Times New Roman" w:eastAsia="Times New Roman" w:hAnsi="Times New Roman"/>
                  <w:sz w:val="18"/>
                  <w:szCs w:val="18"/>
                  <w:b w:val="1"/>
                  <w:bCs w:val="1"/>
                  <w:color w:val="0000FF"/>
                  <w:w w:val="88"/>
                </w:rPr>
                <w:t>1</w:t>
              </w:r>
            </w:hyperlink>
          </w:p>
        </w:tc>
        <w:tc>
          <w:tcPr>
            <w:tcW w:w="20" w:type="dxa"/>
            <w:vAlign w:val="bottom"/>
          </w:tcPr>
          <w:p>
            <w:pPr>
              <w:spacing w:after="0"/>
              <w:rPr>
                <w:sz w:val="17"/>
                <w:szCs w:val="17"/>
                <w:color w:val="auto"/>
              </w:rPr>
            </w:pP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1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7"/>
              </w:rPr>
            </w:pPr>
            <w:hyperlink w:anchor="page3">
              <w:r>
                <w:rPr>
                  <w:rFonts w:ascii="Times New Roman" w:cs="Times New Roman" w:eastAsia="Times New Roman" w:hAnsi="Times New Roman"/>
                  <w:sz w:val="18"/>
                  <w:szCs w:val="18"/>
                  <w:color w:val="0000FF"/>
                  <w:w w:val="97"/>
                </w:rPr>
                <w:t>FINANCIAL STATEMENTS</w:t>
              </w:r>
            </w:hyperlink>
          </w:p>
        </w:tc>
        <w:tc>
          <w:tcPr>
            <w:tcW w:w="6520" w:type="dxa"/>
            <w:vAlign w:val="bottom"/>
            <w:gridSpan w:val="9"/>
          </w:tcPr>
          <w:p>
            <w:pPr>
              <w:spacing w:after="0"/>
              <w:rPr>
                <w:sz w:val="22"/>
                <w:szCs w:val="22"/>
                <w:color w:val="auto"/>
              </w:rPr>
            </w:pPr>
          </w:p>
        </w:tc>
        <w:tc>
          <w:tcPr>
            <w:tcW w:w="106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1</w:t>
              </w:r>
            </w:hyperlink>
          </w:p>
        </w:tc>
        <w:tc>
          <w:tcPr>
            <w:tcW w:w="20" w:type="dxa"/>
            <w:vAlign w:val="bottom"/>
          </w:tcPr>
          <w:p>
            <w:pPr>
              <w:spacing w:after="0"/>
              <w:rPr>
                <w:sz w:val="22"/>
                <w:szCs w:val="22"/>
                <w:color w:val="auto"/>
              </w:rPr>
            </w:pPr>
          </w:p>
        </w:tc>
      </w:tr>
      <w:tr>
        <w:trPr>
          <w:trHeight w:val="250"/>
        </w:trPr>
        <w:tc>
          <w:tcPr>
            <w:tcW w:w="980" w:type="dxa"/>
            <w:vAlign w:val="bottom"/>
          </w:tcPr>
          <w:p>
            <w:pPr>
              <w:spacing w:after="0"/>
              <w:rPr>
                <w:sz w:val="21"/>
                <w:szCs w:val="21"/>
                <w:color w:val="auto"/>
              </w:rPr>
            </w:pPr>
          </w:p>
        </w:tc>
        <w:tc>
          <w:tcPr>
            <w:tcW w:w="47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8"/>
              </w:rPr>
            </w:pPr>
            <w:hyperlink w:anchor="page3">
              <w:r>
                <w:rPr>
                  <w:rFonts w:ascii="Times New Roman" w:cs="Times New Roman" w:eastAsia="Times New Roman" w:hAnsi="Times New Roman"/>
                  <w:sz w:val="18"/>
                  <w:szCs w:val="18"/>
                  <w:color w:val="0000FF"/>
                  <w:w w:val="98"/>
                </w:rPr>
                <w:t>CONDENSED CONSOLIDATED STATEMENTS OF INCOME</w:t>
              </w:r>
            </w:hyperlink>
          </w:p>
        </w:tc>
        <w:tc>
          <w:tcPr>
            <w:tcW w:w="3960" w:type="dxa"/>
            <w:vAlign w:val="bottom"/>
            <w:gridSpan w:val="6"/>
          </w:tcPr>
          <w:p>
            <w:pPr>
              <w:spacing w:after="0"/>
              <w:rPr>
                <w:sz w:val="21"/>
                <w:szCs w:val="21"/>
                <w:color w:val="auto"/>
              </w:rPr>
            </w:pPr>
          </w:p>
        </w:tc>
        <w:tc>
          <w:tcPr>
            <w:tcW w:w="10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1</w:t>
              </w:r>
            </w:hyperlink>
          </w:p>
        </w:tc>
        <w:tc>
          <w:tcPr>
            <w:tcW w:w="20" w:type="dxa"/>
            <w:vAlign w:val="bottom"/>
          </w:tcPr>
          <w:p>
            <w:pPr>
              <w:spacing w:after="0"/>
              <w:rPr>
                <w:sz w:val="21"/>
                <w:szCs w:val="21"/>
                <w:color w:val="auto"/>
              </w:rPr>
            </w:pPr>
          </w:p>
        </w:tc>
      </w:tr>
      <w:tr>
        <w:trPr>
          <w:trHeight w:val="250"/>
        </w:trPr>
        <w:tc>
          <w:tcPr>
            <w:tcW w:w="980" w:type="dxa"/>
            <w:vAlign w:val="bottom"/>
          </w:tcPr>
          <w:p>
            <w:pPr>
              <w:spacing w:after="0"/>
              <w:rPr>
                <w:sz w:val="21"/>
                <w:szCs w:val="21"/>
                <w:color w:val="auto"/>
              </w:rPr>
            </w:pPr>
          </w:p>
        </w:tc>
        <w:tc>
          <w:tcPr>
            <w:tcW w:w="62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8"/>
              </w:rPr>
            </w:pPr>
            <w:hyperlink w:anchor="page3">
              <w:r>
                <w:rPr>
                  <w:rFonts w:ascii="Times New Roman" w:cs="Times New Roman" w:eastAsia="Times New Roman" w:hAnsi="Times New Roman"/>
                  <w:sz w:val="18"/>
                  <w:szCs w:val="18"/>
                  <w:color w:val="0000FF"/>
                  <w:w w:val="98"/>
                </w:rPr>
                <w:t>CONDENSED CONSOLIDATED STATEMENTS OF COMPREHENSIVE INCOME</w:t>
              </w:r>
            </w:hyperlink>
          </w:p>
        </w:tc>
        <w:tc>
          <w:tcPr>
            <w:tcW w:w="2400" w:type="dxa"/>
            <w:vAlign w:val="bottom"/>
            <w:gridSpan w:val="2"/>
          </w:tcPr>
          <w:p>
            <w:pPr>
              <w:spacing w:after="0"/>
              <w:rPr>
                <w:sz w:val="21"/>
                <w:szCs w:val="21"/>
                <w:color w:val="auto"/>
              </w:rPr>
            </w:pPr>
          </w:p>
        </w:tc>
        <w:tc>
          <w:tcPr>
            <w:tcW w:w="10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2</w:t>
              </w:r>
            </w:hyperlink>
          </w:p>
        </w:tc>
        <w:tc>
          <w:tcPr>
            <w:tcW w:w="20" w:type="dxa"/>
            <w:vAlign w:val="bottom"/>
          </w:tcPr>
          <w:p>
            <w:pPr>
              <w:spacing w:after="0"/>
              <w:rPr>
                <w:sz w:val="21"/>
                <w:szCs w:val="21"/>
                <w:color w:val="auto"/>
              </w:rPr>
            </w:pPr>
          </w:p>
        </w:tc>
      </w:tr>
      <w:tr>
        <w:trPr>
          <w:trHeight w:val="250"/>
        </w:trPr>
        <w:tc>
          <w:tcPr>
            <w:tcW w:w="980" w:type="dxa"/>
            <w:vAlign w:val="bottom"/>
          </w:tcPr>
          <w:p>
            <w:pPr>
              <w:spacing w:after="0"/>
              <w:rPr>
                <w:sz w:val="21"/>
                <w:szCs w:val="21"/>
                <w:color w:val="auto"/>
              </w:rPr>
            </w:pPr>
          </w:p>
        </w:tc>
        <w:tc>
          <w:tcPr>
            <w:tcW w:w="8680" w:type="dxa"/>
            <w:vAlign w:val="bottom"/>
            <w:gridSpan w:val="17"/>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CONDENSED CONSOLIDATED BALANCE SHEETS</w:t>
              </w:r>
            </w:hyperlink>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3</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8680" w:type="dxa"/>
            <w:vAlign w:val="bottom"/>
            <w:gridSpan w:val="17"/>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CONDENSED CONSOLIDATED STATEMENTS OF CASH FLOWS</w:t>
              </w:r>
            </w:hyperlink>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4</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8680" w:type="dxa"/>
            <w:vAlign w:val="bottom"/>
            <w:gridSpan w:val="17"/>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NOTES TO CONDENSED CONSOLIDATED FINANCIAL STATEMENTS</w:t>
              </w:r>
            </w:hyperlink>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5</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7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w:anchor="page26">
              <w:r>
                <w:rPr>
                  <w:rFonts w:ascii="Times New Roman" w:cs="Times New Roman" w:eastAsia="Times New Roman" w:hAnsi="Times New Roman"/>
                  <w:sz w:val="18"/>
                  <w:szCs w:val="18"/>
                  <w:color w:val="0000FF"/>
                  <w:w w:val="99"/>
                </w:rPr>
                <w:t>MANAGEMENT’S DISCUSSION AND ANALYSIS OF FINANCIAL CONDITION AND RESULTS OF</w:t>
              </w:r>
            </w:hyperlink>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8680" w:type="dxa"/>
            <w:vAlign w:val="bottom"/>
            <w:gridSpan w:val="17"/>
          </w:tcPr>
          <w:p>
            <w:pPr>
              <w:spacing w:after="0" w:line="196" w:lineRule="exact"/>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OPERATIONS</w:t>
              </w:r>
            </w:hyperlink>
          </w:p>
        </w:tc>
        <w:tc>
          <w:tcPr>
            <w:tcW w:w="1180" w:type="dxa"/>
            <w:vAlign w:val="bottom"/>
            <w:gridSpan w:val="4"/>
          </w:tcPr>
          <w:p>
            <w:pPr>
              <w:jc w:val="right"/>
              <w:ind w:right="20"/>
              <w:spacing w:after="0" w:line="196" w:lineRule="exact"/>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25</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680" w:type="dxa"/>
            <w:vAlign w:val="bottom"/>
            <w:gridSpan w:val="17"/>
          </w:tcPr>
          <w:p>
            <w:pPr>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QUANTITATIVE AND QUALITATIVE DISCLOSURES ABOUT MARKET RISK</w:t>
              </w:r>
            </w:hyperlink>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34</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6080" w:type="dxa"/>
            <w:vAlign w:val="bottom"/>
            <w:gridSpan w:val="14"/>
          </w:tcPr>
          <w:p>
            <w:pPr>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CONTROLS AND PROCEDURES</w:t>
              </w:r>
            </w:hyperlink>
          </w:p>
        </w:tc>
        <w:tc>
          <w:tcPr>
            <w:tcW w:w="2600" w:type="dxa"/>
            <w:vAlign w:val="bottom"/>
            <w:gridSpan w:val="3"/>
          </w:tcPr>
          <w:p>
            <w:pPr>
              <w:spacing w:after="0"/>
              <w:rPr>
                <w:sz w:val="21"/>
                <w:szCs w:val="21"/>
                <w:color w:val="auto"/>
              </w:rPr>
            </w:pPr>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35</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60" w:type="dxa"/>
            <w:vAlign w:val="bottom"/>
            <w:gridSpan w:val="18"/>
          </w:tcPr>
          <w:p>
            <w:pPr>
              <w:spacing w:after="0"/>
              <w:rPr>
                <w:rFonts w:ascii="Times New Roman" w:cs="Times New Roman" w:eastAsia="Times New Roman" w:hAnsi="Times New Roman"/>
                <w:sz w:val="18"/>
                <w:szCs w:val="18"/>
                <w:b w:val="1"/>
                <w:bCs w:val="1"/>
                <w:color w:val="0000FF"/>
              </w:rPr>
            </w:pPr>
            <w:hyperlink w:anchor="page37">
              <w:r>
                <w:rPr>
                  <w:rFonts w:ascii="Times New Roman" w:cs="Times New Roman" w:eastAsia="Times New Roman" w:hAnsi="Times New Roman"/>
                  <w:sz w:val="18"/>
                  <w:szCs w:val="18"/>
                  <w:b w:val="1"/>
                  <w:bCs w:val="1"/>
                  <w:color w:val="0000FF"/>
                </w:rPr>
                <w:t>PART II - OTHER INFORMATION</w:t>
              </w:r>
            </w:hyperlink>
          </w:p>
        </w:tc>
        <w:tc>
          <w:tcPr>
            <w:tcW w:w="1180" w:type="dxa"/>
            <w:vAlign w:val="bottom"/>
            <w:gridSpan w:val="4"/>
          </w:tcPr>
          <w:p>
            <w:pPr>
              <w:jc w:val="right"/>
              <w:ind w:right="20"/>
              <w:spacing w:after="0"/>
              <w:rPr>
                <w:rFonts w:ascii="Times New Roman" w:cs="Times New Roman" w:eastAsia="Times New Roman" w:hAnsi="Times New Roman"/>
                <w:sz w:val="18"/>
                <w:szCs w:val="18"/>
                <w:b w:val="1"/>
                <w:bCs w:val="1"/>
                <w:color w:val="0000FF"/>
              </w:rPr>
            </w:pPr>
            <w:hyperlink w:anchor="page37">
              <w:r>
                <w:rPr>
                  <w:rFonts w:ascii="Times New Roman" w:cs="Times New Roman" w:eastAsia="Times New Roman" w:hAnsi="Times New Roman"/>
                  <w:sz w:val="18"/>
                  <w:szCs w:val="18"/>
                  <w:b w:val="1"/>
                  <w:bCs w:val="1"/>
                  <w:color w:val="0000FF"/>
                </w:rPr>
                <w:t>35</w:t>
              </w:r>
            </w:hyperlink>
          </w:p>
        </w:tc>
      </w:tr>
      <w:tr>
        <w:trPr>
          <w:trHeight w:val="20"/>
        </w:trPr>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8"/>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gridSpan w:val="6"/>
          </w:tcPr>
          <w:p>
            <w:pPr>
              <w:spacing w:after="0"/>
              <w:rPr>
                <w:rFonts w:ascii="Times New Roman" w:cs="Times New Roman" w:eastAsia="Times New Roman" w:hAnsi="Times New Roman"/>
                <w:sz w:val="18"/>
                <w:szCs w:val="18"/>
                <w:color w:val="0000FF"/>
                <w:w w:val="99"/>
              </w:rPr>
            </w:pPr>
            <w:hyperlink w:anchor="page37">
              <w:r>
                <w:rPr>
                  <w:rFonts w:ascii="Times New Roman" w:cs="Times New Roman" w:eastAsia="Times New Roman" w:hAnsi="Times New Roman"/>
                  <w:sz w:val="18"/>
                  <w:szCs w:val="18"/>
                  <w:color w:val="0000FF"/>
                  <w:w w:val="99"/>
                </w:rPr>
                <w:t>LEGAL PROCEEDINGS</w:t>
              </w:r>
            </w:hyperlink>
          </w:p>
        </w:tc>
        <w:tc>
          <w:tcPr>
            <w:tcW w:w="6800" w:type="dxa"/>
            <w:vAlign w:val="bottom"/>
            <w:gridSpan w:val="11"/>
          </w:tcPr>
          <w:p>
            <w:pPr>
              <w:spacing w:after="0"/>
              <w:rPr>
                <w:sz w:val="21"/>
                <w:szCs w:val="21"/>
                <w:color w:val="auto"/>
              </w:rPr>
            </w:pPr>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35</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0" w:type="dxa"/>
            <w:vAlign w:val="bottom"/>
            <w:gridSpan w:val="8"/>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880" w:type="dxa"/>
            <w:vAlign w:val="bottom"/>
            <w:gridSpan w:val="6"/>
          </w:tcPr>
          <w:p>
            <w:pPr>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RISK FACTORS</w:t>
              </w:r>
            </w:hyperlink>
          </w:p>
        </w:tc>
        <w:tc>
          <w:tcPr>
            <w:tcW w:w="6800" w:type="dxa"/>
            <w:vAlign w:val="bottom"/>
            <w:gridSpan w:val="11"/>
          </w:tcPr>
          <w:p>
            <w:pPr>
              <w:spacing w:after="0"/>
              <w:rPr>
                <w:sz w:val="21"/>
                <w:szCs w:val="21"/>
                <w:color w:val="auto"/>
              </w:rPr>
            </w:pPr>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35</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840" w:type="dxa"/>
            <w:vAlign w:val="bottom"/>
            <w:gridSpan w:val="10"/>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0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2600" w:type="dxa"/>
            <w:vAlign w:val="bottom"/>
            <w:gridSpan w:val="3"/>
          </w:tcPr>
          <w:p>
            <w:pPr>
              <w:spacing w:after="0"/>
              <w:rPr>
                <w:sz w:val="21"/>
                <w:szCs w:val="21"/>
                <w:color w:val="auto"/>
              </w:rPr>
            </w:pPr>
          </w:p>
        </w:tc>
        <w:tc>
          <w:tcPr>
            <w:tcW w:w="11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38</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60" w:type="dxa"/>
            <w:vAlign w:val="bottom"/>
            <w:gridSpan w:val="12"/>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80" w:type="dxa"/>
            <w:vAlign w:val="bottom"/>
            <w:gridSpan w:val="14"/>
          </w:tcPr>
          <w:p>
            <w:pPr>
              <w:spacing w:after="0"/>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EXHIBITS</w:t>
              </w:r>
            </w:hyperlink>
          </w:p>
        </w:tc>
        <w:tc>
          <w:tcPr>
            <w:tcW w:w="2600" w:type="dxa"/>
            <w:vAlign w:val="bottom"/>
            <w:gridSpan w:val="3"/>
          </w:tcPr>
          <w:p>
            <w:pPr>
              <w:spacing w:after="0"/>
              <w:rPr>
                <w:sz w:val="21"/>
                <w:szCs w:val="21"/>
                <w:color w:val="auto"/>
              </w:rPr>
            </w:pPr>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38</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rFonts w:ascii="Times New Roman" w:cs="Times New Roman" w:eastAsia="Times New Roman" w:hAnsi="Times New Roman"/>
                <w:sz w:val="18"/>
                <w:szCs w:val="18"/>
                <w:color w:val="0000FF"/>
                <w:w w:val="96"/>
              </w:rPr>
            </w:pPr>
            <w:hyperlink w:anchor="page40">
              <w:r>
                <w:rPr>
                  <w:rFonts w:ascii="Times New Roman" w:cs="Times New Roman" w:eastAsia="Times New Roman" w:hAnsi="Times New Roman"/>
                  <w:sz w:val="18"/>
                  <w:szCs w:val="18"/>
                  <w:color w:val="0000FF"/>
                  <w:w w:val="96"/>
                </w:rPr>
                <w:t>SIGNATURES</w:t>
              </w:r>
            </w:hyperlink>
          </w:p>
        </w:tc>
        <w:tc>
          <w:tcPr>
            <w:tcW w:w="8560" w:type="dxa"/>
            <w:vAlign w:val="bottom"/>
            <w:gridSpan w:val="16"/>
          </w:tcPr>
          <w:p>
            <w:pPr>
              <w:spacing w:after="0"/>
              <w:rPr>
                <w:sz w:val="21"/>
                <w:szCs w:val="21"/>
                <w:color w:val="auto"/>
              </w:rPr>
            </w:pPr>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39</w:t>
              </w:r>
            </w:hyperlink>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0" w:type="dxa"/>
            <w:vAlign w:val="bottom"/>
            <w:gridSpan w:val="3"/>
          </w:tcPr>
          <w:p>
            <w:pPr>
              <w:spacing w:after="0"/>
              <w:rPr>
                <w:rFonts w:ascii="Times New Roman" w:cs="Times New Roman" w:eastAsia="Times New Roman" w:hAnsi="Times New Roman"/>
                <w:sz w:val="18"/>
                <w:szCs w:val="18"/>
                <w:b w:val="1"/>
                <w:bCs w:val="1"/>
                <w:color w:val="0000FF"/>
                <w:w w:val="98"/>
              </w:rPr>
            </w:pPr>
            <w:hyperlink w:anchor="page41">
              <w:r>
                <w:rPr>
                  <w:rFonts w:ascii="Times New Roman" w:cs="Times New Roman" w:eastAsia="Times New Roman" w:hAnsi="Times New Roman"/>
                  <w:sz w:val="18"/>
                  <w:szCs w:val="18"/>
                  <w:b w:val="1"/>
                  <w:bCs w:val="1"/>
                  <w:color w:val="0000FF"/>
                  <w:w w:val="98"/>
                </w:rPr>
                <w:t>INDEX TO EXHIBITS</w:t>
              </w:r>
            </w:hyperlink>
          </w:p>
        </w:tc>
        <w:tc>
          <w:tcPr>
            <w:tcW w:w="7860" w:type="dxa"/>
            <w:vAlign w:val="bottom"/>
            <w:gridSpan w:val="15"/>
          </w:tcPr>
          <w:p>
            <w:pPr>
              <w:spacing w:after="0"/>
              <w:rPr>
                <w:sz w:val="21"/>
                <w:szCs w:val="21"/>
                <w:color w:val="auto"/>
              </w:rPr>
            </w:pPr>
          </w:p>
        </w:tc>
        <w:tc>
          <w:tcPr>
            <w:tcW w:w="1180" w:type="dxa"/>
            <w:vAlign w:val="bottom"/>
            <w:gridSpan w:val="4"/>
          </w:tcPr>
          <w:p>
            <w:pPr>
              <w:jc w:val="right"/>
              <w:ind w:right="20"/>
              <w:spacing w:after="0"/>
              <w:rPr>
                <w:rFonts w:ascii="Times New Roman" w:cs="Times New Roman" w:eastAsia="Times New Roman" w:hAnsi="Times New Roman"/>
                <w:sz w:val="18"/>
                <w:szCs w:val="18"/>
                <w:b w:val="1"/>
                <w:bCs w:val="1"/>
                <w:color w:val="0000FF"/>
              </w:rPr>
            </w:pPr>
            <w:hyperlink w:anchor="page41">
              <w:r>
                <w:rPr>
                  <w:rFonts w:ascii="Times New Roman" w:cs="Times New Roman" w:eastAsia="Times New Roman" w:hAnsi="Times New Roman"/>
                  <w:sz w:val="18"/>
                  <w:szCs w:val="18"/>
                  <w:b w:val="1"/>
                  <w:bCs w:val="1"/>
                  <w:color w:val="0000FF"/>
                </w:rPr>
                <w:t>40</w:t>
              </w:r>
            </w:hyperlink>
          </w:p>
        </w:tc>
      </w:tr>
      <w:tr>
        <w:trPr>
          <w:trHeight w:val="20"/>
        </w:trPr>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40"/>
          </w:cols>
          <w:pgMar w:left="280" w:top="117" w:right="7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416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5,225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10,099</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9,305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1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37"/>
        </w:trPr>
        <w:tc>
          <w:tcPr>
            <w:tcW w:w="4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revenues</w:t>
            </w:r>
          </w:p>
        </w:tc>
        <w:tc>
          <w:tcPr>
            <w:tcW w:w="1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5,370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10,403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9,701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2,122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7"/>
        </w:trPr>
        <w:tc>
          <w:tcPr>
            <w:tcW w:w="4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3,294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6,305</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6,435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4,098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3,266</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3,873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2,962</w:t>
            </w:r>
          </w:p>
        </w:tc>
        <w:tc>
          <w:tcPr>
            <w:tcW w:w="0" w:type="dxa"/>
            <w:vAlign w:val="bottom"/>
          </w:tcPr>
          <w:p>
            <w:pPr>
              <w:spacing w:after="0"/>
              <w:rPr>
                <w:sz w:val="1"/>
                <w:szCs w:val="1"/>
                <w:color w:val="auto"/>
              </w:rPr>
            </w:pPr>
          </w:p>
        </w:tc>
      </w:tr>
      <w:tr>
        <w:trPr>
          <w:trHeight w:val="47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3,276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1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57"/>
        </w:trPr>
        <w:tc>
          <w:tcPr>
            <w:tcW w:w="4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in calculation of earnings per share:</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47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 per share</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729"/>
        </w:trPr>
        <w:tc>
          <w:tcPr>
            <w:tcW w:w="4160" w:type="dxa"/>
            <w:vAlign w:val="bottom"/>
          </w:tcPr>
          <w:p>
            <w:pPr>
              <w:spacing w:after="0"/>
              <w:rPr>
                <w:sz w:val="24"/>
                <w:szCs w:val="24"/>
                <w:color w:val="auto"/>
              </w:rPr>
            </w:pPr>
          </w:p>
        </w:tc>
        <w:tc>
          <w:tcPr>
            <w:tcW w:w="29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See accompanying notes.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34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7"/>
                <w:szCs w:val="17"/>
                <w:color w:val="auto"/>
              </w:rPr>
            </w:pPr>
          </w:p>
        </w:tc>
      </w:tr>
      <w:tr>
        <w:trPr>
          <w:trHeight w:val="78"/>
        </w:trPr>
        <w:tc>
          <w:tcPr>
            <w:tcW w:w="562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59"/>
        </w:trPr>
        <w:tc>
          <w:tcPr>
            <w:tcW w:w="56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9"/>
              </w:rPr>
              <w:t>2014</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8"/>
              </w:rPr>
              <w:t>1,653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3,276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2,620</w:t>
            </w:r>
          </w:p>
        </w:tc>
      </w:tr>
      <w:tr>
        <w:trPr>
          <w:trHeight w:val="225"/>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reclassification adjustments and</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4"/>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gains (losses)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portion of cash flow hedges</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(losses) gains on available-for-sale securities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r>
      <w:tr>
        <w:trPr>
          <w:trHeight w:val="257"/>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8"/>
              </w:rPr>
              <w:t>1,448</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1,550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3,216</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2,658</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4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35"/>
        </w:trPr>
        <w:tc>
          <w:tcPr>
            <w:tcW w:w="7440" w:type="dxa"/>
            <w:vAlign w:val="bottom"/>
            <w:tcBorders>
              <w:bottom w:val="single" w:sz="8" w:color="CCEEFF"/>
            </w:tcBorders>
            <w:shd w:val="clear" w:color="auto" w:fill="CCEEFF"/>
          </w:tcPr>
          <w:p>
            <w:pPr>
              <w:ind w:left="5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3,731</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23,295</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2,546</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2,647</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2,494</w:t>
            </w:r>
          </w:p>
        </w:tc>
      </w:tr>
      <w:tr>
        <w:trPr>
          <w:trHeight w:val="237"/>
        </w:trPr>
        <w:tc>
          <w:tcPr>
            <w:tcW w:w="7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1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34,713</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74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5,223</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12,693</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14,788</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1,592</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280" w:type="dxa"/>
            <w:vAlign w:val="bottom"/>
            <w:tcBorders>
              <w:top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71,209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69,009</w:t>
            </w:r>
          </w:p>
        </w:tc>
      </w:tr>
      <w:tr>
        <w:trPr>
          <w:trHeight w:val="67"/>
        </w:trPr>
        <w:tc>
          <w:tcPr>
            <w:tcW w:w="7440" w:type="dxa"/>
            <w:vAlign w:val="bottom"/>
            <w:tcBorders>
              <w:bottom w:val="single" w:sz="8" w:color="CCEEFF"/>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264"/>
        </w:trPr>
        <w:tc>
          <w:tcPr>
            <w:tcW w:w="74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43"/>
        </w:trPr>
        <w:tc>
          <w:tcPr>
            <w:tcW w:w="8720" w:type="dxa"/>
            <w:vAlign w:val="bottom"/>
            <w:gridSpan w:val="2"/>
          </w:tcPr>
          <w:p>
            <w:pPr>
              <w:ind w:left="37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8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1,212</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5,296</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7,008</w:t>
            </w:r>
          </w:p>
        </w:tc>
      </w:tr>
      <w:tr>
        <w:trPr>
          <w:trHeight w:val="324"/>
        </w:trPr>
        <w:tc>
          <w:tcPr>
            <w:tcW w:w="7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30,215</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3,461</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2,547</w:t>
            </w:r>
          </w:p>
        </w:tc>
      </w:tr>
      <w:tr>
        <w:trPr>
          <w:trHeight w:val="324"/>
        </w:trPr>
        <w:tc>
          <w:tcPr>
            <w:tcW w:w="7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Contingencies and commitments</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324"/>
        </w:trPr>
        <w:tc>
          <w:tcPr>
            <w:tcW w:w="7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25"/>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and additional paid-in capital; $0.0001 par value; 2,750.0 shares authorized;</w:t>
            </w: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4"/>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- 759.1 shares in 2015 and 760.4 shares in 2014</w:t>
            </w:r>
          </w:p>
        </w:tc>
        <w:tc>
          <w:tcPr>
            <w:tcW w:w="128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30,410</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25,778</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80" w:type="dxa"/>
            <w:vAlign w:val="bottom"/>
            <w:tcBorders>
              <w:top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71,209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69,009</w:t>
            </w:r>
          </w:p>
        </w:tc>
      </w:tr>
      <w:tr>
        <w:trPr>
          <w:trHeight w:val="27"/>
        </w:trPr>
        <w:tc>
          <w:tcPr>
            <w:tcW w:w="74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42"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24765</wp:posOffset>
            </wp:positionV>
            <wp:extent cx="2238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2,620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1,024</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items, net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receivables, net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income taxes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37"/>
        </w:trPr>
        <w:tc>
          <w:tcPr>
            <w:tcW w:w="7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3,369</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9,137</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3,295</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restricted investments</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7"/>
        </w:trPr>
        <w:tc>
          <w:tcPr>
            <w:tcW w:w="7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debt</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debt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common stock in connection with the Company’s equity award programs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contingent consideration obligation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547</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3,805</w:t>
            </w: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4,352</w:t>
            </w: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14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Amgen Inc. (including its subsidiaries, referred to as “Amgen,” “the Company,” “we,” “our” or “us”) is a global biotechnology pioneer that discovers, develops, manufactures and delivers innovative human therapeutics. We operate in one business segment: human therapeutics.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financial information for the three and six months ended June 30, 2015 and 2014, is unaudited but includes all adjustments (consisting of only normal recurring adjustments, unless otherwise indicated), which Amgen considers necessary for a fair presentation of its condensed consolidated results of operations for those periods. Interim results are not necessarily indicative of results for the full fiscal year.</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should be read in conjunction with our consolidated financial statements and the notes thereto contained in our Annual Report on Form 10-K for the year ended December 31, 2014, and with our condensed consolidated financial statements and the notes thereto contained in our Quarterly Report on Form 10-Q for the period ended March 31, 2015.</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Amgen as well as its majority-owned subsidiaries. We do not have any significant interests in any variable interest entities. All material intercompany transactions and balances have been eliminated in consolidation.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accounting principles generally accepted in the United States (GAAP) requires management to make estimates and assumptions that affect the amounts reported in the condensed consolidated financial statements and accompanying notes. Actual results may differ from those estimates.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Property, plant and equipment is recorded at historical cost, net of accumulated depreciation and amortization of $7.3 billion and $7.0 billion as of June 30, 2015, and December 31, 2014,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4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May 2014, a new accounting standard was issued that amends the guidance for the recognition of revenue from contracts with customers to transfer goods and services. This new standard, as originally issued, would be effective for interim and annual periods beginning January 1, 2017, and would be required to be adopted using either a full retrospective or a modified retrospective approach, with early adoption not permitted. In July 2015, the Financial Accounting Standards Board voted to delay the required date of adoption of this standard by one year and allow early adoption, but not before the original effective date of January 1, 2017. We are currently evaluating the impact that this new standard will have on our consolidated financial statements.</w:t>
      </w:r>
    </w:p>
    <w:p>
      <w:pPr>
        <w:spacing w:after="0" w:line="1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April 2015, a new accounting standard was issued that amends the presentation for debt issuance costs. Upon adoption of the standard, such costs shall be presented on our consolidated balance sheets as a direct deduction from the carrying amount of the related debt liability and not as a deferred charge presented in Other assets on our consolidated balance sheets. This new standard will be effective for interim and annual periods beginning on January 1, 2016, and is required to be retrospectively adopted. Adoption of this new standard is not expected to have a material impact on our consolidated balance sheets or related disclosures.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Restructuring</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second half of 2014, we initiated a restructuring plan to invest in continuing innovation and the launch of our new pipeline molecules, while improving our cost structure. As part of the plan, we are closing our facilities in Washington State and Colorado and reducing the number of buildings we occupy at our headquarters in Thousand Oaks, California, as well as at other locations.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1440" w:gutter="0" w:footer="0" w:header="0"/>
        </w:sectPr>
      </w:pPr>
    </w:p>
    <w:bookmarkStart w:id="7" w:name="page8"/>
    <w:bookmarkEnd w:id="7"/>
    <w:p>
      <w:pPr>
        <w:ind w:left="420"/>
        <w:spacing w:after="0"/>
        <w:rPr>
          <w:sz w:val="20"/>
          <w:szCs w:val="20"/>
          <w:color w:val="auto"/>
        </w:rPr>
      </w:pPr>
      <w:r>
        <w:rPr>
          <w:rFonts w:ascii="Times New Roman" w:cs="Times New Roman" w:eastAsia="Times New Roman" w:hAnsi="Times New Roman"/>
          <w:sz w:val="18"/>
          <w:szCs w:val="18"/>
          <w:color w:val="auto"/>
        </w:rPr>
        <w:t>We continue to estimate that $935 million to $1,035 million of pre-tax charges will be incurred in connection with our restructuring plan, including:</w:t>
      </w:r>
    </w:p>
    <w:p>
      <w:pPr>
        <w:spacing w:after="0" w:line="27" w:lineRule="exact"/>
        <w:rPr>
          <w:sz w:val="20"/>
          <w:szCs w:val="20"/>
          <w:color w:val="auto"/>
        </w:rPr>
      </w:pPr>
    </w:p>
    <w:p>
      <w:pPr>
        <w:jc w:val="both"/>
        <w:ind w:firstLine="8"/>
        <w:spacing w:after="0" w:line="254"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and other headcount-related costs of $535 million to $585 million with respect to staff reductions, and (ii) asset-related charges of $400 million to $450 million consisting primarily of asset impairments, accelerated depreciation and other related costs resulting from the consolidation of our worldwide facilities. A total of $478 million of separation and other headcount-related costs and $235 million of asset-related charges were incurred through June 30, 2015.</w:t>
      </w:r>
    </w:p>
    <w:p>
      <w:pPr>
        <w:spacing w:after="0" w:line="10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2015, we incurred $63 million and $155 million, respectively, of restructuring costs. We expect that most of the remaining estimated costs, as discussed above, will be incurred during the remainder of 2015 to support our ongoing transformation and process improvement efforts.</w:t>
      </w:r>
    </w:p>
    <w:p>
      <w:pPr>
        <w:spacing w:after="0" w:line="9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summarize recorded charges related to the restructuring plan by type of activity and the locations recognized within the Condensed Consolidated Statements of Income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6"/>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Three months ended June 30, 2015</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2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280" w:type="dxa"/>
            <w:vAlign w:val="bottom"/>
          </w:tcPr>
          <w:p>
            <w:pPr>
              <w:spacing w:after="0"/>
              <w:rPr>
                <w:sz w:val="12"/>
                <w:szCs w:val="12"/>
                <w:color w:val="auto"/>
              </w:rPr>
            </w:pPr>
          </w:p>
        </w:tc>
        <w:tc>
          <w:tcPr>
            <w:tcW w:w="11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Separation costs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Asset</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Accelerated</w:t>
            </w:r>
          </w:p>
        </w:tc>
        <w:tc>
          <w:tcPr>
            <w:tcW w:w="380" w:type="dxa"/>
            <w:vAlign w:val="bottom"/>
          </w:tcPr>
          <w:p>
            <w:pPr>
              <w:spacing w:after="0"/>
              <w:rPr>
                <w:sz w:val="12"/>
                <w:szCs w:val="12"/>
                <w:color w:val="auto"/>
              </w:rPr>
            </w:pPr>
          </w:p>
        </w:tc>
        <w:tc>
          <w:tcPr>
            <w:tcW w:w="7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52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Six months ended June 30, 2015</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Separation costs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Accelerated</w:t>
            </w:r>
          </w:p>
        </w:tc>
        <w:tc>
          <w:tcPr>
            <w:tcW w:w="380" w:type="dxa"/>
            <w:vAlign w:val="bottom"/>
          </w:tcPr>
          <w:p>
            <w:pPr>
              <w:spacing w:after="0"/>
              <w:rPr>
                <w:sz w:val="12"/>
                <w:szCs w:val="12"/>
                <w:color w:val="auto"/>
              </w:rPr>
            </w:pPr>
          </w:p>
        </w:tc>
        <w:tc>
          <w:tcPr>
            <w:tcW w:w="7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Asset impairment and accelerated depreciation charges were recognized in connection with our decision to exit Boulder and Longmont, Colorado, Bothell and Seattle, Washington and the consolidation of facilities in Thousand Oaks, California. The decision to close these manufacturing and research and development (R&amp;D) facilities was based principally on optimizing the utilization of our sites in the United States, which includes an expansion of our presence in the key U.S. biotechnology hubs of South San Francisco, California and Cambridge, Massachusetts.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charges (excluding non-cash items) and payments related to the restructuring plan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During the six months ended June 30, 2015</w:t>
            </w:r>
          </w:p>
        </w:tc>
        <w:tc>
          <w:tcPr>
            <w:tcW w:w="1400" w:type="dxa"/>
            <w:vAlign w:val="bottom"/>
            <w:tcBorders>
              <w:bottom w:val="single" w:sz="8" w:color="auto"/>
            </w:tcBorders>
          </w:tcPr>
          <w:p>
            <w:pPr>
              <w:spacing w:after="0"/>
              <w:rPr>
                <w:sz w:val="16"/>
                <w:szCs w:val="16"/>
                <w:color w:val="auto"/>
              </w:rPr>
            </w:pPr>
          </w:p>
        </w:tc>
      </w:tr>
      <w:tr>
        <w:trPr>
          <w:trHeight w:val="264"/>
        </w:trPr>
        <w:tc>
          <w:tcPr>
            <w:tcW w:w="53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Separation costs</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22"/>
                <w:szCs w:val="22"/>
                <w:color w:val="auto"/>
              </w:rPr>
            </w:pPr>
          </w:p>
        </w:tc>
        <w:tc>
          <w:tcPr>
            <w:tcW w:w="140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liabilities as of December 31, 2014</w:t>
            </w:r>
          </w:p>
        </w:tc>
        <w:tc>
          <w:tcPr>
            <w:tcW w:w="1500" w:type="dxa"/>
            <w:vAlign w:val="bottom"/>
            <w:tcBorders>
              <w:top w:val="single" w:sz="8" w:color="auto"/>
              <w:bottom w:val="single" w:sz="8" w:color="CCEEFF"/>
            </w:tcBorders>
            <w:shd w:val="clear" w:color="auto" w:fill="CCEEFF"/>
          </w:tcPr>
          <w:p>
            <w:pPr>
              <w:jc w:val="right"/>
              <w:ind w:right="12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w:t>
            </w:r>
          </w:p>
        </w:tc>
        <w:tc>
          <w:tcPr>
            <w:tcW w:w="1500" w:type="dxa"/>
            <w:vAlign w:val="bottom"/>
          </w:tcPr>
          <w:p>
            <w:pPr>
              <w:spacing w:after="0"/>
              <w:rPr>
                <w:sz w:val="21"/>
                <w:szCs w:val="21"/>
                <w:color w:val="auto"/>
              </w:rPr>
            </w:pP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5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15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5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liabilities as of June 30, 2015</w:t>
            </w:r>
          </w:p>
        </w:tc>
        <w:tc>
          <w:tcPr>
            <w:tcW w:w="1500" w:type="dxa"/>
            <w:vAlign w:val="bottom"/>
            <w:tcBorders>
              <w:top w:val="single" w:sz="8" w:color="auto"/>
              <w:bottom w:val="single" w:sz="8" w:color="auto"/>
            </w:tcBorders>
          </w:tcPr>
          <w:p>
            <w:pPr>
              <w:jc w:val="right"/>
              <w:ind w:right="12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53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581"/>
        </w:trPr>
        <w:tc>
          <w:tcPr>
            <w:tcW w:w="5380" w:type="dxa"/>
            <w:vAlign w:val="bottom"/>
          </w:tcPr>
          <w:p>
            <w:pPr>
              <w:spacing w:after="0"/>
              <w:rPr>
                <w:sz w:val="24"/>
                <w:szCs w:val="24"/>
                <w:color w:val="auto"/>
              </w:rPr>
            </w:pPr>
          </w:p>
        </w:tc>
        <w:tc>
          <w:tcPr>
            <w:tcW w:w="1500" w:type="dxa"/>
            <w:vAlign w:val="bottom"/>
          </w:tcPr>
          <w:p>
            <w:pPr>
              <w:jc w:val="right"/>
              <w:ind w:right="1034"/>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Income taxes</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effective tax rates for the three and six months ended June 30, 2015, were 17.2% and 15.4%, respectively, compared with 12.0% and 11.5% for the corresponding periods of the prior year. The effective rates are different from the federal statutory rates primarily as a result of indefinitely reinvested earnings of our foreign operations. We do not provide for U.S. income taxes on undistributed earnings of our foreign operations that are intended to be invested indefinitely outside of the United States. In addition, the effective tax rates for the three and six months ended June 30, 2015 and 2014, were reduced by foreign tax credits associated with the Puerto Rico excise tax described below.</w:t>
      </w:r>
    </w:p>
    <w:p>
      <w:pPr>
        <w:spacing w:after="0" w:line="1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increase in our effective tax rate for the three months ended June 30, 2015, was due primarily to the unfavorable tax impact of changes in the jurisdictional mix of income and expenses.</w:t>
      </w:r>
    </w:p>
    <w:p>
      <w:pPr>
        <w:spacing w:after="0" w:line="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increase in our effective tax rate for the six months ended June 30, 2015, was due primarily to the unfavorable tax impact of changes in the jurisdictional mix of income and expenses, offset partially by a state tax audit settlement in the three months ended March 31, 2015.</w:t>
      </w:r>
    </w:p>
    <w:p>
      <w:pPr>
        <w:spacing w:after="0" w:line="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Puerto Rico imposes an excise tax on the gross intercompany purchase price of goods and services from our manufacturing subsidiary in Puerto Rico. The rate is 4.0% effective July 1, 2013, through December 31, 2017. We account for the excise tax as a manufacturing cost that is capitalized in inventory and expensed in cost of sales when the related products are sold. For U.S. income tax purposes, the excise tax results in foreign tax credits that are generally recognized in our provision for income taxes when the excise tax is incurred.</w:t>
      </w:r>
    </w:p>
    <w:p>
      <w:pPr>
        <w:spacing w:after="0" w:line="9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One or more of our legal entities file income tax returns in the U.S. federal jurisdiction, various U.S. state jurisdictions and certain foreign jurisdictions. Our income tax returns are routinely audited by the tax authorities in those jurisdictions. Significant disputes may arise with these tax authorities involving issues of the timing and amount of income and deductions, the use of tax credits and the allocations of income among various tax jurisdictions because of differing interpretations of tax laws and regulations. We are no longer subject to U.S. federal income tax examinations for years ended on or before December 31, 2009, or to California state income tax examinations for years ended on or before December 31, 2008.</w:t>
      </w:r>
    </w:p>
    <w:p>
      <w:pPr>
        <w:spacing w:after="0" w:line="1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2015, the gross amount of our unrecognized tax benefits (UTBs) increased by approximately $110 million and $210 million, respectively, as a result of tax positions taken during the current year. The UTB balance decreased by approximately $70 million during the six months ended June 30, 2015, due to state tax audit settlements. Substantially all of the UTBs as of June 30, 2015, if recognized, would affect our effective tax rate.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computation of basic earnings per share (EPS) is based on the weighted-average number of our common shares outstanding. The computation of diluted EPS is based on the weighted-average number of our common shares outstanding and dilutive potential common shares, which include principally shares that may be issued under our stock option awards and restricted stock and performance unit awards, determined using the treasury stock method (collectively “dilutive securities”).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computations for basic and diluted EPS were as follows (in millions, except per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6"/>
                <w:szCs w:val="16"/>
                <w:color w:val="auto"/>
              </w:rPr>
            </w:pPr>
          </w:p>
        </w:tc>
      </w:tr>
      <w:tr>
        <w:trPr>
          <w:trHeight w:val="203"/>
        </w:trPr>
        <w:tc>
          <w:tcPr>
            <w:tcW w:w="5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7"/>
                <w:szCs w:val="17"/>
                <w:color w:val="auto"/>
              </w:rPr>
            </w:pPr>
          </w:p>
        </w:tc>
      </w:tr>
      <w:tr>
        <w:trPr>
          <w:trHeight w:val="78"/>
        </w:trPr>
        <w:tc>
          <w:tcPr>
            <w:tcW w:w="5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9"/>
        </w:trPr>
        <w:tc>
          <w:tcPr>
            <w:tcW w:w="51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(Numerator):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for basic and diluted EPS</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2,620</w:t>
            </w:r>
          </w:p>
        </w:tc>
      </w:tr>
      <w:tr>
        <w:trPr>
          <w:trHeight w:val="27"/>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(Denominator):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for basic EPS</w:t>
            </w:r>
          </w:p>
        </w:tc>
        <w:tc>
          <w:tcPr>
            <w:tcW w:w="920" w:type="dxa"/>
            <w:vAlign w:val="bottom"/>
          </w:tcPr>
          <w:p>
            <w:pPr>
              <w:spacing w:after="0"/>
              <w:rPr>
                <w:sz w:val="21"/>
                <w:szCs w:val="21"/>
                <w:color w:val="auto"/>
              </w:rPr>
            </w:pP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758</w:t>
            </w: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for diluted EPS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768</w:t>
            </w:r>
          </w:p>
        </w:tc>
      </w:tr>
      <w:tr>
        <w:trPr>
          <w:trHeight w:val="27"/>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EPS</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3.46</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3.41</w:t>
            </w: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2015 and 2014, the number of anti-dilutive employee stock-based awards excluded from the computation of diluted EPS was not significant.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5. Collaborative arrangements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collaborative arrangement is a contractual arrangement that involves a joint operating activity. These arrangements involve two or more parties who are both: (i) active participants in the activity; and (ii) exposed to significant risks and rewards dependent on the commercial success of the activity.</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From time to time, we enter into collaborative arrangements for the R&amp;D, manufacture and/or commercialization of products and/or product candidates. These collaborations generally provide for non-refundable upfront license fees, development and commercial performance milestone payments, cost sharing, royalty payments and/or profit sharing. Our collaboration agreements are performed with no guarantee of either technological or commercial success and each is unique in nature. Below are our significant arrangements which have had material changes in their terms since the filing of our Annual Report on Form 10-K for the year ended December 31, 2014.</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Plc.</w:t>
      </w:r>
    </w:p>
    <w:p>
      <w:pPr>
        <w:spacing w:after="0" w:line="14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in a collaboration with AstraZeneca Plc. (AstraZeneca) to jointly develop and commercialize certain antibodies from Amgen's clinical inflammation portfolio, including AMG 157, AMG 181, AMG 557 and AMG 570. The agreement covers the worldwide development and commercialization of these antibodies, except for AMG 557 and AMG 570 in Japan. AMG 139 and brodalumab were formerly part of the collaboration in certain territories. As of April 1, 2015, we have suspended our participation in the co-development and commercialization of AMG 139, with the option of resuming such participation at a later date. As of May 22, 2015, we have commenced termination of our participation in the co-development and commercialization of brodalumab base</w:t>
      </w:r>
      <w:r>
        <w:rPr>
          <w:rFonts w:ascii="Times New Roman" w:cs="Times New Roman" w:eastAsia="Times New Roman" w:hAnsi="Times New Roman"/>
          <w:sz w:val="18"/>
          <w:szCs w:val="18"/>
          <w:color w:val="333333"/>
        </w:rPr>
        <w:t>d on events of suicidal ideation and behavior in the program.</w:t>
      </w:r>
    </w:p>
    <w:p>
      <w:pPr>
        <w:spacing w:after="0" w:line="10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approximately 65% of related development costs for the 2012-2014 periods were funded by AstraZeneca; beginning in 2015, the companies share costs equally. For each remaining collaboration product approved for sale, Amgen would receive a mid-single-digit royalty, after which the worldwide commercialization profits and losses related to such remaining collaboration products would be shared equally. During the three months ended June 30, 2015 and 2014, cost recoveries recognized for development costs, which included brodalumab and AMG 139, were $3 million and $39 million, respectively, which were included in Research and development expense in the Condensed Consolidated Statements of Income. During the six months ended June 30, 2015 and 2014, the cost recoveries were $23 million and $49 million, respectively.</w:t>
      </w:r>
    </w:p>
    <w:p>
      <w:pPr>
        <w:spacing w:after="0" w:line="1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After Amgen's participation in the brodalumab program terminates under the agreement, which is expected to occur in the third quarter of 2015, the clinical development and commercialization of brodalumab will be at the sole discretion and expense of AstraZeneca. If AstraZeneca commercializes brodalumab, Amgen would receive a mid-single-digit to low-double-digit royalty on net sales of brodalumab.</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collaboration agreement will continue in effect unless terminated in accordance with its terms.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Bayer HealthCare Pharmaceuticals Inc.</w:t>
      </w:r>
    </w:p>
    <w:p>
      <w:pPr>
        <w:spacing w:after="0" w:line="187" w:lineRule="exact"/>
        <w:rPr>
          <w:sz w:val="20"/>
          <w:szCs w:val="20"/>
          <w:color w:val="auto"/>
        </w:rPr>
      </w:pPr>
    </w:p>
    <w:p>
      <w:pPr>
        <w:jc w:val="both"/>
        <w:ind w:firstLine="405"/>
        <w:spacing w:after="0" w:line="212" w:lineRule="auto"/>
        <w:rPr>
          <w:sz w:val="20"/>
          <w:szCs w:val="20"/>
          <w:color w:val="auto"/>
        </w:rPr>
      </w:pPr>
      <w:r>
        <w:rPr>
          <w:rFonts w:ascii="Times New Roman" w:cs="Times New Roman" w:eastAsia="Times New Roman" w:hAnsi="Times New Roman"/>
          <w:sz w:val="18"/>
          <w:szCs w:val="18"/>
          <w:color w:val="auto"/>
        </w:rPr>
        <w:t>We are in a collaboration with Bayer HealthCare Pharmaceuticals Inc. (Bayer) to jointly develop and commercialize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(sorafenib) worldwide, except in Japan. The rights to develop and market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Japan are reserved to Bayer. Bayer has no obligation to pay royalties to Amgen for sales of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Japan.</w:t>
      </w:r>
    </w:p>
    <w:p>
      <w:pPr>
        <w:spacing w:after="0" w:line="21" w:lineRule="exact"/>
        <w:rPr>
          <w:sz w:val="20"/>
          <w:szCs w:val="20"/>
          <w:color w:val="auto"/>
        </w:rPr>
      </w:pPr>
    </w:p>
    <w:p>
      <w:pPr>
        <w:jc w:val="both"/>
        <w:ind w:right="20" w:firstLine="405"/>
        <w:spacing w:after="0" w:line="204" w:lineRule="auto"/>
        <w:rPr>
          <w:sz w:val="20"/>
          <w:szCs w:val="20"/>
          <w:color w:val="auto"/>
        </w:rPr>
      </w:pPr>
      <w:r>
        <w:rPr>
          <w:rFonts w:ascii="Times New Roman" w:cs="Times New Roman" w:eastAsia="Times New Roman" w:hAnsi="Times New Roman"/>
          <w:sz w:val="18"/>
          <w:szCs w:val="18"/>
          <w:color w:val="auto"/>
        </w:rPr>
        <w:t>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currently marketed and sold in more than 100 countries around the world for the treatment of unresectable liver cancer and advanced kidney cancer. In the United States,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also approved for the treatment of patients with locally recurrent or metastatic, progressive, differentiated thyroid carcinoma refractory to radioactive iodine treatment.</w:t>
      </w:r>
    </w:p>
    <w:p>
      <w:pPr>
        <w:spacing w:after="0" w:line="119" w:lineRule="exact"/>
        <w:rPr>
          <w:sz w:val="20"/>
          <w:szCs w:val="20"/>
          <w:color w:val="auto"/>
        </w:rPr>
      </w:pPr>
    </w:p>
    <w:p>
      <w:pPr>
        <w:jc w:val="both"/>
        <w:ind w:firstLine="405"/>
        <w:spacing w:after="0" w:line="212" w:lineRule="auto"/>
        <w:rPr>
          <w:sz w:val="20"/>
          <w:szCs w:val="20"/>
          <w:color w:val="auto"/>
        </w:rPr>
      </w:pPr>
      <w:r>
        <w:rPr>
          <w:rFonts w:ascii="Times New Roman" w:cs="Times New Roman" w:eastAsia="Times New Roman" w:hAnsi="Times New Roman"/>
          <w:sz w:val="18"/>
          <w:szCs w:val="18"/>
          <w:color w:val="auto"/>
        </w:rPr>
        <w:t>In May 2015, we and Bayer amended the terms of the collaboration, which terminated the co-promotion agreement in the United States. The termination was effective as of June 30, 2015 and transferred all U.S. operational responsibilities to Bayer, including commercial and medical affairs activities. Prior to the termination of the co-promotion agreement, we co-promoted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with Bayer and shared equally in the profits or losses in the United States. In lieu of this profit share, Bayer will now pay Amgen a royalty on U.S. sales of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at a percentage rate in the high 30s. Amgen will no longer contribute sales force personnel or medical liaisons to support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United States. There are no changes to the global research and development or non-U.S. profit share arrangements in the original agreement, as discussed below.</w:t>
      </w:r>
    </w:p>
    <w:p>
      <w:pPr>
        <w:spacing w:after="0" w:line="121"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color w:val="auto"/>
        </w:rPr>
        <w:t>In all countries outside of the United States, excluding Japan, Bayer manages all commercialization activities and incurs all of the sales and marketing expenditures and mutually agreed R&amp;D expenses, for which we continue to reimburse Bayer for half. In these countries, we continue to receive 50% of net profits on sales of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after deducting certain Bayer-related costs.</w:t>
      </w: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collaboration with Bayer will terminate at the later of the date when patents expire that were issued in connection with product candidates discovered under the agreement, or on the last day when we or Bayer market or sell collaboration products anywhere in the world.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10" w:name="page11"/>
    <w:bookmarkEnd w:id="10"/>
    <w:p>
      <w:pPr>
        <w:jc w:val="both"/>
        <w:ind w:firstLine="405"/>
        <w:spacing w:after="0" w:line="230" w:lineRule="auto"/>
        <w:rPr>
          <w:sz w:val="20"/>
          <w:szCs w:val="20"/>
          <w:color w:val="auto"/>
        </w:rPr>
      </w:pPr>
      <w:r>
        <w:rPr>
          <w:rFonts w:ascii="Times New Roman" w:cs="Times New Roman" w:eastAsia="Times New Roman" w:hAnsi="Times New Roman"/>
          <w:sz w:val="18"/>
          <w:szCs w:val="18"/>
          <w:color w:val="auto"/>
        </w:rPr>
        <w:t>The amendment to the collaboration is not expected to have a material impact on our consolidated results of operations. Prior to the amendment, Amgen was acting as an agent under the collaboration and as such, revenue was derived by calculating net sales of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 third-party customers and deducting the cost of goods sold, distribution costs, marketing costs, phase 4 clinical trial costs, allocable overhead costs and certain other costs. During the three months ended June 30, 2015 and 2014, Amgen recorded net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collaboration profits of $84 million and $87 million, respectively, which were recognized as Other revenues in the Condensed Consolidated Statements of Income. During the six months ended June 30, 2015 and 2014, the net collaboration profits were $156 million and $165 million, respectively. In addition, during the three months ended June 30, 2015 and 2014, net R&amp;D expenses related to the collaboration were $7 million and $10 million, respectively, which were recognized in the Condensed Consolidated Statements of Income. During the six months ended June 30, 2015 and 2014, the net R&amp;D expenses were $12 million and $21 million,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Available-for-sale investments</w:t>
      </w:r>
    </w:p>
    <w:p>
      <w:pPr>
        <w:spacing w:after="0" w:line="14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estimated fair values of available-for-sale investments by type of security were as follows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3"/>
                <w:szCs w:val="13"/>
                <w:color w:val="auto"/>
              </w:rPr>
            </w:pPr>
          </w:p>
        </w:tc>
        <w:tc>
          <w:tcPr>
            <w:tcW w:w="12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 of security as of June 30, 2015</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20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3,604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and other</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Financial</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7,425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7,426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7,657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7,629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2,951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2,951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interest-bearing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29,571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29,514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29,668</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29,689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3"/>
                <w:szCs w:val="13"/>
                <w:color w:val="auto"/>
              </w:rPr>
            </w:pPr>
          </w:p>
        </w:tc>
        <w:tc>
          <w:tcPr>
            <w:tcW w:w="12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8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 of security as of December 31, 2014</w:t>
            </w:r>
          </w:p>
        </w:tc>
        <w:tc>
          <w:tcPr>
            <w:tcW w:w="4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20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8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3,646</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and other</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Financial</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6,041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6,351</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3,004</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interest-bearing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26,665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26,588</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26,763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26,732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values of available-for-sale investments by classification in the Condensed Consolidated Balance Sheets were as follows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Classification in the Condensed Consolidated Balance Sheets</w:t>
            </w:r>
          </w:p>
        </w:tc>
        <w:tc>
          <w:tcPr>
            <w:tcW w:w="120" w:type="dxa"/>
            <w:vAlign w:val="bottom"/>
            <w:vMerge w:val="restart"/>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3,293</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23,295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 noncurrent</w:t>
            </w: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7"/>
        </w:trPr>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20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29,689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26,732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and cash equivalents in the table above excludes cash of $479 million and $438 million as of June 30, 2015, and December 31, 2014, respectively.</w:t>
      </w:r>
    </w:p>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fair values of available-for-sale interest-bearing security investments by contractual maturity, except for mortgage- and asset-backed securities that do not have a single maturity date, were as follows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maturity</w:t>
            </w:r>
          </w:p>
        </w:tc>
        <w:tc>
          <w:tcPr>
            <w:tcW w:w="120" w:type="dxa"/>
            <w:vAlign w:val="bottom"/>
            <w:vMerge w:val="restart"/>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6,829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Maturing after three years through five years</w:t>
            </w: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7,840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Maturing after five years through ten years</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Maturing after ten years</w:t>
            </w: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3,498</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interest-bearing securities</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26,588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2015 and 2014, realized gains totaled $18 million and $57 million, respectively, and realized losses totaled $27 million and $17 million, respectively. For the six months ended June 30, 2015 and 2014, realized gains totaled $54 million and $85 million, respectively, and realized losses totaled $98 million and $43 million, respectively. The cost of securities sold is based on the specific identification method.</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64" w:right="239" w:bottom="1440" w:gutter="0" w:footer="0" w:header="0"/>
        </w:sectPr>
      </w:pPr>
    </w:p>
    <w:bookmarkStart w:id="12" w:name="page13"/>
    <w:bookmarkEnd w:id="12"/>
    <w:p>
      <w:pPr>
        <w:ind w:left="420"/>
        <w:spacing w:after="0"/>
        <w:rPr>
          <w:sz w:val="20"/>
          <w:szCs w:val="20"/>
          <w:color w:val="auto"/>
        </w:rPr>
      </w:pPr>
      <w:r>
        <w:rPr>
          <w:rFonts w:ascii="Times New Roman" w:cs="Times New Roman" w:eastAsia="Times New Roman" w:hAnsi="Times New Roman"/>
          <w:sz w:val="18"/>
          <w:szCs w:val="18"/>
          <w:color w:val="auto"/>
        </w:rPr>
        <w:t>The unrealized losses on available-for-sale investments and their related fair values were as follows (in millions):</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12 months or greater</w:t>
            </w:r>
          </w:p>
        </w:tc>
      </w:tr>
      <w:tr>
        <w:trPr>
          <w:trHeight w:val="264"/>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Type of security as of June 30, 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Unrealized losses</w:t>
            </w:r>
          </w:p>
        </w:tc>
      </w:tr>
      <w:tr>
        <w:trPr>
          <w:trHeight w:val="249"/>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and 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Financial</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4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12,243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12 months or greater</w:t>
            </w:r>
          </w:p>
        </w:tc>
      </w:tr>
      <w:tr>
        <w:trPr>
          <w:trHeight w:val="264"/>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Type of security as of December 31, 2014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Unrealized losses</w:t>
            </w:r>
          </w:p>
        </w:tc>
      </w:tr>
      <w:tr>
        <w:trPr>
          <w:trHeight w:val="249"/>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and 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Financial</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11,569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primary objective of our investment portfolio is to enhance overall returns in an efficient manner while maintaining safety of principal, prudent levels of liquidity and acceptable levels of risk. Our investment policy limits interest-bearing security investments to certain types of debt and money market instruments issued by institutions with primarily investment-grade credit ratings and places restrictions on maturities and concentration by asset class and issuer.</w:t>
      </w:r>
    </w:p>
    <w:p>
      <w:pPr>
        <w:spacing w:after="0" w:line="9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review our available-for-sale investments for other-than-temporary declines in fair value below our cost basis each quarter and whenever events or changes in circumstances indicate that the cost basis of an asset may not be recoverable. This evaluation is based on a number of factors, including the length of time and the extent to which the fair value has been below our cost basis and adverse conditions related specifically to the security, including any changes to the credit rating of the security, and the intent to sell, or whether we will more likely than not be required to sell, the security before recovery of its amortized cost basis. Our assessment of whether a security is other-than-temporarily impaired could change in the future due to new developments or changes in assumptions related to any particular security. As of June 30, 2015, and December 31, 2014, we believe the cost bases for our available-for-sale investments were recoverable in all material respects.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consisted of the following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6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120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6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Changes in the carrying amounts of goodwill were as follows (in millions):</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660" w:type="dxa"/>
            <w:vAlign w:val="bottom"/>
          </w:tcPr>
          <w:p>
            <w:pPr>
              <w:spacing w:after="0"/>
              <w:rPr>
                <w:sz w:val="24"/>
                <w:szCs w:val="24"/>
                <w:color w:val="auto"/>
              </w:rPr>
            </w:pPr>
          </w:p>
        </w:tc>
        <w:tc>
          <w:tcPr>
            <w:tcW w:w="3760" w:type="dxa"/>
            <w:vAlign w:val="bottom"/>
            <w:tcBorders>
              <w:bottom w:val="single" w:sz="8" w:color="auto"/>
            </w:tcBorders>
            <w:gridSpan w:val="5"/>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14,968</w:t>
            </w: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Goodwill related to acquisitions of businesses</w:t>
            </w:r>
            <w:r>
              <w:rPr>
                <w:rFonts w:ascii="Times New Roman" w:cs="Times New Roman" w:eastAsia="Times New Roman" w:hAnsi="Times New Roman"/>
                <w:sz w:val="25"/>
                <w:szCs w:val="25"/>
                <w:color w:val="auto"/>
                <w:vertAlign w:val="superscript"/>
              </w:rPr>
              <w:t>(1)</w:t>
            </w:r>
          </w:p>
        </w:tc>
        <w:tc>
          <w:tcPr>
            <w:tcW w:w="120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120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14,723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14,844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20" w:hanging="208"/>
        <w:spacing w:after="0" w:line="218" w:lineRule="auto"/>
        <w:tabs>
          <w:tab w:leader="none" w:pos="54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Composed of goodwill recognized on the acquisition dates of business combinations and subsequent adjustments to these amounts resulting from changes to the acquisition date fair values of net assets acquired in the business combinations recorded during their respective measurement periods.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0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0" w:type="dxa"/>
            <w:vAlign w:val="bottom"/>
          </w:tcPr>
          <w:p>
            <w:pPr>
              <w:spacing w:after="0"/>
              <w:rPr>
                <w:sz w:val="1"/>
                <w:szCs w:val="1"/>
                <w:color w:val="auto"/>
              </w:rPr>
            </w:pPr>
          </w:p>
        </w:tc>
      </w:tr>
      <w:tr>
        <w:trPr>
          <w:trHeight w:val="249"/>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product technology rights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10,796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6,228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10,826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6,671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Licensing rights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technology rights</w:t>
            </w: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Marketing-related rights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16,444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9,847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16,470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10,538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18,585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18,625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12,693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Developed product technology rights consist of rights related to marketed products acquired in business combinations. Licensing rights are composed primarily of contractual rights acquired in business combinations to receive future milestones, royalties and profit sharing payments, capitalized payments to third parties for milestones related to regulatory approvals to commercialize products and up-front payments associated with royalty obligations for marketed products. R&amp;D technology rights consist of technology used in R&amp;D with alternative future uses. Marketing-related intangible assets are composed primarily of rights related to the sale and distribution of marketed products.</w:t>
      </w:r>
    </w:p>
    <w:p>
      <w:pPr>
        <w:spacing w:after="0" w:line="103" w:lineRule="exact"/>
        <w:rPr>
          <w:sz w:val="20"/>
          <w:szCs w:val="20"/>
          <w:color w:val="auto"/>
        </w:rPr>
      </w:pPr>
    </w:p>
    <w:p>
      <w:pPr>
        <w:jc w:val="both"/>
        <w:ind w:firstLine="405"/>
        <w:spacing w:after="0" w:line="228" w:lineRule="auto"/>
        <w:rPr>
          <w:sz w:val="20"/>
          <w:szCs w:val="20"/>
          <w:color w:val="auto"/>
        </w:rPr>
      </w:pPr>
      <w:r>
        <w:rPr>
          <w:rFonts w:ascii="Times New Roman" w:cs="Times New Roman" w:eastAsia="Times New Roman" w:hAnsi="Times New Roman"/>
          <w:sz w:val="18"/>
          <w:szCs w:val="18"/>
          <w:color w:val="auto"/>
        </w:rPr>
        <w:t>In-process research and development (IPR&amp;D) consists of R&amp;D projects acquired in a business combination which are not complete due to remaining technological risks and/or lack of receipt of the required regulatory approvals. These projects include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(carfilzomib) for Injection and oprozomib acquired in the acquisition of Onyx Pharmaceuticals Inc. (Onyx), AMG 416</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acquired in the acquisition of KAI Pharmaceuticals and talimogene laherparepvec acquired in the acquisition of BioVex Group, Inc. (BioVex).</w:t>
      </w:r>
    </w:p>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U.S. Food and Drug Administration (FDA) is reviewing our talimogene laherparepvec Biologics License Application (BLA) for the treatment of patients with injectable regionally or distantly metastatic melanoma. The Prescription Drug User Fee Act (PDUFA) target action date for completion of the FDA's review is October 27, 2015. As of June 30, 2015, the carrying value of the IPR&amp;D for talimogene laherparepvec was $675 million.</w:t>
      </w:r>
    </w:p>
    <w:p>
      <w:pPr>
        <w:spacing w:after="0" w:line="9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For all IPR&amp;D projects, there are major risks and uncertainties associated with the timely and successful completion of development and commercialization of these product candidates, including our ability to confirm their safety and efficacy based on data from clinical trials, our ability to obtain necessary regulatory approvals and our ability to successfully complete these tasks within budgeted costs. We are not able to market a human therapeutic without obtaining regulatory approvals, and such approvals require completing clinical trials that demonstrate a product candidate is safe and effective. In addition, the availability and extent of coverage and reimbursement from third-party payers, including government healthcare programs and private insurance plans, impact the revenues a product can generate. Consequently, the eventual realized value, if any, of these acquired IPR&amp;D projects may vary from their estimated fair values. IPR&amp;D projects are reviewed annually for impairment and whenever events or changes in circumstances indicate that the carrying amount may not be recoverable. For example, if the BLA for talimogene laherparepvec is not approved for treatment of patients with injectable regionally or distantly metastatic melanoma, we would be required to test the talimogene laherparepvec IPR&amp;D asset for impairment again.</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2015 and 2014, we recognized amortization charges associated with our finite-lived intangible assets of $345 million and $341 million, respectively. During the six months ended June 30, 2015 and 2014, we recognized amortization charges associated with our finite-lived intangible assets of $686 million and $698 million, respectively. The total estimated amortization charges for our finite-lived intangible assets for the six months ending December 31, 2015, and the years ending December 31, 2016, 2017, 2018, 2019 and 2020, are $672 million, $1.3 billion, $1.2 billion, $1.0 billion, $948 million and $892 million, respectively.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9. Financing arrangements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values and the fixed contractual coupon rates, as applicable, of our long-term borrowings were as follows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3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2.30% notes due 2016 (2.30% 2016 Notes)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2.50% notes due 2016 (2.50% 2016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Floating Rate Notes due 2017</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1.25% notes due 2017 (1.25% 2017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2.125% notes due 2017 (2.125% 2017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5.85% notes due 2017 (5.85% 2017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6.15% notes due 2018 (6.15% 2018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Loan due 2018</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4,375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4.375% euro-denominated notes due 2018 (4.375% 2018 euro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Floating Rate Notes due 2019</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2.20% notes due 2019 (2.20% 2019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5.70% notes due 2019 (5.70% 2019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2.125% euro-denominated notes due 2019 (2.125% 2019 euro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4.50% notes due 2020 (4.50% 2020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2.125% notes due 2020 (2.125% 2020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3.45% notes due 2020 (3.45% 2020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4.10% notes due 2021 (4.10% 2021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3.875% notes due 2021 (3.875% 2021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2.70% notes due 2022 (2.70% 2022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3.625% notes due 2022 (3.625% 2022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3.625% notes due 2024 (3.625% 2024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3.125% notes due 2025 (3.125% 2025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5.50% pound-sterling-denominated notes due 2026 (5.50% 2026 pound sterling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4.00% pound-sterling-denominated notes due 2029 (4.00% 2029 pound sterling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6.375% notes due 2037 (6.375% 2037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6.90% notes due 2038 (6.90% 2038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6.40% notes due 2039 (6.40% 2039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5.75% notes due 2040 (5.75% 2040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4.95% notes due 2041 (4.95% 2041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5.15% notes due 2041 (5.15% 2041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5.65% notes due 2042 (5.65% 2042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5.375% notes due 2043 (5.375% 2043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4.40% notes due 2045 (4.40% 2045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31,952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30,715</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noncurrent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30,702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30,215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562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7" w:right="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Debt repayments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six months ended June 30, 2015, we repaid $2.15 billion of principal on our Term Loan Credit Facility.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issuances</w:t>
      </w:r>
    </w:p>
    <w:p>
      <w:pPr>
        <w:spacing w:after="0" w:line="14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May 2015, we issued $3.5 billion aggregate principal amount of notes, composed of the 2.125% 2020 Notes, the 2.70% 2022 Notes, the 3.125% 2025 Notes and the 4.40% 2045 Notes. The notes may be redeemed at any time at our option, in whole or in part, at the principal amount of the notes being redeemed plus accrued and unpaid interest and, except as discussed below, a make-whole amount, as defined. The 2.125% 2020 Notes, the 2.70% 2022 Notes, the 3.125% 2025 Notes and the 4.40% 2045 Notes may be redeemed without payment of a make-whole amount if they are redeemed on or after one, two, three or six months, respectively, prior to their maturity dates. In the event of a change in control triggering event, as defined, we may be required to purchase all or a portion of the notes at a price equal to 101% of the principal amount of the notes plus accrued and unpaid interest. Debt issuance costs incurred in connection with the issuance of these notes totaling approximately $21 million are being amortized over the respective lives of the notes, and the related charge is included in Interest expense, net in the Condensed Consolidated Statements of Income.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Activity under our stock repurchase program was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Dollars</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1"/>
                <w:szCs w:val="21"/>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 repurchases</w:t>
            </w:r>
          </w:p>
        </w:tc>
        <w:tc>
          <w:tcPr>
            <w:tcW w:w="1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2015, $2.9 billion remained available under our stock repurchase program.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December 17, 2014 and March 4, 2015 the Board of Directors declared quarterly cash dividends of $0.79 per share of common stock, which were paid on March 6 and June 5, 2015, respectively. On July 28, 2015, the Board of Directors declared a cash dividend of $0.79 per share of common stock, which will be paid on September 8, 2015, to all stockholders of record as of the close of business on August 17, 2015.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(AOCI) were as follows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2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to income</w:t>
            </w:r>
          </w:p>
        </w:tc>
        <w:tc>
          <w:tcPr>
            <w:tcW w:w="2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March 31, 2015</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w:t>
            </w:r>
          </w:p>
        </w:tc>
        <w:tc>
          <w:tcPr>
            <w:tcW w:w="2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to income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June 30,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3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9" w:right="239" w:bottom="1440" w:gutter="0" w:footer="0" w:header="0"/>
        </w:sectPr>
      </w:pPr>
    </w:p>
    <w:bookmarkStart w:id="17" w:name="page18"/>
    <w:bookmarkEnd w:id="17"/>
    <w:p>
      <w:pPr>
        <w:ind w:left="420"/>
        <w:spacing w:after="0"/>
        <w:rPr>
          <w:sz w:val="20"/>
          <w:szCs w:val="20"/>
          <w:color w:val="auto"/>
        </w:rPr>
      </w:pPr>
      <w:r>
        <w:rPr>
          <w:rFonts w:ascii="Times New Roman" w:cs="Times New Roman" w:eastAsia="Times New Roman" w:hAnsi="Times New Roman"/>
          <w:sz w:val="18"/>
          <w:szCs w:val="18"/>
          <w:color w:val="auto"/>
        </w:rPr>
        <w:t>The reclassifications out of AOCI to earnings were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Amounts reclassified out of AOCI</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Components of AOCI</w:t>
            </w:r>
          </w:p>
        </w:tc>
        <w:tc>
          <w:tcPr>
            <w:tcW w:w="100" w:type="dxa"/>
            <w:vAlign w:val="bottom"/>
            <w:vMerge w:val="restart"/>
          </w:tcPr>
          <w:p>
            <w:pPr>
              <w:spacing w:after="0"/>
              <w:rPr>
                <w:sz w:val="12"/>
                <w:szCs w:val="12"/>
                <w:color w:val="auto"/>
              </w:rPr>
            </w:pPr>
          </w:p>
        </w:tc>
        <w:tc>
          <w:tcPr>
            <w:tcW w:w="190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80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20" w:type="dxa"/>
            <w:vAlign w:val="bottom"/>
          </w:tcPr>
          <w:p>
            <w:pPr>
              <w:spacing w:after="0"/>
              <w:rPr>
                <w:sz w:val="12"/>
                <w:szCs w:val="12"/>
                <w:color w:val="auto"/>
              </w:rPr>
            </w:pPr>
          </w:p>
        </w:tc>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Line item affected in the Statements of Income</w:t>
            </w:r>
          </w:p>
        </w:tc>
        <w:tc>
          <w:tcPr>
            <w:tcW w:w="0" w:type="dxa"/>
            <w:vAlign w:val="bottom"/>
          </w:tcPr>
          <w:p>
            <w:pPr>
              <w:spacing w:after="0"/>
              <w:rPr>
                <w:sz w:val="1"/>
                <w:szCs w:val="1"/>
                <w:color w:val="auto"/>
              </w:rPr>
            </w:pPr>
          </w:p>
        </w:tc>
      </w:tr>
      <w:tr>
        <w:trPr>
          <w:trHeight w:val="195"/>
        </w:trPr>
        <w:tc>
          <w:tcPr>
            <w:tcW w:w="44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30, 2015</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30, 2014</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flow hedges:</w:t>
            </w: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contract gains</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0" w:type="dxa"/>
            <w:vAlign w:val="bottom"/>
          </w:tcPr>
          <w:p>
            <w:pPr>
              <w:spacing w:after="0"/>
              <w:rPr>
                <w:sz w:val="1"/>
                <w:szCs w:val="1"/>
                <w:color w:val="auto"/>
              </w:rPr>
            </w:pPr>
          </w:p>
        </w:tc>
      </w:tr>
      <w:tr>
        <w:trPr>
          <w:trHeight w:val="243"/>
        </w:trPr>
        <w:tc>
          <w:tcPr>
            <w:tcW w:w="4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Cross-currency swap contract gains</w:t>
            </w:r>
          </w:p>
        </w:tc>
        <w:tc>
          <w:tcPr>
            <w:tcW w:w="3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Forward interest rate contract losses</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before income tax</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0" w:type="dxa"/>
            <w:vAlign w:val="bottom"/>
          </w:tcPr>
          <w:p>
            <w:pPr>
              <w:spacing w:after="0"/>
              <w:rPr>
                <w:sz w:val="1"/>
                <w:szCs w:val="1"/>
                <w:color w:val="auto"/>
              </w:rPr>
            </w:pPr>
          </w:p>
        </w:tc>
      </w:tr>
      <w:tr>
        <w:trPr>
          <w:trHeight w:val="297"/>
        </w:trPr>
        <w:tc>
          <w:tcPr>
            <w:tcW w:w="4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of taxes</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realized (losses) gains</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30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benefit/(expense)</w:t>
            </w:r>
          </w:p>
        </w:tc>
        <w:tc>
          <w:tcPr>
            <w:tcW w:w="0" w:type="dxa"/>
            <w:vAlign w:val="bottom"/>
          </w:tcPr>
          <w:p>
            <w:pPr>
              <w:spacing w:after="0"/>
              <w:rPr>
                <w:sz w:val="1"/>
                <w:szCs w:val="1"/>
                <w:color w:val="auto"/>
              </w:rPr>
            </w:pPr>
          </w:p>
        </w:tc>
      </w:tr>
      <w:tr>
        <w:trPr>
          <w:trHeight w:val="257"/>
        </w:trPr>
        <w:tc>
          <w:tcPr>
            <w:tcW w:w="4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2"/>
                <w:szCs w:val="22"/>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taxes</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Amounts reclassified out of AOCI</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Components of AOCI</w:t>
            </w:r>
          </w:p>
        </w:tc>
        <w:tc>
          <w:tcPr>
            <w:tcW w:w="100" w:type="dxa"/>
            <w:vAlign w:val="bottom"/>
            <w:vMerge w:val="restart"/>
          </w:tcPr>
          <w:p>
            <w:pPr>
              <w:spacing w:after="0"/>
              <w:rPr>
                <w:sz w:val="12"/>
                <w:szCs w:val="12"/>
                <w:color w:val="auto"/>
              </w:rPr>
            </w:pPr>
          </w:p>
        </w:tc>
        <w:tc>
          <w:tcPr>
            <w:tcW w:w="190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2"/>
                <w:szCs w:val="12"/>
                <w:color w:val="auto"/>
              </w:rPr>
            </w:pPr>
          </w:p>
        </w:tc>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Line item affected in the Statements of Income</w:t>
            </w:r>
          </w:p>
        </w:tc>
        <w:tc>
          <w:tcPr>
            <w:tcW w:w="0" w:type="dxa"/>
            <w:vAlign w:val="bottom"/>
          </w:tcPr>
          <w:p>
            <w:pPr>
              <w:spacing w:after="0"/>
              <w:rPr>
                <w:sz w:val="1"/>
                <w:szCs w:val="1"/>
                <w:color w:val="auto"/>
              </w:rPr>
            </w:pPr>
          </w:p>
        </w:tc>
      </w:tr>
      <w:tr>
        <w:trPr>
          <w:trHeight w:val="195"/>
        </w:trPr>
        <w:tc>
          <w:tcPr>
            <w:tcW w:w="44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flow hedges:</w:t>
            </w: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contract gains</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0" w:type="dxa"/>
            <w:vAlign w:val="bottom"/>
          </w:tcPr>
          <w:p>
            <w:pPr>
              <w:spacing w:after="0"/>
              <w:rPr>
                <w:sz w:val="1"/>
                <w:szCs w:val="1"/>
                <w:color w:val="auto"/>
              </w:rPr>
            </w:pPr>
          </w:p>
        </w:tc>
      </w:tr>
      <w:tr>
        <w:trPr>
          <w:trHeight w:val="243"/>
        </w:trPr>
        <w:tc>
          <w:tcPr>
            <w:tcW w:w="4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Cross-currency swap contract (losses) gains</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0" w:type="dxa"/>
            <w:vAlign w:val="bottom"/>
          </w:tcPr>
          <w:p>
            <w:pPr>
              <w:spacing w:after="0"/>
              <w:rPr>
                <w:sz w:val="1"/>
                <w:szCs w:val="1"/>
                <w:color w:val="auto"/>
              </w:rPr>
            </w:pPr>
          </w:p>
        </w:tc>
      </w:tr>
      <w:tr>
        <w:trPr>
          <w:trHeight w:val="27"/>
        </w:trPr>
        <w:tc>
          <w:tcPr>
            <w:tcW w:w="45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Forward interest rate contract losses</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before income tax</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0" w:type="dxa"/>
            <w:vAlign w:val="bottom"/>
          </w:tcPr>
          <w:p>
            <w:pPr>
              <w:spacing w:after="0"/>
              <w:rPr>
                <w:sz w:val="1"/>
                <w:szCs w:val="1"/>
                <w:color w:val="auto"/>
              </w:rPr>
            </w:pPr>
          </w:p>
        </w:tc>
      </w:tr>
      <w:tr>
        <w:trPr>
          <w:trHeight w:val="297"/>
        </w:trPr>
        <w:tc>
          <w:tcPr>
            <w:tcW w:w="4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of taxes</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realized (losses) gains</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30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benefit/(expense)</w:t>
            </w:r>
          </w:p>
        </w:tc>
        <w:tc>
          <w:tcPr>
            <w:tcW w:w="0" w:type="dxa"/>
            <w:vAlign w:val="bottom"/>
          </w:tcPr>
          <w:p>
            <w:pPr>
              <w:spacing w:after="0"/>
              <w:rPr>
                <w:sz w:val="1"/>
                <w:szCs w:val="1"/>
                <w:color w:val="auto"/>
              </w:rPr>
            </w:pPr>
          </w:p>
        </w:tc>
      </w:tr>
      <w:tr>
        <w:trPr>
          <w:trHeight w:val="257"/>
        </w:trPr>
        <w:tc>
          <w:tcPr>
            <w:tcW w:w="4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2"/>
                <w:szCs w:val="22"/>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taxes</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240" w:top="121"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11. Fair value measurement</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To estimate the fair values of our financial assets and liabilities we use valuation approaches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divided into three levels based on the source of inputs as follows:</w:t>
      </w:r>
    </w:p>
    <w:p>
      <w:pPr>
        <w:spacing w:after="0" w:line="238"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 Valuations based on unadjusted quoted prices in active markets for identical assets or liabilities that the Company has the ability to access</w:t>
      </w:r>
    </w:p>
    <w:p>
      <w:pPr>
        <w:spacing w:after="0" w:line="63"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 Valuations for which all significant inputs are observable, either directly or indirectly, other than level 1 inputs</w:t>
      </w:r>
    </w:p>
    <w:p>
      <w:pPr>
        <w:spacing w:after="0" w:line="63"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 Valuations based on inputs that are unobservable and significant to the overall fair value measurement</w:t>
      </w:r>
    </w:p>
    <w:p>
      <w:pPr>
        <w:spacing w:after="0" w:line="1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spacing w:after="0" w:line="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fair values of each major class of the Company’s financial assets and liabilities measured at fair value on a recurring basis were as follows (in millions):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w:t>
            </w:r>
          </w:p>
        </w:tc>
        <w:tc>
          <w:tcPr>
            <w:tcW w:w="18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26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 2015, using:</w:t>
            </w:r>
          </w:p>
        </w:tc>
        <w:tc>
          <w:tcPr>
            <w:tcW w:w="180" w:type="dxa"/>
            <w:vAlign w:val="bottom"/>
          </w:tcPr>
          <w:p>
            <w:pPr>
              <w:spacing w:after="0"/>
              <w:rPr>
                <w:sz w:val="10"/>
                <w:szCs w:val="10"/>
                <w:color w:val="auto"/>
              </w:rPr>
            </w:pPr>
          </w:p>
        </w:tc>
        <w:tc>
          <w:tcPr>
            <w:tcW w:w="15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0"/>
                <w:szCs w:val="10"/>
                <w:color w:val="auto"/>
              </w:rPr>
            </w:pPr>
          </w:p>
        </w:tc>
        <w:tc>
          <w:tcPr>
            <w:tcW w:w="150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0"/>
                <w:szCs w:val="10"/>
                <w:color w:val="auto"/>
              </w:rPr>
            </w:pPr>
          </w:p>
        </w:tc>
        <w:tc>
          <w:tcPr>
            <w:tcW w:w="144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inputs</w:t>
            </w:r>
          </w:p>
        </w:tc>
        <w:tc>
          <w:tcPr>
            <w:tcW w:w="380" w:type="dxa"/>
            <w:vAlign w:val="bottom"/>
          </w:tcPr>
          <w:p>
            <w:pPr>
              <w:spacing w:after="0"/>
              <w:rPr>
                <w:sz w:val="10"/>
                <w:szCs w:val="10"/>
                <w:color w:val="auto"/>
              </w:rPr>
            </w:pPr>
          </w:p>
        </w:tc>
        <w:tc>
          <w:tcPr>
            <w:tcW w:w="122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4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0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Foreign and 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Financial</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7,629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2,951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23,263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29,999</w:t>
            </w:r>
          </w:p>
        </w:tc>
        <w:tc>
          <w:tcPr>
            <w:tcW w:w="0" w:type="dxa"/>
            <w:vAlign w:val="bottom"/>
          </w:tcPr>
          <w:p>
            <w:pPr>
              <w:spacing w:after="0"/>
              <w:rPr>
                <w:sz w:val="1"/>
                <w:szCs w:val="1"/>
                <w:color w:val="auto"/>
              </w:rPr>
            </w:pPr>
          </w:p>
        </w:tc>
      </w:tr>
      <w:tr>
        <w:trPr>
          <w:trHeight w:val="27"/>
        </w:trPr>
        <w:tc>
          <w:tcPr>
            <w:tcW w:w="4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 obligations in connection with</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business combinations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w:t>
            </w:r>
          </w:p>
        </w:tc>
        <w:tc>
          <w:tcPr>
            <w:tcW w:w="18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26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2014, using:</w:t>
            </w:r>
          </w:p>
        </w:tc>
        <w:tc>
          <w:tcPr>
            <w:tcW w:w="180" w:type="dxa"/>
            <w:vAlign w:val="bottom"/>
          </w:tcPr>
          <w:p>
            <w:pPr>
              <w:spacing w:after="0"/>
              <w:rPr>
                <w:sz w:val="10"/>
                <w:szCs w:val="10"/>
                <w:color w:val="auto"/>
              </w:rPr>
            </w:pPr>
          </w:p>
        </w:tc>
        <w:tc>
          <w:tcPr>
            <w:tcW w:w="15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0"/>
                <w:szCs w:val="10"/>
                <w:color w:val="auto"/>
              </w:rPr>
            </w:pPr>
          </w:p>
        </w:tc>
        <w:tc>
          <w:tcPr>
            <w:tcW w:w="150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0"/>
                <w:szCs w:val="10"/>
                <w:color w:val="auto"/>
              </w:rPr>
            </w:pPr>
          </w:p>
        </w:tc>
        <w:tc>
          <w:tcPr>
            <w:tcW w:w="144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inputs</w:t>
            </w:r>
          </w:p>
        </w:tc>
        <w:tc>
          <w:tcPr>
            <w:tcW w:w="380" w:type="dxa"/>
            <w:vAlign w:val="bottom"/>
          </w:tcPr>
          <w:p>
            <w:pPr>
              <w:spacing w:after="0"/>
              <w:rPr>
                <w:sz w:val="10"/>
                <w:szCs w:val="10"/>
                <w:color w:val="auto"/>
              </w:rPr>
            </w:pPr>
          </w:p>
        </w:tc>
        <w:tc>
          <w:tcPr>
            <w:tcW w:w="122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4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0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3,646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Foreign and 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Financial</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6,041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6,351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20,376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27,170</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 obligations in connection with</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business combinations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fair values of our U.S. Treasury securities, money market mutual funds and equity securities are based on quoted market prices in active markets with no valuation adjustment.</w:t>
      </w:r>
    </w:p>
    <w:p>
      <w:pPr>
        <w:spacing w:after="0" w:line="8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Most of our other government-related and corporate debt securities are investment grade with maturity dates of five years or less from the balance sheet date. Our other government-related debt securities portfolio is composed of securities with weighted-average credit ratings of A- or equivalent by Standard &amp; Poor's Financial Services LLC (S&amp;P) or Fitch Ratings, Inc. (Fitch), A by Moody's Investors Service, Inc. (Moody's); and our corporate debt securities portfolio has a weighted-average credit rating of BBB+ or equivalent by S&amp;P or Moody's, and A- by Fitch. We estimate the fair values of these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residential mortgage-, other mortgage- and asset-backed securities portfolio is composed entirely of senior tranches, with credit ratings of AAA or equivalent by S&amp;P, Moody's or Fitch. We estimate the fair values of these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value our other short-term interest-bearing securities at amortized cost, which approximates fair value given their near-term maturity dates.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26" w:right="239" w:bottom="1440" w:gutter="0" w:footer="0" w:header="0"/>
        </w:sectPr>
      </w:pPr>
    </w:p>
    <w:bookmarkStart w:id="20" w:name="page21"/>
    <w:bookmarkEnd w:id="20"/>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All of our foreign currency forward and option derivatives contracts have maturities of three years or less and all are with counterparties that have minimum credit ratings of A- or equivalent by S&amp;P, Moody’s or Fitch. We estimated the fair values of these contracts by taking into consideration valuations obtained from a third-party valuation service that utilizes an income-based industry standard valuation model for which all significant inputs are observable, either directly or indirectly. These inputs include foreign currency rates, London Interbank Offered Rates (LIBOR) cash and swap rates and obligor credit default swap rates. In addition, inputs for our foreign currency option contracts also include implied volatility measures. These inputs, where applicable, are at commonly quoted intervals. See Note 12, Derivative instruments.</w:t>
      </w:r>
    </w:p>
    <w:p>
      <w:pPr>
        <w:spacing w:after="0" w:line="1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cross-currency swap contracts are with counterparties that have minimum credit ratings of A- or equivalent by S&amp;P, Moody’s or Fitch. We estimated the fair values of these contracts by taking into consideration valuations obtained from a third-party valuation service that utilizes an income-based industry standard valuation model for which all significant inputs are observable either directly or indirectly. These inputs include foreign currency exchange rates, LIBOR, swap rates, obligor credit default swap rates and cross-currency basis swap spreads. See Note 12, Derivative instruments.</w:t>
      </w:r>
    </w:p>
    <w:p>
      <w:pPr>
        <w:spacing w:after="0" w:line="9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interest rate swap contracts are with counterparties that have minimum credit ratings of A- or equivalent by S&amp;P, Moody’s or Fitch. We estimated the fair values of these contracts by using an income-based industry standard valuation model for which all significant inputs were observable either directly or indirectly. These inputs included LIBOR, swap rates and obligor credit default swap rates.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obligations</w:t>
      </w:r>
    </w:p>
    <w:p>
      <w:pPr>
        <w:spacing w:after="0" w:line="14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incurred contingent consideration obligations as a result of our acquisition of a business and upon the assumption of contingent consideration obligations incurred by an acquired company discussed below. These contingent consideration obligations are recorded at their estimated fair values, and we revalue these obligations each reporting period until the related contingencies are resolved. The fair value measurements of these obligations are based on significant unobservable inputs related to product candidates acquired in the business combinations and are reviewed quarterly by management in our R&amp;D and commercial sales organizations. These inputs include, as applicable, estimated probabilities and timing of achieving specified regulatory and commercial milestones and estimated annual sales. Significant changes which increase or decrease the probabilities of achieving the related regulatory and commercial events, shorten or lengthen the time required to achieve such events, or increase or decrease estimated annual sales would result in corresponding increases or decreases in the fair values of these obligations, as applicable. Changes in fair values of contingent consideration obligations are recognized in Other operating expenses in the Condensed Consolidated Statements of Income.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the carrying amounts of contingent consideration obligations were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changes in valuation</w:t>
            </w:r>
          </w:p>
        </w:tc>
        <w:tc>
          <w:tcPr>
            <w:tcW w:w="8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a result of our acquisition of BioVex in March 2011, we are obligated to pay its former shareholders up to $575 million of additional consideration contingent upon achieving separate regulatory and sales-related milestones with regard to talimogene laherparepvec, which was acquired in the acquisition. As a result of filing the BLA in the United States, we made a milestone payment of $125 million to the former BioVex shareholders during 2014. The largest remaining potential milestone payments include: (i) $125 million upon the first commercial sale in the United States following receipt of marketing approval for use of the product in specified patient populations and (ii) $125 million upon achievement of an agreed level of worldwide sales within a specified period of time. In addition, up to $200 million of additional consideration of varying amounts may be payable upon achievement of certain other regulatory and sales-related milestones.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estimate the fair values of the obligations to the former shareholders of BioVex by using probability-adjusted discounted cash flows. As a result of our quarterly review of the key assumptions, there was no change in the estimated aggregate fair value of the contingent consideration during the three and six months ended June 30, 2015.</w:t>
      </w:r>
    </w:p>
    <w:p>
      <w:pPr>
        <w:spacing w:after="0" w:line="95" w:lineRule="exact"/>
        <w:rPr>
          <w:sz w:val="20"/>
          <w:szCs w:val="20"/>
          <w:color w:val="auto"/>
        </w:rPr>
      </w:pPr>
    </w:p>
    <w:p>
      <w:pPr>
        <w:jc w:val="both"/>
        <w:ind w:firstLine="405"/>
        <w:spacing w:after="0" w:line="233" w:lineRule="auto"/>
        <w:rPr>
          <w:sz w:val="20"/>
          <w:szCs w:val="20"/>
          <w:color w:val="auto"/>
        </w:rPr>
      </w:pPr>
      <w:r>
        <w:rPr>
          <w:rFonts w:ascii="Times New Roman" w:cs="Times New Roman" w:eastAsia="Times New Roman" w:hAnsi="Times New Roman"/>
          <w:sz w:val="18"/>
          <w:szCs w:val="18"/>
          <w:color w:val="auto"/>
        </w:rPr>
        <w:t>As a result of our acquisition of Onyx in October 2013, we assumed contingent consideration obligations arising from Onyx's 2009 acquisition of Proteolix, Inc. These contingent consideration obligations were composed of two separate milestone payments of $150 million each payable if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received specified marketing approvals for relapsed multiple myeloma on or before March 31, 2016, by each of the FDA and the European Medicines Agency (EMA). In December 2014, we renegotiated the terms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of these milestones and settled the contingent consideration obligations with the former shareholders of Proteolix, Inc. by agreeing to make a single payment of $225 million. This amount was paid during the first quarter of 2015.</w:t>
      </w:r>
    </w:p>
    <w:p>
      <w:pPr>
        <w:spacing w:after="0" w:line="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2015 and 2014, there were no transfers of assets or liabilities between the fair value measurement levels and there were no material remeasurements to the fair values of assets and liabilities that are not measured at fair value on a recurring basis.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the fair value of other financial instruments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fair values of cash equivalents approximate their carrying values due to the short-term nature of these financial instruments.</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14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estimated the fair value of our long-term debt (Level 2) by taking into consideration indicative prices obtained from a third-party financial institution that utilizes industry standard valuation models, including both income- and market-based approaches, for which all significant inputs are observable either directly or indirectly. These inputs include reported trades of and broker/dealer quotes on the same or similar securities; credit spreads; benchmark yields; foreign currency exchange rates, as applicable; and other observable inputs. As of June 30, 2015, and December 31, 2014, the aggregate fair values of our long-term debt were $33.6 billion and $33.6 billion, respectively, and the carrying values were $32.0 billion and $30.7 billion, respectively.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instruments</w:t>
      </w:r>
    </w:p>
    <w:p>
      <w:pPr>
        <w:spacing w:after="0" w:line="14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is exposed to foreign currency exchange rate and interest rate risks related to its business operations. To reduce our risks related to these exposures, we utilize or have utilized certain derivative instruments, including foreign currency forward, foreign currency option, cross-currency swap, forward interest rate and interest rate swap contracts. We do not use derivatives for speculative trading purposes.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4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exposed to possible changes in the values of certain anticipated foreign currency cash flows resulting from changes in foreign currency exchange rates, associated primarily with our euro-denominated international product sales. Increases and decreases in the cash flows associated with our international product sales due to movements in foreign currency exchange rates are offset partially by the corresponding increases and decreases in our international operating expenses resulting from these foreign currency exchange rate movements. To further reduce our exposure to foreign currency exchange rate fluctuations on our international product sales, we enter into foreign currency forward and option contracts to hedge a portion of our projected international product sales primarily over a three-year time horizon, with, at any given point in time, a higher percentage of nearer-term projected product sales being hedged than in successive periods.</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June 30, 2015, and December 31, 2014, we had open foreign currency forward contracts with notional amounts of $3.2 billion and $3.8 billion, respectively, and open foreign currency option contracts with notional amounts of $382 million and $271 million, respectively. These foreign currency forward and option contracts, primarily euro based, have been designated as cash flow hedges, and accordingly, the effective portions of the unrealized gains and losses on these contracts are reported in AOCI on the Condensed Consolidated Balance Sheets and reclassified to earnings in the same periods during which the hedged transactions affect earnings.</w:t>
      </w:r>
    </w:p>
    <w:p>
      <w:pPr>
        <w:spacing w:after="0" w:line="10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2015, we effectively terminated outstanding foreign currency forward contracts, with a notional amount of $1.7 billion, to manage counterparty risk resulting from favorable movements in U.S. dollar/euro exchange rates. We received $247 million from the counterparties, which was included in Net cash provided by operating activities in the Condensed Consolidated Statement of Cash Flows. This amount remains in AOCI and will be recognized in Product sales in the Condensed Consolidated Statements of Income when the related international product sales affect earnings. In addition, during the three months ended June 30, 2015, we entered into new foreign currency forward contracts that hedge these forecasted international product sales. These contracts are included in the notional amounts of cash flow hedges outstanding at June 30, 2015.</w:t>
      </w:r>
    </w:p>
    <w:p>
      <w:pPr>
        <w:spacing w:after="0" w:line="10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To hedge our exposure to foreign currency exchange rate risk associated with certain of our long-term notes denominated in foreign currencies, we entered into cross-currency swap contracts. Under the terms of these contracts, we paid euros/pounds sterling and received U.S. dollars for the notional amounts at the inception of the contracts, and we exchange interest payments based on these notional amounts at fixed rates over the lives of the contracts in which we pay U.S. dollars and receive euros/pounds sterling. In addition, we will pay U.S. dollars to and receive euros/pounds sterling from the counterparties at the maturities of the contracts for these same notional amounts. The terms of these contracts correspond to the related hedged notes, effectively converting the interest payments and principal repayment on these notes from euros/pounds sterling to U.S. dollars. These cross-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currency swap contracts have been designated as cash flow hedges, and accordingly, the effective portions of the unrealized gains and losses on these contracts are reported in AOCI on the Condensed Consolidated Balance Sheets and reclassified to earnings in the same periods during which the hedged debt affects earnings.</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notional amounts and interest rates of our cross-currency swaps are as follows (notional amounts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U.S. dollars</w:t>
            </w:r>
          </w:p>
        </w:tc>
        <w:tc>
          <w:tcPr>
            <w:tcW w:w="1520" w:type="dxa"/>
            <w:vAlign w:val="bottom"/>
            <w:tcBorders>
              <w:bottom w:val="single" w:sz="8" w:color="auto"/>
            </w:tcBorders>
          </w:tcPr>
          <w:p>
            <w:pPr>
              <w:spacing w:after="0"/>
              <w:rPr>
                <w:sz w:val="16"/>
                <w:szCs w:val="16"/>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Hedged notes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249"/>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2.125% 2019 euro Notes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3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5.50% 2026 pound sterling Notes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4.00% 2029 pound sterling Notes</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3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effective portions of the unrealized gain/(loss) recognized in other comprehensive income for our derivative instruments designated as cash flow hedges were as follows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212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6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6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78"/>
        </w:trPr>
        <w:tc>
          <w:tcPr>
            <w:tcW w:w="640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59"/>
        </w:trPr>
        <w:tc>
          <w:tcPr>
            <w:tcW w:w="6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760" w:type="dxa"/>
            <w:vAlign w:val="bottom"/>
          </w:tcPr>
          <w:p>
            <w:pPr>
              <w:spacing w:after="0"/>
              <w:rPr>
                <w:sz w:val="21"/>
                <w:szCs w:val="21"/>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64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locations in the Condensed Consolidated Statements of Income and the effective portions of the gain/(loss) reclassified out of AOCI into earnings for our derivative instruments designated as cash flow hedges were as follows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70"/>
        </w:trPr>
        <w:tc>
          <w:tcPr>
            <w:tcW w:w="3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2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23"/>
                <w:szCs w:val="23"/>
                <w:color w:val="auto"/>
              </w:rPr>
            </w:pPr>
          </w:p>
        </w:tc>
      </w:tr>
      <w:tr>
        <w:trPr>
          <w:trHeight w:val="78"/>
        </w:trPr>
        <w:tc>
          <w:tcPr>
            <w:tcW w:w="3460" w:type="dxa"/>
            <w:vAlign w:val="bottom"/>
            <w:gridSpan w:val="2"/>
          </w:tcPr>
          <w:p>
            <w:pPr>
              <w:spacing w:after="0"/>
              <w:rPr>
                <w:sz w:val="6"/>
                <w:szCs w:val="6"/>
                <w:color w:val="auto"/>
              </w:rPr>
            </w:pPr>
          </w:p>
        </w:tc>
        <w:tc>
          <w:tcPr>
            <w:tcW w:w="2980" w:type="dxa"/>
            <w:vAlign w:val="bottom"/>
            <w:gridSpan w:val="2"/>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59"/>
        </w:trPr>
        <w:tc>
          <w:tcPr>
            <w:tcW w:w="3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20" w:type="dxa"/>
            <w:vAlign w:val="bottom"/>
            <w:tcBorders>
              <w:bottom w:val="single" w:sz="8" w:color="CCEEFF"/>
            </w:tcBorders>
          </w:tcPr>
          <w:p>
            <w:pPr>
              <w:spacing w:after="0"/>
              <w:rPr>
                <w:sz w:val="22"/>
                <w:szCs w:val="22"/>
                <w:color w:val="auto"/>
              </w:rPr>
            </w:pPr>
          </w:p>
        </w:tc>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 of Income location</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82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Forward interest rate contracts</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No portions of our cash flow hedge contracts are excluded from the assessment of hedge effectiveness, and the gains and losses of the ineffective portions of these hedging instruments were not material for the three and six months ended June 30, 2015 and 2014. As of June 30, 2015, the amounts expected to be reclassified out of AOCI into earnings over the next 12 months are approximately $427 million of net gains on our foreign currency and cross-currency swap contracts and approximately $1 million of losses on forward interest rate contracts.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4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To achieve a desired mix of fixed and floating interest rates on our long-term debt, we entered into interest rate swap contracts, which qualified and are designated as fair value hedges. The terms of these interest rate swap contracts correspond to the related hedged debt instruments and effectively converted a fixed interest rate coupon to a floating LIBOR-based coupon over the lives of the respective notes. We had interest rate swap agreements as of June 30, 2015 and December 31, 2014, with aggregate notional amounts of $6.65 billion. The contracts have rates that range from three-month LIBOR plus 0.4% to three-month LIBOR plus 2.0%.</w:t>
      </w:r>
    </w:p>
    <w:p>
      <w:pPr>
        <w:spacing w:after="0" w:line="10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fair value hedges, the unrealized gain or loss on the derivative resulting from the change in fair value during the period as well as the offsetting unrealized loss or gain of the hedged item resulting from the change in fair value during the period attributable to the hedged risk is recognized in current earnings. For the three and six months ended June 30, 2015, we included the unrealized gains on the hedged debt of $83 million and losses of $6 million, respectively, in the same line item, Interest expense, net, in the Condensed Consolidated Statements of Income, as the offsetting unrealized losses of $83 million and gains of $6 million, respectively, on the related interest rate swap agreements. For the three and six months ended June 30, 2014, we included the unrealized losses on the hedged debt of $63 million and $125 million,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respectively, in the same line item, Interest expense, net, in the Condensed Consolidated Statements of Income, as the offsetting unrealized gains of $63 million and $125 million, respectively, on the related interest rate swap agreements.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hedges</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enter into foreign currency forward contracts that are not designated as hedging transactions to reduce our exposure to foreign currency fluctuations of certain assets and liabilities denominated in foreign currencies. These exposures are hedged on a month-to-month basis. As of June 30, 2015, and December 31, 2014, the total notional amounts of these foreign currency forward contracts were $928 million and $875 million, respectively.</w:t>
      </w:r>
    </w:p>
    <w:p>
      <w:pPr>
        <w:spacing w:after="0" w:line="9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location in the Condensed Consolidated Statements of Income and the amount of gain/(loss) recognized in earnings for our derivative instruments not designated as hedging instruments were as follows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4"/>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3"/>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3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w:t>
            </w:r>
          </w:p>
        </w:tc>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220" w:type="dxa"/>
            <w:vAlign w:val="bottom"/>
            <w:gridSpan w:val="2"/>
            <w:vMerge w:val="continue"/>
          </w:tcPr>
          <w:p>
            <w:pPr>
              <w:spacing w:after="0"/>
              <w:rPr>
                <w:sz w:val="11"/>
                <w:szCs w:val="11"/>
                <w:color w:val="auto"/>
              </w:rPr>
            </w:pPr>
          </w:p>
        </w:tc>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 of Income location</w:t>
            </w:r>
          </w:p>
        </w:tc>
        <w:tc>
          <w:tcPr>
            <w:tcW w:w="120" w:type="dxa"/>
            <w:vAlign w:val="bottom"/>
            <w:vMerge w:val="restart"/>
          </w:tcPr>
          <w:p>
            <w:pPr>
              <w:spacing w:after="0"/>
              <w:rPr>
                <w:sz w:val="11"/>
                <w:szCs w:val="11"/>
                <w:color w:val="auto"/>
              </w:rPr>
            </w:pPr>
          </w:p>
        </w:tc>
        <w:tc>
          <w:tcPr>
            <w:tcW w:w="86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95"/>
        </w:trPr>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2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86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values of derivatives included on the Condensed Consolidated Balance Sheets were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noncurrent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noncurrent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2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7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derivatives</w:t>
            </w:r>
          </w:p>
        </w:tc>
        <w:tc>
          <w:tcPr>
            <w:tcW w:w="2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ind w:left="10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940" w:type="dxa"/>
            <w:vAlign w:val="bottom"/>
            <w:tcBorders>
              <w:bottom w:val="single" w:sz="8" w:color="auto"/>
            </w:tcBorders>
          </w:tcPr>
          <w:p>
            <w:pPr>
              <w:spacing w:after="0"/>
              <w:rPr>
                <w:sz w:val="16"/>
                <w:szCs w:val="16"/>
                <w:color w:val="auto"/>
              </w:rPr>
            </w:pPr>
          </w:p>
        </w:tc>
      </w:tr>
      <w:tr>
        <w:trPr>
          <w:trHeight w:val="264"/>
        </w:trPr>
        <w:tc>
          <w:tcPr>
            <w:tcW w:w="4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78"/>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225"/>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Accrued liabilities/ Other</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2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noncurrent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Accrued liabilities/ Other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1"/>
        </w:trPr>
        <w:tc>
          <w:tcPr>
            <w:tcW w:w="4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noncurrent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Accrued liabilities/ Other</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2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noncurrent liabilities</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r>
      <w:tr>
        <w:trPr>
          <w:trHeight w:val="17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91"/>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derivatives</w:t>
            </w: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derivative contracts that were in liability positions as of June 30, 2015, contain certain credit-risk-related contingent provisions that would be triggered if: (i) we were to undergo a change in control and (ii) our or the surviving entity’s creditworthiness deteriorates, which is generally defined as having either a credit rating that is below investment grade or a materially weaker creditworthiness after the change in control. If these events were to occur, the counterparties would have the right, but not the obligation, to close the contracts under early-termination provisions. In such circumstances, the counterparties could request immediate settlement of these contracts for amounts that approximate the then current fair values of the contracts. In addition, our derivative contracts are not subject to any type of master netting arrangement, and amounts due to or from a counterparty under these contracts may only be offset against other amounts due to or from the same counterparty if an event of default or termination, as defined, were to occur.</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cash flow effects of our derivative contracts for the six months ended June 30, 2015 and 2014, are included within Net cash provided by operating activities in the Condensed Consolidated Statements of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and other matters—including those discussed in this Note—that are complex in nature and have outcomes that are difficult to predict. See Note 18, Contingencies and commitments, to our consolidated financial statements in our Annual Report on Form 10-K for the year ended December 31, 2014, and Note 12, Contingencies and commitments, to our condensed consolidated financial statements in our Quarterly Report on Form 10-Q for the period ended March 31, 2015, for further discussion of certain of our legal proceedings and other matters.</w:t>
      </w:r>
    </w:p>
    <w:p>
      <w:pPr>
        <w:spacing w:after="0" w:line="7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We record accruals for loss contingencies to the extent that we conclude that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6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legal proceedings range from cases brought by a single plaintiff to class actions with thousands of putative class members. These legal proceedings, as well as other matters, involve various aspects of our business and a variety of claims—including but not limited to patent infringement, marketing, pricing and trade practices and securities law—some of which present novel factual allegations and/or unique legal theories. In each of the matters described in this filing or in Note 18, Contingencies and commitments, to our consolidated financial statements in our Annual Report on Form 10-K for the year ended December 31, 2014, or in Note 12, Contingencies and commitments, to our condensed consolidated financial statements in our Quarterly Report on Form 10-Q for the period ended March 31, 2015, plaintiffs seek an award of a not-yet-quantified amount of damages or an amount that is not material. In addition, a number of the matters pending against us are at very early stages of the legal process (which in complex proceedings of the sort faced by us often extend for several years). As a result, none of the matters described in this filing have progressed sufficiently through discovery and/or development of important factual information and legal issues to enable us to estimate a range of possible loss, if any, or such amounts are not material. While it is not possible to accurately predict or determine the eventual outcomes of these items, an adverse determination in one or more of these items currently pending could have a material adverse effect on our consolidated results of operations, financial position or cash flows.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44" w:right="239" w:bottom="1440" w:gutter="0" w:footer="0" w:header="0"/>
        </w:sectPr>
      </w:pPr>
    </w:p>
    <w:bookmarkStart w:id="25" w:name="page26"/>
    <w:bookmarkEnd w:id="25"/>
    <w:p>
      <w:pPr>
        <w:ind w:left="420"/>
        <w:spacing w:after="0"/>
        <w:rPr>
          <w:sz w:val="20"/>
          <w:szCs w:val="20"/>
          <w:color w:val="auto"/>
        </w:rPr>
      </w:pPr>
      <w:r>
        <w:rPr>
          <w:rFonts w:ascii="Times New Roman" w:cs="Times New Roman" w:eastAsia="Times New Roman" w:hAnsi="Times New Roman"/>
          <w:sz w:val="18"/>
          <w:szCs w:val="18"/>
          <w:color w:val="auto"/>
        </w:rPr>
        <w:t>Certain recent developments concerning our legal proceedings and other matters are discussed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Sandoz Filgrastim Litigation</w:t>
      </w:r>
    </w:p>
    <w:p>
      <w:pPr>
        <w:spacing w:after="0" w:line="119"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On May 5, 2015, the U.S. Court of Appeals for the Federal Circuit (the Federal Circuit Court) entered an injunction prohibiting Sandoz Inc. (Sandoz) from marketing, selling, offering for sale, or importing into the United States Sandoz’s FDA-approved Zarxio</w:t>
      </w:r>
      <w:r>
        <w:rPr>
          <w:rFonts w:ascii="Times New Roman" w:cs="Times New Roman" w:eastAsia="Times New Roman" w:hAnsi="Times New Roman"/>
          <w:sz w:val="25"/>
          <w:szCs w:val="25"/>
          <w:color w:val="010202"/>
          <w:vertAlign w:val="superscript"/>
        </w:rPr>
        <w:t>™</w:t>
      </w:r>
      <w:r>
        <w:rPr>
          <w:rFonts w:ascii="Times New Roman" w:cs="Times New Roman" w:eastAsia="Times New Roman" w:hAnsi="Times New Roman"/>
          <w:sz w:val="18"/>
          <w:szCs w:val="18"/>
          <w:color w:val="auto"/>
        </w:rPr>
        <w:t xml:space="preserve"> biosimilar product until the Federal Circuit Court resolves the appeal. On July 21, 2015, the Federal Circuit Court affirmed the district court’s dismissal of Amgen’s state law claims of unfair competition and conversion and directed the district court to enter judgment on Sandoz’s counter-claims consistent with the Federal Circuit’s interpretation of the Biologics Price Competition and Innovation Act. The Federal Circuit Court concluded that the only remedies available for a biosimilar applicant’s failure to provide its BLA by the statutory deadline is to bring a patent infringement claim and seek those patent remedies provided by the statute. The court also concluded that a biosimilar applicant must give 180-day advance notice of first commercial marketing after the FDA has licensed the biosimilar product. Accordingly, the Federal Circuit Court entered an order that its previously entered injunction be extended through September 2, 2015 (180 days from Sandoz’s notice given after FDA approval) and remanded for the district court to consider the patent infringement claim and counterclaims.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ERISA Litigation</w:t>
      </w:r>
    </w:p>
    <w:p>
      <w:pPr>
        <w:spacing w:after="0" w:line="117" w:lineRule="exact"/>
        <w:rPr>
          <w:sz w:val="20"/>
          <w:szCs w:val="20"/>
          <w:color w:val="auto"/>
        </w:rPr>
      </w:pPr>
    </w:p>
    <w:p>
      <w:pPr>
        <w:jc w:val="both"/>
        <w:ind w:right="20" w:firstLine="405"/>
        <w:spacing w:after="0" w:line="267" w:lineRule="auto"/>
        <w:rPr>
          <w:sz w:val="20"/>
          <w:szCs w:val="20"/>
          <w:color w:val="auto"/>
        </w:rPr>
      </w:pPr>
      <w:r>
        <w:rPr>
          <w:rFonts w:ascii="Times New Roman" w:cs="Times New Roman" w:eastAsia="Times New Roman" w:hAnsi="Times New Roman"/>
          <w:sz w:val="18"/>
          <w:szCs w:val="18"/>
          <w:color w:val="auto"/>
        </w:rPr>
        <w:t xml:space="preserve">On May 26, 2015, the U.S. Court of Appeals for the Ninth Circuit denied Amgen’s petition for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in this Employee Retirement Income Security Act (ERISA) class action case, and on June 9, 2015 that court granted Amgen’s motion to stay the issuance of the court’s mandate pending Amgen’s filing of a petition for certiorari with the U.S. Supreme Court, such petition presently due on August 24, 2015.</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assist the reader in understanding Amgen’s business. MD&amp;A is provided as a supplement to, and should be read in conjunction with, our Annual Report on Form 10-K for the year ended December 31, 2014 and our Quarterly Report on Form 10-Q for the period ended March 31, 2015. Our results of operations discussed in MD&amp;A are presented in conformity with GAAP. Amgen operates in one business segment: human therapeutics. Therefore, our results of operations are discussed on a consolidated basis.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4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This report and other documents we file with the U.S. Securities and Exchange Commission (SEC) contain forward-looking statements that are based on current expectations, estimates, forecasts and projections about us,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Such words as “expect,” “anticipate,” “outlook,” “could,” “target,” “project,” “intend,” “plan,” “believe,” “seek,” “estimate,” “should,” “may,” “assume,” and “continue,” as well as variations of such words and similar expressions, are intended to identify such forward-looking statements. These statements are not guarantees of future performance, and they involve certain risks, uncertainties and assumptions that are difficult to predict. We describe our respective risks, uncertainties and assumptions that could affect the outcome or results of operations in Item 1A. Risk Factors in Part II herein. We have based our forward-looking statements on our management’s beliefs and assumptions based on information available to our management at the time the statements are made. We caution you that actual outcomes and results may differ materially from what is expressed, implied or forecast by our forward-looking statements. Reference is made in particular to forward-looking statements regarding product sales, regulatory activities, clinical trial results, reimbursement, expenses, EPS, liquidity and capital resources, trends and planned dividends, stock repurchases and restructuring plans. Except as required under the federal securities laws and the rules and regulations of the SEC, we do not have any intention or obligation to update publicly any forward-looking statements after the distribution of this report, whether as a result of new information, future events, changes in assumptions or otherwise.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Amgen is committed to unlocking the potential of biology for patients suffering from serious illnesses by discovering, developing, manufacturing and delivering innovative human therapeutics. This approach begins by using tools like advanced human genetics to unravel the complexities of disease and understand the fundamentals of human biology.</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Amgen focuses on areas of high unmet medical need and leverages its biologics manufacturing expertise to strive for solutions that improve health outcomes and dramatically improve people's lives. A biotechnology pioneer since 1980, Amgen has grown to be one of the world's leading independent biotechnology companies, has reached millions of patients around the world and is developing a pipeline of medicines with breakaway potential.</w:t>
      </w:r>
    </w:p>
    <w:p>
      <w:pPr>
        <w:spacing w:after="0" w:line="95" w:lineRule="exact"/>
        <w:rPr>
          <w:sz w:val="20"/>
          <w:szCs w:val="20"/>
          <w:color w:val="auto"/>
        </w:rPr>
      </w:pPr>
    </w:p>
    <w:p>
      <w:pPr>
        <w:jc w:val="both"/>
        <w:ind w:firstLine="405"/>
        <w:spacing w:after="0" w:line="216" w:lineRule="auto"/>
        <w:rPr>
          <w:sz w:val="20"/>
          <w:szCs w:val="20"/>
          <w:color w:val="auto"/>
        </w:rPr>
      </w:pPr>
      <w:r>
        <w:rPr>
          <w:rFonts w:ascii="Times New Roman" w:cs="Times New Roman" w:eastAsia="Times New Roman" w:hAnsi="Times New Roman"/>
          <w:sz w:val="18"/>
          <w:szCs w:val="18"/>
          <w:color w:val="auto"/>
        </w:rPr>
        <w:t>Currently, we market primarily recombinant protein therapeutics for supportive cancer care, inflammation, nephrology, and bone health. Our principal products are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(pegfilgrastim),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(filgrastim), Enbrel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(etanercept),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(denosumab),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(denosumab),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(cinacalcet) and our erythropoiesis-stimulating agents: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(darbepoetin alfa) and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(epoetin alfa). Our product sales outside the United States consist principally of sales in Europe. For the three and six months ended June 30, 2015, our principal products represented 91% of worldwide product sales. We market several other products, including 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(panitumumab), Nplate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(romiplostim),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(carfilzomib), BLINCYTO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(blinatumomab) and Corlanor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(ivabradine).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9"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Following is a summary of selected significant developments affecting our business that have occurred since the filing of our Quarterly Report on Form 10-Q for the period ended March 31, 2015. For additional developments or for a more comprehensive discussion of certain developments discussed below, see our Annual Report on Form 10-K for the year ended December 31, 2014 and our Quarterly Report on Form 10-Q for the period ended March 31, 2015.</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Products/Pipeline</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Cardiovascular</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Repatha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(evolocumab)</w:t>
      </w:r>
    </w:p>
    <w:p>
      <w:pPr>
        <w:spacing w:after="0" w:line="66" w:lineRule="exact"/>
        <w:rPr>
          <w:sz w:val="20"/>
          <w:szCs w:val="20"/>
          <w:color w:val="auto"/>
        </w:rPr>
      </w:pPr>
    </w:p>
    <w:p>
      <w:pPr>
        <w:jc w:val="both"/>
        <w:ind w:left="660" w:hanging="166"/>
        <w:spacing w:after="0" w:line="23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2015, the Company discussed the data supporting the BLA for the treatment of high cholesterol with the FDA's Endocrinologic and Metabolic Drugs Advisory Committee. A majority of the Committee recommended approval of Repatha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treatment of high cholesterol in multiple high-risk patient populations, and were unanimously in favor of approval for the treatment of homozygous familial hypercholesterolemia. FDA advisory committees review marketed and investigational human drug products, including safety and effectiveness data, and make recommendations to the FDA. These committees are advisory and FDA officials are not bound to or limited by its recommendations, although the FDA has commonly followed the recommendations of its advisory panels. The FDA PDUFA target action date for our BLA is August 27, 2015.</w:t>
      </w:r>
    </w:p>
    <w:p>
      <w:pPr>
        <w:spacing w:after="0" w:line="120" w:lineRule="exact"/>
        <w:rPr>
          <w:rFonts w:ascii="Times New Roman" w:cs="Times New Roman" w:eastAsia="Times New Roman" w:hAnsi="Times New Roman"/>
          <w:sz w:val="18"/>
          <w:szCs w:val="18"/>
          <w:color w:val="auto"/>
        </w:rPr>
      </w:pPr>
    </w:p>
    <w:p>
      <w:pPr>
        <w:ind w:left="660" w:hanging="166"/>
        <w:spacing w:after="0" w:line="21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2015, we announced that the European Commission granted marketing authorization for Repatha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treatment of high cholesterol, as an adjunct to diet:</w:t>
      </w:r>
    </w:p>
    <w:p>
      <w:pPr>
        <w:spacing w:after="0" w:line="118" w:lineRule="exact"/>
        <w:rPr>
          <w:rFonts w:ascii="Times New Roman" w:cs="Times New Roman" w:eastAsia="Times New Roman" w:hAnsi="Times New Roman"/>
          <w:sz w:val="18"/>
          <w:szCs w:val="18"/>
          <w:color w:val="auto"/>
        </w:rPr>
      </w:pPr>
    </w:p>
    <w:p>
      <w:pPr>
        <w:ind w:left="1300" w:hanging="158"/>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combination with statins or other lipid-lowering therapies in patients unable to control their low-density lipoprotein cholesterol with maximum tolerated statin doses, or</w:t>
      </w:r>
    </w:p>
    <w:p>
      <w:pPr>
        <w:spacing w:after="0" w:line="80"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or in combination with other lipid-lowering therapies in patients who are statin intolerant or for whom a statin is contraindicated.</w:t>
      </w:r>
    </w:p>
    <w:p>
      <w:pPr>
        <w:spacing w:after="0" w:line="144" w:lineRule="exact"/>
        <w:rPr>
          <w:sz w:val="20"/>
          <w:szCs w:val="20"/>
          <w:color w:val="auto"/>
        </w:rPr>
      </w:pPr>
    </w:p>
    <w:p>
      <w:pPr>
        <w:ind w:left="660" w:right="20"/>
        <w:spacing w:after="0" w:line="218" w:lineRule="auto"/>
        <w:rPr>
          <w:sz w:val="20"/>
          <w:szCs w:val="20"/>
          <w:color w:val="auto"/>
        </w:rPr>
      </w:pPr>
      <w:r>
        <w:rPr>
          <w:rFonts w:ascii="Times New Roman" w:cs="Times New Roman" w:eastAsia="Times New Roman" w:hAnsi="Times New Roman"/>
          <w:sz w:val="18"/>
          <w:szCs w:val="18"/>
          <w:color w:val="auto"/>
        </w:rPr>
        <w:t>Repatha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also approved in the European Union (EU) in combination with other lipid-lowering agents in patients with homozygous familial hypercholesterolemia (age 12 and over).</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Inflammation</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Brodalumab</w:t>
      </w:r>
    </w:p>
    <w:p>
      <w:pPr>
        <w:spacing w:after="0" w:line="119" w:lineRule="exact"/>
        <w:rPr>
          <w:sz w:val="20"/>
          <w:szCs w:val="20"/>
          <w:color w:val="auto"/>
        </w:rPr>
      </w:pPr>
    </w:p>
    <w:p>
      <w:pPr>
        <w:ind w:left="660" w:right="20" w:hanging="166"/>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2015, we announced that we commenced termination of our participation in the co-development and commercialization of brodalumab with AstraZeneca. The decision was based on events of suicidal ideation and behavior in the brodalumab program.</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Neuroscience</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AMG 334</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In July 2015, we announced that we initiated phase 3 studies in episodic migraine.</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Oncology</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Kyprolis</w:t>
      </w:r>
      <w:r>
        <w:rPr>
          <w:rFonts w:ascii="Times New Roman" w:cs="Times New Roman" w:eastAsia="Times New Roman" w:hAnsi="Times New Roman"/>
          <w:sz w:val="25"/>
          <w:szCs w:val="25"/>
          <w:color w:val="auto"/>
          <w:vertAlign w:val="superscript"/>
        </w:rPr>
        <w:t>®</w:t>
      </w:r>
    </w:p>
    <w:p>
      <w:pPr>
        <w:spacing w:after="0" w:line="47" w:lineRule="exact"/>
        <w:rPr>
          <w:sz w:val="20"/>
          <w:szCs w:val="20"/>
          <w:color w:val="auto"/>
        </w:rPr>
      </w:pPr>
    </w:p>
    <w:p>
      <w:pPr>
        <w:jc w:val="both"/>
        <w:ind w:left="660" w:hanging="166"/>
        <w:spacing w:after="0" w:line="23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2015, we announced that we submitted a supplemental New Drug Application (sNDA) to the FDA for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 seek an expanded indication for the treatment of patients with relapsed multiple myeloma, who have received at least one prior therapy, based on data from the global phase 3 ENDEAVOR </w:t>
      </w:r>
      <w:r>
        <w:rPr>
          <w:rFonts w:ascii="Times New Roman" w:cs="Times New Roman" w:eastAsia="Times New Roman" w:hAnsi="Times New Roman"/>
          <w:sz w:val="18"/>
          <w:szCs w:val="18"/>
          <w:color w:val="333333"/>
        </w:rPr>
        <w:t>(RandomizEd, OpeN Label, Phase 3 Study of Carfilzomib Plus DExamethAsone Vs Bortezomib Plus DexamethasOne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Patients With Relapsed Multiple Myeloma) trial.</w:t>
      </w:r>
    </w:p>
    <w:p>
      <w:pPr>
        <w:spacing w:after="0" w:line="93" w:lineRule="exact"/>
        <w:rPr>
          <w:rFonts w:ascii="Times New Roman" w:cs="Times New Roman" w:eastAsia="Times New Roman" w:hAnsi="Times New Roman"/>
          <w:sz w:val="18"/>
          <w:szCs w:val="18"/>
          <w:color w:val="auto"/>
        </w:rPr>
      </w:pPr>
    </w:p>
    <w:p>
      <w:pPr>
        <w:jc w:val="both"/>
        <w:ind w:left="660" w:hanging="166"/>
        <w:spacing w:after="0" w:line="22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2015, we announced that the FDA approved the sNDA for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combination with Revlimid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(lenalidomide) and dexamethasone for the treatment of patients with multiple myeloma who have received one to three prior lines of therapy, based on the phase 3 ASPIRE (CArfilzomib, Lenalidomide, and DexamethaSone versus Lenalidomide and Dexamethasone for the treatment of PatIents with Relapsed Multiple MyEloma) trial.</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7" w:right="239" w:bottom="1440" w:gutter="0" w:footer="0" w:header="0"/>
        </w:sectPr>
      </w:pPr>
    </w:p>
    <w:bookmarkStart w:id="28" w:name="page29"/>
    <w:bookmarkEnd w:id="28"/>
    <w:p>
      <w:pPr>
        <w:ind w:left="540"/>
        <w:spacing w:after="0"/>
        <w:rPr>
          <w:sz w:val="20"/>
          <w:szCs w:val="20"/>
          <w:color w:val="auto"/>
        </w:rPr>
      </w:pPr>
      <w:r>
        <w:rPr>
          <w:rFonts w:ascii="Times New Roman" w:cs="Times New Roman" w:eastAsia="Times New Roman" w:hAnsi="Times New Roman"/>
          <w:sz w:val="18"/>
          <w:szCs w:val="18"/>
          <w:i w:val="1"/>
          <w:iCs w:val="1"/>
          <w:color w:val="auto"/>
        </w:rPr>
        <w:t>Prolia</w:t>
      </w:r>
      <w:r>
        <w:rPr>
          <w:rFonts w:ascii="Times New Roman" w:cs="Times New Roman" w:eastAsia="Times New Roman" w:hAnsi="Times New Roman"/>
          <w:sz w:val="25"/>
          <w:szCs w:val="25"/>
          <w:color w:val="auto"/>
          <w:vertAlign w:val="superscript"/>
        </w:rPr>
        <w:t>®</w:t>
      </w:r>
    </w:p>
    <w:p>
      <w:pPr>
        <w:spacing w:after="0" w:line="41" w:lineRule="exact"/>
        <w:rPr>
          <w:sz w:val="20"/>
          <w:szCs w:val="20"/>
          <w:color w:val="auto"/>
        </w:rPr>
      </w:pPr>
    </w:p>
    <w:p>
      <w:pPr>
        <w:ind w:left="660" w:right="20" w:hanging="166"/>
        <w:spacing w:after="0" w:line="21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2015, we announced that the phase 3 study evaluating the treatment effect of adjuvant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therapy in postmenopausal women with early hormone receptor positive breast cancer receiving aromatase inhibitor therapy, met its primary endpoint.</w:t>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Talimogene laherparepvec</w:t>
      </w:r>
    </w:p>
    <w:p>
      <w:pPr>
        <w:spacing w:after="0" w:line="119" w:lineRule="exact"/>
        <w:rPr>
          <w:sz w:val="20"/>
          <w:szCs w:val="20"/>
          <w:color w:val="auto"/>
        </w:rPr>
      </w:pPr>
    </w:p>
    <w:p>
      <w:pPr>
        <w:jc w:val="both"/>
        <w:ind w:left="660" w:hanging="166"/>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2015, the Cellular, Tissue and Gene Therapies Advisory Committee and the Oncologic Drugs Advisory Committee of the FDA jointly reviewed our talimogene laherparepvec BLA, with a majority voting that talimogene laherparepvec has a favorable risk-benefit profile for the treatment of injectable regionally or distantly metastatic melanoma. The FDA PDUFA target action date for our BLA is October 27, 2015.</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Vectibix</w:t>
      </w:r>
      <w:r>
        <w:rPr>
          <w:rFonts w:ascii="Times New Roman" w:cs="Times New Roman" w:eastAsia="Times New Roman" w:hAnsi="Times New Roman"/>
          <w:sz w:val="25"/>
          <w:szCs w:val="25"/>
          <w:color w:val="auto"/>
          <w:vertAlign w:val="superscript"/>
        </w:rPr>
        <w:t>®</w:t>
      </w:r>
    </w:p>
    <w:p>
      <w:pPr>
        <w:spacing w:after="0" w:line="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In June 2015, we announced that the phase 3 study evaluating 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best supportive care met its primary endpoint.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an overview of our results of operations (dollar amounts in millions,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8"/>
        </w:trPr>
        <w:tc>
          <w:tcPr>
            <w:tcW w:w="3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59"/>
        </w:trPr>
        <w:tc>
          <w:tcPr>
            <w:tcW w:w="3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22"/>
                <w:szCs w:val="22"/>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22"/>
                <w:szCs w:val="22"/>
                <w:color w:val="auto"/>
              </w:rPr>
            </w:pP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sales: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3,758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7,876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7,047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 of the world (ROW)</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2,258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product sales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5,225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4,949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10,099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9,305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revenues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7"/>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5,370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5,180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10,403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9,701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6,435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1,902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3,266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1,547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2,620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shares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3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increase in global product sales for the three months ended June 30, 2015, was driven by ENBREL,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The increase in global product sales for the six months ended June 30, 2015, was driven by ENBREL,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spacing w:after="0" w:line="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revenues for the three and six months ended June 30, 2014, included the receipt of a $30-million milestone payment.</w:t>
      </w:r>
    </w:p>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decrease in operating expenses for the six months ended June 30, 2015, was driven primarily as a result of savings from transformation and process improvement efforts under our restructuring plan, offset partially by increased investments for launching new products.</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Increases in net income and diluted EPS for the three and six months ended June 30, 2015, were driven by increases in operating income.</w:t>
      </w:r>
    </w:p>
    <w:p>
      <w:pPr>
        <w:spacing w:after="0" w:line="1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Although changes in foreign currency exchange rates result in increases or decreases in our reported international product sales, the benefit or detriment that such movements have on our international product sales is offset partially by corresponding increases or decreases in our international operating expenses and our related foreign currency hedging activities. Our hedging activities seek to offset the impacts, both positive and negative, that foreign currency exchange rate changes may have on our net income by hedging our net foreign currency exposure, primarily with respect to product sales denominated in euros. The net impacts from changes in foreign currency exchange rates were not material for the three and six months ended June 30, 2015 and 2014.</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9"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Worldwide product sales were as follows (dollar amounts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8"/>
        </w:trPr>
        <w:tc>
          <w:tcPr>
            <w:tcW w:w="32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59"/>
        </w:trPr>
        <w:tc>
          <w:tcPr>
            <w:tcW w:w="3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9"/>
        </w:trPr>
        <w:tc>
          <w:tcPr>
            <w:tcW w:w="322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1,429</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2,808</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ENBREL</w:t>
            </w: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2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XGEVA</w:t>
            </w:r>
            <w:r>
              <w:rPr>
                <w:rFonts w:ascii="Times New Roman" w:cs="Times New Roman" w:eastAsia="Times New Roman" w:hAnsi="Times New Roman"/>
                <w:sz w:val="25"/>
                <w:szCs w:val="25"/>
                <w:color w:val="auto"/>
                <w:vertAlign w:val="superscript"/>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70"/>
        </w:trPr>
        <w:tc>
          <w:tcPr>
            <w:tcW w:w="32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Prolia</w:t>
            </w:r>
            <w:r>
              <w:rPr>
                <w:rFonts w:ascii="Times New Roman" w:cs="Times New Roman" w:eastAsia="Times New Roman" w:hAnsi="Times New Roman"/>
                <w:sz w:val="25"/>
                <w:szCs w:val="25"/>
                <w:color w:val="auto"/>
                <w:vertAlign w:val="superscript"/>
              </w:rPr>
              <w:t>®</w:t>
            </w: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70"/>
        </w:trPr>
        <w:tc>
          <w:tcPr>
            <w:tcW w:w="32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EPOGEN</w:t>
            </w:r>
            <w:r>
              <w:rPr>
                <w:rFonts w:ascii="Times New Roman" w:cs="Times New Roman" w:eastAsia="Times New Roman" w:hAnsi="Times New Roman"/>
                <w:sz w:val="25"/>
                <w:szCs w:val="25"/>
                <w:color w:val="auto"/>
                <w:vertAlign w:val="superscript"/>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0"/>
        </w:trPr>
        <w:tc>
          <w:tcPr>
            <w:tcW w:w="32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Aranesp</w:t>
            </w:r>
            <w:r>
              <w:rPr>
                <w:rFonts w:ascii="Times New Roman" w:cs="Times New Roman" w:eastAsia="Times New Roman" w:hAnsi="Times New Roman"/>
                <w:sz w:val="25"/>
                <w:szCs w:val="25"/>
                <w:color w:val="auto"/>
                <w:vertAlign w:val="superscript"/>
              </w:rPr>
              <w:t>®</w:t>
            </w: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32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products</w:t>
            </w: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7"/>
        </w:trPr>
        <w:tc>
          <w:tcPr>
            <w:tcW w:w="3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product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4,949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9,305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Future sales of our products are influenced by a number of factors, some of which may impact sales of certain of our products more significantly than others. Such factors are discussed below and in the: (i) Overview, Item 1. Business—Marketing, Distribution and Selected Marketed Products, Item 1A. Risk Factors and Item 7—Product Sales in our Annual Report on Form 10-K for the year ended December 31, 2014, and (ii) Item 1A. Risk Factors in our Quarterly Report on Form 10-Q for the period ended March 31, 2015.</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Neulasta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/NEUPOGEN</w:t>
      </w:r>
      <w:r>
        <w:rPr>
          <w:rFonts w:ascii="Times New Roman" w:cs="Times New Roman" w:eastAsia="Times New Roman" w:hAnsi="Times New Roman"/>
          <w:sz w:val="25"/>
          <w:szCs w:val="25"/>
          <w:i w:val="1"/>
          <w:iCs w:val="1"/>
          <w:color w:val="auto"/>
          <w:vertAlign w:val="superscript"/>
        </w:rPr>
        <w:t>®</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by geographic region were as follows (dollar amounts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8"/>
        </w:trPr>
        <w:tc>
          <w:tcPr>
            <w:tcW w:w="3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59"/>
        </w:trPr>
        <w:tc>
          <w:tcPr>
            <w:tcW w:w="3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9"/>
        </w:trPr>
        <w:tc>
          <w:tcPr>
            <w:tcW w:w="324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U.S.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70"/>
        </w:trPr>
        <w:tc>
          <w:tcPr>
            <w:tcW w:w="324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ROW</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238</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476</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4"/>
        </w:trPr>
        <w:tc>
          <w:tcPr>
            <w:tcW w:w="3240" w:type="dxa"/>
            <w:vAlign w:val="bottom"/>
            <w:shd w:val="clear" w:color="auto" w:fill="CCEEFF"/>
          </w:tcPr>
          <w:p>
            <w:pPr>
              <w:ind w:left="180"/>
              <w:spacing w:after="0" w:line="264" w:lineRule="exact"/>
              <w:rPr>
                <w:sz w:val="20"/>
                <w:szCs w:val="20"/>
                <w:color w:val="auto"/>
              </w:rPr>
            </w:pPr>
            <w:r>
              <w:rPr>
                <w:rFonts w:ascii="Times New Roman" w:cs="Times New Roman" w:eastAsia="Times New Roman" w:hAnsi="Times New Roman"/>
                <w:sz w:val="18"/>
                <w:szCs w:val="18"/>
                <w:color w:val="auto"/>
              </w:rPr>
              <w:t>Total Neulasta</w:t>
            </w:r>
            <w:r>
              <w:rPr>
                <w:rFonts w:ascii="Times New Roman" w:cs="Times New Roman" w:eastAsia="Times New Roman" w:hAnsi="Times New Roman"/>
                <w:sz w:val="25"/>
                <w:szCs w:val="25"/>
                <w:color w:val="auto"/>
                <w:vertAlign w:val="superscript"/>
              </w:rPr>
              <w:t>®</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64"/>
        </w:trPr>
        <w:tc>
          <w:tcPr>
            <w:tcW w:w="324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U.S.</w:t>
            </w:r>
          </w:p>
        </w:tc>
        <w:tc>
          <w:tcPr>
            <w:tcW w:w="28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32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ROW</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4"/>
        </w:trPr>
        <w:tc>
          <w:tcPr>
            <w:tcW w:w="3240" w:type="dxa"/>
            <w:vAlign w:val="bottom"/>
            <w:tcBorders>
              <w:bottom w:val="single" w:sz="8" w:color="CCEEFF"/>
            </w:tcBorders>
          </w:tcPr>
          <w:p>
            <w:pPr>
              <w:ind w:left="180"/>
              <w:spacing w:after="0" w:line="264" w:lineRule="exact"/>
              <w:rPr>
                <w:sz w:val="20"/>
                <w:szCs w:val="20"/>
                <w:color w:val="auto"/>
              </w:rPr>
            </w:pPr>
            <w:r>
              <w:rPr>
                <w:rFonts w:ascii="Times New Roman" w:cs="Times New Roman" w:eastAsia="Times New Roman" w:hAnsi="Times New Roman"/>
                <w:sz w:val="18"/>
                <w:szCs w:val="18"/>
                <w:color w:val="auto"/>
              </w:rPr>
              <w:t>Total NEUPOGEN</w:t>
            </w:r>
            <w:r>
              <w:rPr>
                <w:rFonts w:ascii="Times New Roman" w:cs="Times New Roman" w:eastAsia="Times New Roman" w:hAnsi="Times New Roman"/>
                <w:sz w:val="25"/>
                <w:szCs w:val="25"/>
                <w:color w:val="auto"/>
                <w:vertAlign w:val="superscript"/>
              </w:rPr>
              <w:t>®</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296</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585</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4"/>
        </w:trPr>
        <w:tc>
          <w:tcPr>
            <w:tcW w:w="324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Total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2,808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04" w:lineRule="auto"/>
        <w:rPr>
          <w:sz w:val="20"/>
          <w:szCs w:val="20"/>
          <w:color w:val="auto"/>
        </w:rPr>
      </w:pPr>
      <w:r>
        <w:rPr>
          <w:rFonts w:ascii="Times New Roman" w:cs="Times New Roman" w:eastAsia="Times New Roman" w:hAnsi="Times New Roman"/>
          <w:sz w:val="18"/>
          <w:szCs w:val="18"/>
          <w:color w:val="auto"/>
        </w:rPr>
        <w:t>The increases in global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the three and six months ended June 30, 2015, were driven primarily by an increase in the average net sales price in the United States, offset partially by unfavorable changes in foreign currency exchange rates. The decreases in global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the three and six months ended June 30, 2015, were driven primarily by a decrease in unit demand due to the impact of short-acting competition.</w:t>
      </w:r>
    </w:p>
    <w:p>
      <w:pPr>
        <w:spacing w:after="0" w:line="119" w:lineRule="exact"/>
        <w:rPr>
          <w:sz w:val="20"/>
          <w:szCs w:val="20"/>
          <w:color w:val="auto"/>
        </w:rPr>
      </w:pPr>
    </w:p>
    <w:p>
      <w:pPr>
        <w:jc w:val="both"/>
        <w:ind w:firstLine="405"/>
        <w:spacing w:after="0" w:line="204" w:lineRule="auto"/>
        <w:rPr>
          <w:sz w:val="20"/>
          <w:szCs w:val="20"/>
          <w:color w:val="auto"/>
        </w:rPr>
      </w:pPr>
      <w:r>
        <w:rPr>
          <w:rFonts w:ascii="Times New Roman" w:cs="Times New Roman" w:eastAsia="Times New Roman" w:hAnsi="Times New Roman"/>
          <w:sz w:val="18"/>
          <w:szCs w:val="18"/>
          <w:color w:val="010202"/>
        </w:rPr>
        <w:t>We face competition in the United States, which could have an impact over time on future sales of NEUPOGEN</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8"/>
          <w:szCs w:val="18"/>
          <w:color w:val="010202"/>
        </w:rPr>
        <w:t xml:space="preserve"> and, to a lesser extent, Neulasta</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8"/>
          <w:szCs w:val="18"/>
          <w:color w:val="010202"/>
        </w:rPr>
        <w:t>. Our outstanding material U.S. patent for pegfilgrastim (Neulasta</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8"/>
          <w:szCs w:val="18"/>
          <w:color w:val="010202"/>
        </w:rPr>
        <w:t xml:space="preserve"> ) expires in October 2015. Apotex, Inc. announced that the FDA accepted for filing their applications, under the abbreviated pathway, for pegfilgrastim, a biosimilar version of Neulasta</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8"/>
          <w:szCs w:val="18"/>
          <w:color w:val="010202"/>
        </w:rPr>
        <w:t>, on December 17, 2014, and for filgrastim, a biosimilar version of NEUPOGEN</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8"/>
          <w:szCs w:val="18"/>
          <w:color w:val="010202"/>
        </w:rPr>
        <w:t>, on February 17, 2015.</w:t>
      </w:r>
    </w:p>
    <w:p>
      <w:pPr>
        <w:spacing w:after="0" w:line="22" w:lineRule="exact"/>
        <w:rPr>
          <w:sz w:val="20"/>
          <w:szCs w:val="20"/>
          <w:color w:val="auto"/>
        </w:rPr>
      </w:pPr>
    </w:p>
    <w:p>
      <w:pPr>
        <w:jc w:val="both"/>
        <w:ind w:firstLine="405"/>
        <w:spacing w:after="0" w:line="224" w:lineRule="auto"/>
        <w:rPr>
          <w:sz w:val="20"/>
          <w:szCs w:val="20"/>
          <w:color w:val="auto"/>
        </w:rPr>
      </w:pPr>
      <w:r>
        <w:rPr>
          <w:rFonts w:ascii="Times New Roman" w:cs="Times New Roman" w:eastAsia="Times New Roman" w:hAnsi="Times New Roman"/>
          <w:sz w:val="18"/>
          <w:szCs w:val="18"/>
          <w:color w:val="010202"/>
        </w:rPr>
        <w:t>On March 6, 2015, Sandoz, a Novartis company, announced that the FDA approved its biosimilar filgrastim, Zarxio</w:t>
      </w:r>
      <w:r>
        <w:rPr>
          <w:rFonts w:ascii="Times New Roman" w:cs="Times New Roman" w:eastAsia="Times New Roman" w:hAnsi="Times New Roman"/>
          <w:sz w:val="25"/>
          <w:szCs w:val="25"/>
          <w:color w:val="010202"/>
          <w:vertAlign w:val="superscript"/>
        </w:rPr>
        <w:t>™</w:t>
      </w:r>
      <w:r>
        <w:rPr>
          <w:rFonts w:ascii="Times New Roman" w:cs="Times New Roman" w:eastAsia="Times New Roman" w:hAnsi="Times New Roman"/>
          <w:sz w:val="18"/>
          <w:szCs w:val="18"/>
          <w:color w:val="010202"/>
        </w:rPr>
        <w:t>, for all indications then included in the reference product’s (</w:t>
      </w:r>
      <w:r>
        <w:rPr>
          <w:rFonts w:ascii="Times New Roman" w:cs="Times New Roman" w:eastAsia="Times New Roman" w:hAnsi="Times New Roman"/>
          <w:sz w:val="18"/>
          <w:szCs w:val="18"/>
          <w:color w:val="000000"/>
        </w:rPr>
        <w:t>NEUPOGEN</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10202"/>
        </w:rPr>
        <w:t xml:space="preserve"> label. The Sandoz biosimilar filgrastim is the subject of ongoing litigation between us and Sandoz. </w:t>
      </w:r>
      <w:r>
        <w:rPr>
          <w:rFonts w:ascii="Times New Roman" w:cs="Times New Roman" w:eastAsia="Times New Roman" w:hAnsi="Times New Roman"/>
          <w:sz w:val="18"/>
          <w:szCs w:val="18"/>
          <w:color w:val="000000"/>
        </w:rPr>
        <w:t>On July 21,</w:t>
      </w:r>
      <w:r>
        <w:rPr>
          <w:rFonts w:ascii="Times New Roman" w:cs="Times New Roman" w:eastAsia="Times New Roman" w:hAnsi="Times New Roman"/>
          <w:sz w:val="18"/>
          <w:szCs w:val="18"/>
          <w:color w:val="010202"/>
        </w:rPr>
        <w:t xml:space="preserve"> </w:t>
      </w:r>
      <w:r>
        <w:rPr>
          <w:rFonts w:ascii="Times New Roman" w:cs="Times New Roman" w:eastAsia="Times New Roman" w:hAnsi="Times New Roman"/>
          <w:sz w:val="18"/>
          <w:szCs w:val="18"/>
          <w:color w:val="000000"/>
        </w:rPr>
        <w:t xml:space="preserve">2015, the Federal Circuit Court concluded that a biosimilar applicant must give 180-day advance notice of first commercial marketing after the FDA has licensed the biosimilar product. Accordingly, the Federal Circuit Court entered an order that its previously entered injunction be extended through September 2, 2015 (180 days from Sandoz’s notice given after FDA approval). </w:t>
      </w:r>
      <w:r>
        <w:rPr>
          <w:rFonts w:ascii="Times New Roman" w:cs="Times New Roman" w:eastAsia="Times New Roman" w:hAnsi="Times New Roman"/>
          <w:sz w:val="18"/>
          <w:szCs w:val="18"/>
          <w:color w:val="010202"/>
        </w:rPr>
        <w:t>See Note 13, Contingencies and commitments, to the condensed consolidated financial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10202"/>
        </w:rPr>
        <w:t>statements for further discussion.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7" w:right="239" w:bottom="1440" w:gutter="0" w:footer="0" w:header="0"/>
        </w:sectPr>
      </w:pPr>
    </w:p>
    <w:bookmarkStart w:id="30" w:name="page31"/>
    <w:bookmarkEnd w:id="30"/>
    <w:p>
      <w:pPr>
        <w:ind w:left="420"/>
        <w:spacing w:after="0"/>
        <w:rPr>
          <w:sz w:val="20"/>
          <w:szCs w:val="20"/>
          <w:color w:val="auto"/>
        </w:rPr>
      </w:pPr>
      <w:r>
        <w:rPr>
          <w:rFonts w:ascii="Times New Roman" w:cs="Times New Roman" w:eastAsia="Times New Roman" w:hAnsi="Times New Roman"/>
          <w:sz w:val="18"/>
          <w:szCs w:val="18"/>
          <w:i w:val="1"/>
          <w:iCs w:val="1"/>
          <w:color w:val="auto"/>
        </w:rPr>
        <w:t>ENBREL</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ENBREL sales by geographic region were as follows (dollar amounts in millions):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8"/>
        </w:trPr>
        <w:tc>
          <w:tcPr>
            <w:tcW w:w="3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59"/>
        </w:trPr>
        <w:tc>
          <w:tcPr>
            <w:tcW w:w="3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ENBREL — U.S.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ENBREL — Canada</w:t>
            </w:r>
          </w:p>
        </w:tc>
        <w:tc>
          <w:tcPr>
            <w:tcW w:w="3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ENBREL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2,231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0"/>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increases in ENBREL sales for the three and six months ended June 30, 2015, were driven primarily by an increase in the average net sales price, offset partially by a decline in units.</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XGEVA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and Prolia</w:t>
      </w:r>
      <w:r>
        <w:rPr>
          <w:rFonts w:ascii="Times New Roman" w:cs="Times New Roman" w:eastAsia="Times New Roman" w:hAnsi="Times New Roman"/>
          <w:sz w:val="25"/>
          <w:szCs w:val="25"/>
          <w:i w:val="1"/>
          <w:iCs w:val="1"/>
          <w:color w:val="auto"/>
          <w:vertAlign w:val="superscript"/>
        </w:rPr>
        <w:t>®</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total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by geographic region were as follows (dollar amounts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216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3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78"/>
        </w:trPr>
        <w:tc>
          <w:tcPr>
            <w:tcW w:w="32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9"/>
        </w:trPr>
        <w:tc>
          <w:tcPr>
            <w:tcW w:w="32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9"/>
        </w:trPr>
        <w:tc>
          <w:tcPr>
            <w:tcW w:w="326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326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171</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4"/>
        </w:trPr>
        <w:tc>
          <w:tcPr>
            <w:tcW w:w="3260" w:type="dxa"/>
            <w:vAlign w:val="bottom"/>
            <w:shd w:val="clear" w:color="auto" w:fill="CCEEFF"/>
          </w:tcPr>
          <w:p>
            <w:pPr>
              <w:ind w:left="180"/>
              <w:spacing w:after="0" w:line="264" w:lineRule="exact"/>
              <w:rPr>
                <w:sz w:val="20"/>
                <w:szCs w:val="20"/>
                <w:color w:val="auto"/>
              </w:rPr>
            </w:pPr>
            <w:r>
              <w:rPr>
                <w:rFonts w:ascii="Times New Roman" w:cs="Times New Roman" w:eastAsia="Times New Roman" w:hAnsi="Times New Roman"/>
                <w:sz w:val="18"/>
                <w:szCs w:val="18"/>
                <w:color w:val="auto"/>
              </w:rPr>
              <w:t>Total XGEVA</w:t>
            </w:r>
            <w:r>
              <w:rPr>
                <w:rFonts w:ascii="Times New Roman" w:cs="Times New Roman" w:eastAsia="Times New Roman" w:hAnsi="Times New Roman"/>
                <w:sz w:val="25"/>
                <w:szCs w:val="25"/>
                <w:color w:val="auto"/>
                <w:vertAlign w:val="superscript"/>
              </w:rPr>
              <w:t>®</w:t>
            </w:r>
          </w:p>
        </w:tc>
        <w:tc>
          <w:tcPr>
            <w:tcW w:w="8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4"/>
        </w:trPr>
        <w:tc>
          <w:tcPr>
            <w:tcW w:w="326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820" w:type="dxa"/>
            <w:vAlign w:val="bottom"/>
          </w:tcPr>
          <w:p>
            <w:pPr>
              <w:spacing w:after="0"/>
              <w:rPr>
                <w:sz w:val="22"/>
                <w:szCs w:val="22"/>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32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8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4"/>
        </w:trPr>
        <w:tc>
          <w:tcPr>
            <w:tcW w:w="3260" w:type="dxa"/>
            <w:vAlign w:val="bottom"/>
            <w:tcBorders>
              <w:bottom w:val="single" w:sz="8" w:color="CCEEFF"/>
            </w:tcBorders>
          </w:tcPr>
          <w:p>
            <w:pPr>
              <w:ind w:left="180"/>
              <w:spacing w:after="0" w:line="264" w:lineRule="exact"/>
              <w:rPr>
                <w:sz w:val="20"/>
                <w:szCs w:val="20"/>
                <w:color w:val="auto"/>
              </w:rPr>
            </w:pPr>
            <w:r>
              <w:rPr>
                <w:rFonts w:ascii="Times New Roman" w:cs="Times New Roman" w:eastAsia="Times New Roman" w:hAnsi="Times New Roman"/>
                <w:sz w:val="18"/>
                <w:szCs w:val="18"/>
                <w:color w:val="auto"/>
              </w:rPr>
              <w:t>Total Prolia</w:t>
            </w:r>
            <w:r>
              <w:rPr>
                <w:rFonts w:ascii="Times New Roman" w:cs="Times New Roman" w:eastAsia="Times New Roman" w:hAnsi="Times New Roman"/>
                <w:sz w:val="25"/>
                <w:szCs w:val="25"/>
                <w:color w:val="auto"/>
                <w:vertAlign w:val="superscript"/>
              </w:rPr>
              <w:t>®</w:t>
            </w:r>
          </w:p>
        </w:tc>
        <w:tc>
          <w:tcPr>
            <w:tcW w:w="8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460</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64"/>
        </w:trPr>
        <w:tc>
          <w:tcPr>
            <w:tcW w:w="326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Total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/Prolia</w:t>
            </w:r>
            <w:r>
              <w:rPr>
                <w:rFonts w:ascii="Times New Roman" w:cs="Times New Roman" w:eastAsia="Times New Roman" w:hAnsi="Times New Roman"/>
                <w:sz w:val="25"/>
                <w:szCs w:val="25"/>
                <w:color w:val="auto"/>
                <w:vertAlign w:val="superscript"/>
              </w:rPr>
              <w:t>®</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increases in global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the three and six months ended June 30, 2015, were driven by increases in unit demand.</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EPOGEN</w:t>
      </w:r>
      <w:r>
        <w:rPr>
          <w:rFonts w:ascii="Times New Roman" w:cs="Times New Roman" w:eastAsia="Times New Roman" w:hAnsi="Times New Roman"/>
          <w:sz w:val="25"/>
          <w:szCs w:val="25"/>
          <w:i w:val="1"/>
          <w:iCs w:val="1"/>
          <w:color w:val="auto"/>
          <w:vertAlign w:val="superscript"/>
        </w:rPr>
        <w: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were as follows (dollar amounts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vMerge w:val="restart"/>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32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gridSpan w:val="3"/>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69"/>
        </w:trPr>
        <w:tc>
          <w:tcPr>
            <w:tcW w:w="324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512</w:t>
            </w:r>
          </w:p>
        </w:tc>
        <w:tc>
          <w:tcPr>
            <w:tcW w:w="18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9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974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29" w:lineRule="auto"/>
        <w:rPr>
          <w:sz w:val="20"/>
          <w:szCs w:val="20"/>
          <w:color w:val="auto"/>
        </w:rPr>
      </w:pPr>
      <w:r>
        <w:rPr>
          <w:rFonts w:ascii="Times New Roman" w:cs="Times New Roman" w:eastAsia="Times New Roman" w:hAnsi="Times New Roman"/>
          <w:sz w:val="18"/>
          <w:szCs w:val="18"/>
          <w:color w:val="auto"/>
        </w:rPr>
        <w:t>The decrease in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the three months ended June 30, 2015, was driven primarily by a decline in units resulting from a shift in dialysis sales to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to a lesser extent, competition, offset partially by an increase in the average net sales price.</w:t>
      </w:r>
    </w:p>
    <w:p>
      <w:pPr>
        <w:spacing w:after="0" w:line="19" w:lineRule="exact"/>
        <w:rPr>
          <w:sz w:val="20"/>
          <w:szCs w:val="20"/>
          <w:color w:val="auto"/>
        </w:rPr>
      </w:pPr>
    </w:p>
    <w:p>
      <w:pPr>
        <w:jc w:val="both"/>
        <w:ind w:right="20" w:firstLine="405"/>
        <w:spacing w:after="0" w:line="229" w:lineRule="auto"/>
        <w:rPr>
          <w:sz w:val="20"/>
          <w:szCs w:val="20"/>
          <w:color w:val="auto"/>
        </w:rPr>
      </w:pPr>
      <w:r>
        <w:rPr>
          <w:rFonts w:ascii="Times New Roman" w:cs="Times New Roman" w:eastAsia="Times New Roman" w:hAnsi="Times New Roman"/>
          <w:sz w:val="18"/>
          <w:szCs w:val="18"/>
          <w:color w:val="auto"/>
        </w:rPr>
        <w:t>The increase in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the six months ended June 30, 2015, was driven by an increase in the average net sales price, offset partially by a decline in units resulting from a shift in dialysis sales to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to a lesser extent, competition.</w:t>
      </w:r>
    </w:p>
    <w:p>
      <w:pPr>
        <w:spacing w:after="0" w:line="19" w:lineRule="exact"/>
        <w:rPr>
          <w:sz w:val="20"/>
          <w:szCs w:val="20"/>
          <w:color w:val="auto"/>
        </w:rPr>
      </w:pPr>
    </w:p>
    <w:p>
      <w:pPr>
        <w:jc w:val="both"/>
        <w:ind w:firstLine="405"/>
        <w:spacing w:after="0" w:line="199" w:lineRule="auto"/>
        <w:rPr>
          <w:sz w:val="20"/>
          <w:szCs w:val="20"/>
          <w:color w:val="auto"/>
        </w:rPr>
      </w:pPr>
      <w:r>
        <w:rPr>
          <w:rFonts w:ascii="Times New Roman" w:cs="Times New Roman" w:eastAsia="Times New Roman" w:hAnsi="Times New Roman"/>
          <w:sz w:val="18"/>
          <w:szCs w:val="18"/>
          <w:color w:val="010202"/>
        </w:rPr>
        <w:t>Our final material U.S. patent for EPOGEN</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8"/>
          <w:szCs w:val="18"/>
          <w:color w:val="010202"/>
        </w:rPr>
        <w:t xml:space="preserve"> expired in May 2015. We face competition in the United States, which may have a material adverse impact over time on EPOGEN</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8"/>
          <w:szCs w:val="18"/>
          <w:color w:val="010202"/>
        </w:rPr>
        <w:t xml:space="preserve"> sales. Currently, in the United States, EPOGEN</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8"/>
          <w:szCs w:val="18"/>
          <w:color w:val="010202"/>
        </w:rPr>
        <w:t xml:space="preserve"> and Aranesp</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8"/>
          <w:szCs w:val="18"/>
          <w:color w:val="010202"/>
        </w:rPr>
        <w:t xml:space="preserve"> compete with MIRCERA</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8"/>
          <w:szCs w:val="18"/>
          <w:color w:val="010202"/>
        </w:rPr>
        <w:t>, which F. Hoffman-La Roche Ltd. (Roche) began selling in October 2014 and, as of May 2015, licensed commercialization rights in the United States to Galenica Group. MIRCERA</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8"/>
          <w:szCs w:val="18"/>
          <w:color w:val="010202"/>
        </w:rPr>
        <w:t xml:space="preserve"> competes with Aranesp</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8"/>
          <w:szCs w:val="18"/>
          <w:color w:val="010202"/>
        </w:rPr>
        <w:t xml:space="preserve"> in the nephrology segment only. On December 16, 2014, Hospira, Inc. submitted a BLA to the FDA for Retacrit</w:t>
      </w:r>
      <w:r>
        <w:rPr>
          <w:rFonts w:ascii="Times New Roman" w:cs="Times New Roman" w:eastAsia="Times New Roman" w:hAnsi="Times New Roman"/>
          <w:sz w:val="25"/>
          <w:szCs w:val="25"/>
          <w:color w:val="010202"/>
          <w:vertAlign w:val="superscript"/>
        </w:rPr>
        <w:t>™</w:t>
      </w:r>
      <w:r>
        <w:rPr>
          <w:rFonts w:ascii="Times New Roman" w:cs="Times New Roman" w:eastAsia="Times New Roman" w:hAnsi="Times New Roman"/>
          <w:sz w:val="18"/>
          <w:szCs w:val="18"/>
          <w:color w:val="010202"/>
        </w:rPr>
        <w:t>, a proposed biosimilar to EPOGEN</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8"/>
          <w:szCs w:val="18"/>
          <w:color w:val="010202"/>
        </w:rPr>
        <w:t>, under the abbreviated pathway.</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9" w:right="239" w:bottom="1440" w:gutter="0" w:footer="0" w:header="0"/>
        </w:sectPr>
      </w:pPr>
    </w:p>
    <w:bookmarkStart w:id="31" w:name="page32"/>
    <w:bookmarkEnd w:id="31"/>
    <w:p>
      <w:pPr>
        <w:ind w:left="420"/>
        <w:spacing w:after="0"/>
        <w:rPr>
          <w:sz w:val="20"/>
          <w:szCs w:val="20"/>
          <w:color w:val="auto"/>
        </w:rPr>
      </w:pPr>
      <w:r>
        <w:rPr>
          <w:rFonts w:ascii="Times New Roman" w:cs="Times New Roman" w:eastAsia="Times New Roman" w:hAnsi="Times New Roman"/>
          <w:sz w:val="18"/>
          <w:szCs w:val="18"/>
          <w:i w:val="1"/>
          <w:iCs w:val="1"/>
          <w:color w:val="auto"/>
        </w:rPr>
        <w:t>Aranesp</w:t>
      </w:r>
      <w:r>
        <w:rPr>
          <w:rFonts w:ascii="Times New Roman" w:cs="Times New Roman" w:eastAsia="Times New Roman" w:hAnsi="Times New Roman"/>
          <w:sz w:val="25"/>
          <w:szCs w:val="25"/>
          <w:i w:val="1"/>
          <w:iCs w:val="1"/>
          <w:color w:val="auto"/>
          <w:vertAlign w:val="superscript"/>
        </w:rPr>
        <w:t>®</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by geographic region were as follows (dollar amounts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214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8"/>
        </w:trPr>
        <w:tc>
          <w:tcPr>
            <w:tcW w:w="32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59"/>
        </w:trPr>
        <w:tc>
          <w:tcPr>
            <w:tcW w:w="32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9"/>
        </w:trPr>
        <w:tc>
          <w:tcPr>
            <w:tcW w:w="322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8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70"/>
        </w:trPr>
        <w:tc>
          <w:tcPr>
            <w:tcW w:w="322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8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(13)%</w:t>
            </w:r>
          </w:p>
        </w:tc>
        <w:tc>
          <w:tcPr>
            <w:tcW w:w="10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4"/>
        </w:trPr>
        <w:tc>
          <w:tcPr>
            <w:tcW w:w="3220" w:type="dxa"/>
            <w:vAlign w:val="bottom"/>
            <w:tcBorders>
              <w:bottom w:val="single" w:sz="8" w:color="CCEEFF"/>
            </w:tcBorders>
            <w:shd w:val="clear" w:color="auto" w:fill="CCEEFF"/>
          </w:tcPr>
          <w:p>
            <w:pPr>
              <w:ind w:left="380"/>
              <w:spacing w:after="0" w:line="264" w:lineRule="exact"/>
              <w:rPr>
                <w:sz w:val="20"/>
                <w:szCs w:val="20"/>
                <w:color w:val="auto"/>
              </w:rPr>
            </w:pPr>
            <w:r>
              <w:rPr>
                <w:rFonts w:ascii="Times New Roman" w:cs="Times New Roman" w:eastAsia="Times New Roman" w:hAnsi="Times New Roman"/>
                <w:sz w:val="18"/>
                <w:szCs w:val="18"/>
                <w:color w:val="auto"/>
              </w:rPr>
              <w:t>Total Aranesp</w:t>
            </w:r>
            <w:r>
              <w:rPr>
                <w:rFonts w:ascii="Times New Roman" w:cs="Times New Roman" w:eastAsia="Times New Roman" w:hAnsi="Times New Roman"/>
                <w:sz w:val="25"/>
                <w:szCs w:val="25"/>
                <w:color w:val="auto"/>
                <w:vertAlign w:val="superscript"/>
              </w:rPr>
              <w:t>®</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34" w:lineRule="auto"/>
        <w:rPr>
          <w:sz w:val="20"/>
          <w:szCs w:val="20"/>
          <w:color w:val="auto"/>
        </w:rPr>
      </w:pPr>
      <w:r>
        <w:rPr>
          <w:rFonts w:ascii="Times New Roman" w:cs="Times New Roman" w:eastAsia="Times New Roman" w:hAnsi="Times New Roman"/>
          <w:sz w:val="18"/>
          <w:szCs w:val="18"/>
          <w:color w:val="auto"/>
        </w:rPr>
        <w:t>The decreases in global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the three and six months ended June 30, 2015, were driven primarily by unfavorable changes in foreign currency exchange rates, price declines outside the United States, and positive Medicaid rebate estimate adjustments in the prior year. These unfavorable changes were offset partially by higher unit demand, including the shift from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United States.</w:t>
      </w:r>
    </w:p>
    <w:p>
      <w:pPr>
        <w:spacing w:after="0" w:line="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Sensipar</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/Mimpara</w:t>
      </w:r>
      <w:r>
        <w:rPr>
          <w:rFonts w:ascii="Times New Roman" w:cs="Times New Roman" w:eastAsia="Times New Roman" w:hAnsi="Times New Roman"/>
          <w:sz w:val="25"/>
          <w:szCs w:val="25"/>
          <w:i w:val="1"/>
          <w:iCs w:val="1"/>
          <w:color w:val="auto"/>
          <w:vertAlign w:val="superscript"/>
        </w:rPr>
        <w: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by geographic region were as follows (dollar amounts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14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8"/>
        </w:trPr>
        <w:tc>
          <w:tcPr>
            <w:tcW w:w="324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59"/>
        </w:trPr>
        <w:tc>
          <w:tcPr>
            <w:tcW w:w="324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9"/>
        </w:trPr>
        <w:tc>
          <w:tcPr>
            <w:tcW w:w="324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8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70"/>
        </w:trPr>
        <w:tc>
          <w:tcPr>
            <w:tcW w:w="324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8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(12)%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186</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4"/>
        </w:trPr>
        <w:tc>
          <w:tcPr>
            <w:tcW w:w="3240" w:type="dxa"/>
            <w:vAlign w:val="bottom"/>
            <w:tcBorders>
              <w:bottom w:val="single" w:sz="8" w:color="CCEEFF"/>
            </w:tcBorders>
            <w:shd w:val="clear" w:color="auto" w:fill="CCEEFF"/>
          </w:tcPr>
          <w:p>
            <w:pPr>
              <w:ind w:left="380"/>
              <w:spacing w:after="0" w:line="264" w:lineRule="exact"/>
              <w:rPr>
                <w:sz w:val="20"/>
                <w:szCs w:val="20"/>
                <w:color w:val="auto"/>
              </w:rPr>
            </w:pPr>
            <w:r>
              <w:rPr>
                <w:rFonts w:ascii="Times New Roman" w:cs="Times New Roman" w:eastAsia="Times New Roman" w:hAnsi="Times New Roman"/>
                <w:sz w:val="18"/>
                <w:szCs w:val="18"/>
                <w:color w:val="auto"/>
              </w:rPr>
              <w:t>Total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0"/>
        </w:trPr>
        <w:tc>
          <w:tcPr>
            <w:tcW w:w="3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18" w:lineRule="auto"/>
        <w:rPr>
          <w:sz w:val="20"/>
          <w:szCs w:val="20"/>
          <w:color w:val="auto"/>
        </w:rPr>
      </w:pPr>
      <w:r>
        <w:rPr>
          <w:rFonts w:ascii="Times New Roman" w:cs="Times New Roman" w:eastAsia="Times New Roman" w:hAnsi="Times New Roman"/>
          <w:sz w:val="18"/>
          <w:szCs w:val="18"/>
          <w:color w:val="auto"/>
        </w:rPr>
        <w:t>The increases in global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the three and six months ended June 30, 2015, were driven primarily by an increase in unit demand and an increase in the U.S. average net sales price, offset partially by unfavorable changes in foreign currency exchange rates.</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products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product sales by geographic region were as follows (dollar amounts in millions):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16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gridSpan w:val="3"/>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320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32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69"/>
        </w:trPr>
        <w:tc>
          <w:tcPr>
            <w:tcW w:w="320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820" w:type="dxa"/>
            <w:vAlign w:val="bottom"/>
          </w:tcPr>
          <w:p>
            <w:pPr>
              <w:spacing w:after="0"/>
              <w:rPr>
                <w:sz w:val="23"/>
                <w:szCs w:val="23"/>
                <w:color w:val="auto"/>
              </w:rPr>
            </w:pPr>
          </w:p>
        </w:tc>
        <w:tc>
          <w:tcPr>
            <w:tcW w:w="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Nplate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Nplate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820" w:type="dxa"/>
            <w:vAlign w:val="bottom"/>
          </w:tcPr>
          <w:p>
            <w:pPr>
              <w:spacing w:after="0"/>
              <w:rPr>
                <w:sz w:val="23"/>
                <w:szCs w:val="23"/>
                <w:color w:val="auto"/>
              </w:rPr>
            </w:pPr>
          </w:p>
        </w:tc>
        <w:tc>
          <w:tcPr>
            <w:tcW w:w="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820" w:type="dxa"/>
            <w:vAlign w:val="bottom"/>
          </w:tcPr>
          <w:p>
            <w:pPr>
              <w:spacing w:after="0"/>
              <w:rPr>
                <w:sz w:val="23"/>
                <w:szCs w:val="23"/>
                <w:color w:val="auto"/>
              </w:rPr>
            </w:pPr>
          </w:p>
        </w:tc>
        <w:tc>
          <w:tcPr>
            <w:tcW w:w="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 U.S.</w:t>
            </w: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 ROW</w:t>
            </w:r>
          </w:p>
        </w:tc>
        <w:tc>
          <w:tcPr>
            <w:tcW w:w="820" w:type="dxa"/>
            <w:vAlign w:val="bottom"/>
          </w:tcPr>
          <w:p>
            <w:pPr>
              <w:spacing w:after="0"/>
              <w:rPr>
                <w:sz w:val="21"/>
                <w:szCs w:val="21"/>
                <w:color w:val="auto"/>
              </w:rPr>
            </w:pPr>
          </w:p>
        </w:tc>
        <w:tc>
          <w:tcPr>
            <w:tcW w:w="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products</w:t>
            </w: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Total U.S. — other products</w:t>
            </w: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00" w:type="dxa"/>
            <w:vAlign w:val="bottom"/>
            <w:vMerge w:val="continue"/>
          </w:tcPr>
          <w:p>
            <w:pPr>
              <w:spacing w:after="0"/>
              <w:rPr>
                <w:sz w:val="20"/>
                <w:szCs w:val="20"/>
                <w:color w:val="auto"/>
              </w:rPr>
            </w:pP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0"/>
                <w:szCs w:val="20"/>
                <w:color w:val="auto"/>
              </w:rPr>
            </w:pPr>
          </w:p>
        </w:tc>
        <w:tc>
          <w:tcPr>
            <w:tcW w:w="82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ROW — other products</w:t>
            </w: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57"/>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products</w:t>
            </w:r>
          </w:p>
        </w:tc>
        <w:tc>
          <w:tcPr>
            <w:tcW w:w="82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Change in excess of 100%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9"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Operating expenses were as follows (dollar amounts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20" w:type="dxa"/>
            <w:vAlign w:val="bottom"/>
          </w:tcPr>
          <w:p>
            <w:pPr>
              <w:spacing w:after="0"/>
              <w:rPr>
                <w:sz w:val="16"/>
                <w:szCs w:val="16"/>
                <w:color w:val="auto"/>
              </w:rPr>
            </w:pPr>
          </w:p>
        </w:tc>
      </w:tr>
      <w:tr>
        <w:trPr>
          <w:trHeight w:val="275"/>
        </w:trPr>
        <w:tc>
          <w:tcPr>
            <w:tcW w:w="3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64"/>
        </w:trPr>
        <w:tc>
          <w:tcPr>
            <w:tcW w:w="3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2,171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of product sales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of 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3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of product sales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of total revenues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3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of product sales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of 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Change in excess of 100%</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4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second half of 2014, we initiated a restructuring plan to invest in continuing innovation and the launch of our new pipeline molecules while improving our cost structure. We continue to estimate that this restructuring plan will result in pre-tax accounting charges in the range of $935 million to $1,035 million, of which $713 million was incurred through June 30, 2015. During the three and six months ended June 30, 2015, we incurred $63 million and $155 million, respectively, of restructuring costs. We expect that most of the remaining estimated costs will be incurred during the remainder of 2015 to support our ongoing transformation and process improvement efforts.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savings are not expected to be significant in 2015 due to investments in new product launches and external business development.</w:t>
      </w:r>
    </w:p>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Additional disclosure information required for our restructuring plan is incorporated herein by reference to Note 2, Restructuring, to the condensed consolidated financial statements.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Cost of sales decreased to 20.3% and 20.4% of total revenues for the three and six months ended June 30, 2015, respectively. The decreases were driven by lower royalties and higher average net sales prices. The six months ended June 30, 2014 also included a $99-million charge related to the termination of the supply contract with Roche as a result of acquiring the licenses to filgrastim and pegfilgrastim in certain territories effective January 1, 2014.</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Excluding the impact of the Puerto Rico excise tax, cost of sales would have been 18.5% and 18.6% of total revenues for the three and six months ended June 30, 2015, respectively, compared with 19.0% and 20.4% for the corresponding periods of the prior year. See Note 3, Income taxes, to the condensed consolidated financial statements for further discussion of the Puerto Rico excise tax.</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decrease in R&amp;D expenses for the three months ended June 30, 2015, was driven primarily by decreased costs associated with Discovery Research and Translational Sciences (DRTS) of $76 million, offset partially by increased costs in later stage clinical programs support and marketed products support of $16 million and $6 million, respectively.</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R&amp;D expenses for the six months ended June 30, 2015, was driven by decreased costs associated with DRTS, marketed products support and later stage clinical programs support of $163 million, $18 million and $6 million, respectively. All categories of R&amp;D spend benefited from savings from transformation and process improvement efforts under our restructuring plan. Throughout the remainder of 2015 these savings are expected to be offset partially by investments in support of our launch products as well as reinvestment in DRTS.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9" w:right="239" w:bottom="1440" w:gutter="0" w:footer="0" w:header="0"/>
        </w:sectPr>
      </w:pPr>
    </w:p>
    <w:bookmarkStart w:id="33" w:name="page34"/>
    <w:bookmarkEnd w:id="33"/>
    <w:p>
      <w:pPr>
        <w:ind w:left="4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increases in selling, general and administrative expenses for the three and six months ended June 30, 2015 were due to increased expenses related to new product launches, offset partially by savings from transformation and process improvement efforts under our restructuring plan.</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operating expenses for the three and six months ended June 30, 2015, included a legal proceeding charge of $71 million and certain charges related to our restructuring plan, primarily severance, of $10 million and $67 million, respectively.</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operating expenses for the three and six months ended June 30, 2014, included certain charges related to our cost savings initiatives, primarily severance, of $23 million and $38 million, respectively, and increases to the estimated aggregate fair value of the contingent consideration obligations of $14 million and $15 million,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expenses/income and income taxes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Non-operating expenses/income and income taxes were as follows (dollar amounts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6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r>
      <w:tr>
        <w:trPr>
          <w:trHeight w:val="203"/>
        </w:trPr>
        <w:tc>
          <w:tcPr>
            <w:tcW w:w="5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80" w:type="dxa"/>
            <w:vAlign w:val="bottom"/>
          </w:tcPr>
          <w:p>
            <w:pPr>
              <w:spacing w:after="0"/>
              <w:rPr>
                <w:sz w:val="17"/>
                <w:szCs w:val="17"/>
                <w:color w:val="auto"/>
              </w:rPr>
            </w:pPr>
          </w:p>
        </w:tc>
      </w:tr>
      <w:tr>
        <w:trPr>
          <w:trHeight w:val="78"/>
        </w:trPr>
        <w:tc>
          <w:tcPr>
            <w:tcW w:w="542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gridSpan w:val="3"/>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59"/>
        </w:trPr>
        <w:tc>
          <w:tcPr>
            <w:tcW w:w="54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180" w:type="dxa"/>
            <w:vAlign w:val="bottom"/>
            <w:tcBorders>
              <w:bottom w:val="single" w:sz="8" w:color="CCEEFF"/>
            </w:tcBorders>
            <w:gridSpan w:val="3"/>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541</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84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180" w:type="dxa"/>
            <w:vAlign w:val="bottom"/>
            <w:gridSpan w:val="3"/>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237</w:t>
            </w:r>
          </w:p>
        </w:tc>
      </w:tr>
      <w:tr>
        <w:trPr>
          <w:trHeight w:val="27"/>
        </w:trPr>
        <w:tc>
          <w:tcPr>
            <w:tcW w:w="5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180" w:type="dxa"/>
            <w:vAlign w:val="bottom"/>
            <w:tcBorders>
              <w:bottom w:val="single" w:sz="8" w:color="CCEEFF"/>
            </w:tcBorders>
            <w:gridSpan w:val="3"/>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342</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84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decreases in interest expense, net for the three and six months ended June 30, 2015, were due primarily to the recognition of expenses in connection with the repayment of the Master Repurchase Agreement in the second quarter of 2014.</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14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increases in interest and other income, net for the three and six months ended June 30, 2015, were due primarily to higher interest income as a result of higher average cash balances and the gain on the sale of a strategic investment, offset partially by net losses on sales of interest-bearing securities recognized in the current year periods.</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our effective tax rate for the three months ended June 30, 2015, was due primarily to the unfavorable tax impact of changes in the jurisdictional mix of income and expenses. The increase in our effective tax rate for the six months ended June 30, 2015, was due primarily to the unfavorable tax impact of changes in the jurisdictional mix of income and expenses, offset partially by a state tax audit settlement in the three months ended March 31, 2015.</w:t>
      </w:r>
    </w:p>
    <w:p>
      <w:pPr>
        <w:spacing w:after="0" w:line="9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Excluding the impact of the Puerto Rico excise tax, our effective tax rate for the three and six months ended June 30, 2015, would have been 20.6% and 18.9%, respectively, compared with 16.7% and 16.2% for the corresponding periods of the prior year.</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3, Income taxes, to the condensed consolidated financial statements for further discussion.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Selected financial data was as follows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15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580" w:type="dxa"/>
            <w:vAlign w:val="bottom"/>
            <w:tcBorders>
              <w:bottom w:val="single" w:sz="8" w:color="CCEEFF"/>
            </w:tcBorders>
          </w:tcPr>
          <w:p>
            <w:pPr>
              <w:spacing w:after="0"/>
              <w:rPr>
                <w:sz w:val="16"/>
                <w:szCs w:val="16"/>
                <w:color w:val="auto"/>
              </w:rPr>
            </w:pPr>
          </w:p>
        </w:tc>
        <w:tc>
          <w:tcPr>
            <w:tcW w:w="30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3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29,993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27,026</w:t>
            </w: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71,209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69,009</w:t>
            </w:r>
          </w:p>
        </w:tc>
      </w:tr>
      <w:tr>
        <w:trPr>
          <w:trHeight w:val="27"/>
        </w:trPr>
        <w:tc>
          <w:tcPr>
            <w:tcW w:w="45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30,702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30,215</w:t>
            </w:r>
          </w:p>
        </w:tc>
      </w:tr>
      <w:tr>
        <w:trPr>
          <w:trHeight w:val="27"/>
        </w:trPr>
        <w:tc>
          <w:tcPr>
            <w:tcW w:w="45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27,484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25,778</w:t>
            </w:r>
          </w:p>
        </w:tc>
      </w:tr>
      <w:tr>
        <w:trPr>
          <w:trHeight w:val="594"/>
        </w:trPr>
        <w:tc>
          <w:tcPr>
            <w:tcW w:w="4580" w:type="dxa"/>
            <w:vAlign w:val="bottom"/>
          </w:tcPr>
          <w:p>
            <w:pPr>
              <w:spacing w:after="0"/>
              <w:rPr>
                <w:sz w:val="24"/>
                <w:szCs w:val="24"/>
                <w:color w:val="auto"/>
              </w:rPr>
            </w:pPr>
          </w:p>
        </w:tc>
        <w:tc>
          <w:tcPr>
            <w:tcW w:w="302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119" w:right="239" w:bottom="1440" w:gutter="0" w:footer="0" w:header="0"/>
        </w:sectPr>
      </w:pPr>
    </w:p>
    <w:bookmarkStart w:id="34" w:name="page35"/>
    <w:bookmarkEnd w:id="34"/>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intends to continue to return capital to stockholders through the payment of cash dividends and share repurchases, reflecting our confidence in the future cash flows of our business. Whether and when we declare dividends and the size of any dividend could be affected by a number of factors. In addition, the number of shares repurchased and the timing of such repurchases will vary based on a number of factors, including the stock price, the availability of financing on acceptable terms, the amount and timing of dividend payments and blackout periods in which we are restricted from repurchasing shares; and the manner of purchases may include private block purchases, tender offers and market transactions. See our Annual Report on Form 10-K for the year ended December 31, 2014, Part 1, Item 1A. Risk Factors—There can be no assurance that we will continue to declare cash dividends or that we will repurchase stock.</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December 2014 and March 2015 the Board of Directors declared quarterly cash dividends of $0.79 per share of common stock, which were paid on March 6 and June 5, 2015, respectively. In July 2015, the Board of Directors declared a quarterly cash dividend of $0.79 per share of common stock, which will be paid on September 8, 2015.</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also returns capital to stockholders through its stock repurchase program. Repurchase activity under the program was temporarily suspended from the second quarter of 2013 through the third quarter of 2014, and we reinitiated repurchase activity during the fourth quarter of 2014. During the six months ended June 30, 2015, we repurchased $966 million of stock (cash settlement of stock repurchases totaled $940 million). As of June 30, 2015, $2.9 billion remained available under the Board of Directors-approved stock repurchase program.</w:t>
      </w:r>
    </w:p>
    <w:p>
      <w:pPr>
        <w:spacing w:after="0" w:line="9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believe that existing funds, cash generated from operations and existing sources of and access to financing are adequate to satisfy our needs for working capital; capital expenditure and debt service requirements; our plans to pay dividends and repurchase stock; and other business initiatives we plan to strategically pursue, including acquisitions and licensing activities. We anticipate that our liquidity needs can be met through a variety of sources, including cash provided by operating activities, sales of marketable securities, borrowings through commercial paper and/or syndicated credit facilities and access to other domestic and foreign debt markets and equity markets. With respect to our U.S. operations, we believe that existing funds intended for use in the United States; cash generated from our U.S. operations, including intercompany payments and receipts; and existing sources of and access to financing (collectively referred to as U.S. funds) are adequate to continue to meet our U.S. obligations (including our plans to pay dividends and repurchase stock with U.S. funds) for the foreseeable future. See our Annual Report on Form 10-K for the year ended December 31, 2014, Part 1, Item 1A. Risk Factors—Global economic conditions may negatively affect us and may magnify certain risks that affect our business.</w:t>
      </w:r>
    </w:p>
    <w:p>
      <w:pPr>
        <w:spacing w:after="0" w:line="10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 significant portion of our operating cash flows is dependent on the timing of payments from our customers located in the United States and, to a lesser extent, our customers outside the United States, which include government-owned or -supported healthcare providers (government healthcare providers). Payments from these government healthcare providers are dependent in part on the economic stability and creditworthiness of their applicable country. Historically, some payments from a number of European government healthcare providers have extended beyond the contractual terms of sale, and regional economic uncertainty continues. In particular, credit and economic conditions in Southern Europe, particularly in Spain, Italy, Greece and Portugal, continue to adversely impact the timing of collections of our trade receivables in this region. As of June 30, 2015 and December 31, 2014, accounts receivable in these four countries totaled $275 million and $223 million, respectively. Although economic conditions in this region may continue to affect the average length of time it takes to collect payments, to date we have not incurred any significant losses related to these receivables; and the timing of payments in these countries has not had nor is it currently expected to have a material adverse impact on our overall operating cash flows. However, if government funding for healthcare were to become unavailable in these countries or if significant adverse adjustments to past payment practices were to occur, we might not be able to collect the entire balance of these receivables. We will continue working closely with these customers, monitoring the economic situation and taking appropriate actions as necessary.</w:t>
      </w:r>
    </w:p>
    <w:p>
      <w:pPr>
        <w:spacing w:after="0" w:line="1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Of our total cash, cash equivalents and marketable securities balances totaling $30.0 billion as of June 30, 2015, approximately $27.5 billion was generated from operations in foreign tax jurisdictions and is intended to be invested indefinitely outside of the United States. Under current tax laws, if these funds were repatriated for use in our U.S. operations, we would be required to pay additional U.S. federal and state income taxes at the applicable marginal tax rates.</w:t>
      </w:r>
    </w:p>
    <w:p>
      <w:pPr>
        <w:spacing w:after="0" w:line="9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Certain of our financing arrangements contain non-financial covenants. In addition, our revolving credit agreement and Term Loan Credit Facility each includes a financial covenant with respect to the level of our borrowings in relation to our equity, as defined. We were in compliance with all applicable covenants under these arrangements as of June 30, 2015.</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cash flow activities were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8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4,143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3,369</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20" w:type="dxa"/>
            <w:vAlign w:val="bottom"/>
          </w:tcPr>
          <w:p>
            <w:pPr>
              <w:spacing w:after="0"/>
              <w:rPr>
                <w:sz w:val="21"/>
                <w:szCs w:val="21"/>
                <w:color w:val="auto"/>
              </w:rPr>
            </w:pPr>
          </w:p>
        </w:tc>
        <w:tc>
          <w:tcPr>
            <w:tcW w:w="114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6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r>
      <w:tr>
        <w:trPr>
          <w:trHeight w:val="27"/>
        </w:trPr>
        <w:tc>
          <w:tcPr>
            <w:tcW w:w="76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has been and is expected to continue to be our primary recurring source of funds. Cash provided by operating activities during the six months ended June 30, 2015, benefited from an improvement in our operating margin and the effective termination of foreign currency forward contracts that resulted in receipt of $247 million in cash, offset partially by the timing of payments to vendors and tax authorities as well as receipts from customers, including the impact of $100 million received under a government-funded program in Spain during the prior year period.</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w:t>
      </w:r>
    </w:p>
    <w:p>
      <w:pPr>
        <w:spacing w:after="0" w:line="14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during the six months ended June 30, 2015, was due primarily to net activity related to marketable securities of $3.0 billion and capital expenditures of $251 million, offset partially by proceeds from the sale of property, plant and equipment of $226 million. Cash used in investing activities during the six months ended June 30, 2014, was due primarily to net activity related to marketable securities and restricted investments of $2.6 billion and capital expenditures of $345 million. Capital expenditures during the six months ended June 30, 2015 and 2014 were associated primarily with manufacturing capacity expansions in various locations, as well as other site developments. We currently estimate 2015 spending on capital projects and equipment to be approximately $700 million.</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during the six months ended June 30, 2015, was due primarily to the payment of dividends of $1.2 billion, repurchases of common stock of $940 million and the settlement of an obligation incurred in the connection with the acquisition of Onyx of $225 million, offset partially by proceeds from the issuance of debt, net of repayments of $1.3 billion. Cash provided by financing activities during the six months ended June 30, 2014, was due primarily to proceeds from the issuance of debt, net of repayments of $1.1 billion, offset partially by the payment of dividends of $923 million.</w:t>
      </w:r>
    </w:p>
    <w:p>
      <w:pPr>
        <w:spacing w:after="0" w:line="99" w:lineRule="exact"/>
        <w:rPr>
          <w:sz w:val="20"/>
          <w:szCs w:val="20"/>
          <w:color w:val="auto"/>
        </w:rPr>
      </w:pPr>
    </w:p>
    <w:p>
      <w:pPr>
        <w:ind w:right="480" w:firstLine="405"/>
        <w:spacing w:after="0" w:line="407" w:lineRule="auto"/>
        <w:rPr>
          <w:sz w:val="20"/>
          <w:szCs w:val="20"/>
          <w:color w:val="auto"/>
        </w:rPr>
      </w:pPr>
      <w:r>
        <w:rPr>
          <w:rFonts w:ascii="Times New Roman" w:cs="Times New Roman" w:eastAsia="Times New Roman" w:hAnsi="Times New Roman"/>
          <w:sz w:val="18"/>
          <w:szCs w:val="18"/>
          <w:color w:val="auto"/>
        </w:rPr>
        <w:t xml:space="preserve">See Note 9, Financing arrangements, and Note 10, Stockholders’ equity, to the condensed consolidated financial statements for further discussion. </w:t>
      </w:r>
      <w:r>
        <w:rPr>
          <w:rFonts w:ascii="Times New Roman" w:cs="Times New Roman" w:eastAsia="Times New Roman" w:hAnsi="Times New Roman"/>
          <w:sz w:val="18"/>
          <w:szCs w:val="18"/>
          <w:b w:val="1"/>
          <w:bCs w:val="1"/>
          <w:color w:val="auto"/>
        </w:rPr>
        <w:t>Critical accounting policies</w:t>
      </w: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Part II, Item 7, of our Annual Report on Form 10-K for the year ended December 31, 2014. There were no material changes to our critical accounting policies during the six months ended June 30, 2015.</w:t>
      </w:r>
    </w:p>
    <w:p>
      <w:pPr>
        <w:spacing w:after="0" w:line="261"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Information about our market risk is disclosed in Part II, Item 7A, of our Annual Report on Form 10-K for the year ended December 31, 2014, and is incorporated herein by reference. There were no material changes during the six months ended June 30, 2015, to the information provided in Part II, Item 7A, of our Annual Report on Form 10-K for the year ended December 31, 2014.</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9" w:right="239" w:bottom="1440" w:gutter="0" w:footer="0" w:header="0"/>
        </w:sectPr>
      </w:pPr>
    </w:p>
    <w:bookmarkStart w:id="36" w:name="page37"/>
    <w:bookmarkEnd w:id="36"/>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under Exchange Act Rule 13a-15(e), that are designed to ensure that information required to be disclosed in Amgen’s Exchange Act reports is recorded, processed, summarized and reported within the time periods specified in the SEC’s rules and forms, and that such information is accumulated and communicated to Amgen’s management, including its Chief Executive Officer and Chief Financial Officer, as appropriate, to allow timely decisions regarding required disclosures. In designing and evaluating the disclosure controls and procedures, Amgen’s management recognized that any controls and procedures, no matter how well designed and operated, can provide only reasonable assurance of achieving the desired control objectives and, in reaching a reasonable level of assurance, Amgen’s management necessarily was required to apply its judgment in evaluating the cost-benefit relationship of possible controls and procedures. We have carried out an evaluation under the supervision and with the participation of our management, including Amgen’s Chief Executive Officer and Chief Financial Officer, of the effectiveness of the design and operation of Amgen’s disclosure controls and procedures. Based upon their evaluation and subject to the foregoing, the Chief Executive Officer and Chief Financial Officer concluded that our disclosure controls and procedures were effective as of June 30, 2015.</w:t>
      </w:r>
    </w:p>
    <w:p>
      <w:pPr>
        <w:spacing w:after="0" w:line="10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Management determined that, as of June 30, 2015,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06"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See Note 13, Contingencies and commitments, to the condensed consolidated financial statements included in our Quarterly Report on Form 10-Q for the period ended June 30, 2015, and Note 12, Contingencies and commitments, to the condensed consolidated financial statements included in our Quarterly Report on Form 10-Q for the period ended March 31, 2015, for discussions that are limited to certain recent developments concerning our legal proceedings. Those discussions should be read in conjunction with Note 18, Contingencies and commitments, to our consolidated financial statements in Part IV of our Annual Report on Form 10-K for the year ended December 31, 2014.</w:t>
      </w:r>
    </w:p>
    <w:p>
      <w:pPr>
        <w:spacing w:after="0" w:line="261"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This report and other documents we file with the SEC contain forward-looking statements that are based on current expectations, estimates, forecasts and projections about us, our future performance, our business, our beliefs and our management’s assumptions. These statements are not guarantees of future performance, and they involve certain risks, uncertainties and assumptions that are difficult to predict. You should carefully consider the risks and uncertainties facing our business. We have described in our Annual Report on Form 10-K for the year ended December 31, 2014, the primary risks related to our business, and we periodically update those risks for material developments. Those risks are not the only ones facing us.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w:t>
      </w:r>
    </w:p>
    <w:p>
      <w:pPr>
        <w:spacing w:after="0" w:line="7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Below, we are providing, in supplemental form, the material changes to our risk factors that occurred during the past quarter. Our risk factors disclosed in Part 1, Item 1A, of our Annual Report, on Form 10-K for the year ended December 31, 2014, provide additional disclosure for these supplemental risks and are incorporated herein by reference.</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Our current products and products in development cannot be sold without regulatory approval.</w:t>
      </w:r>
    </w:p>
    <w:p>
      <w:pPr>
        <w:spacing w:after="0" w:line="1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business is subject to extensive regulation by numerous state and federal governmental authorities in the United States, including the FDA, and by foreign regulatory authorities, including the EMA. We are required in the United States and in foreign countries to obtain approval from regulatory authorities before we can manufacture, market and sell our products. The approval by regulatory authorities of our product candidates will depend on the assessment by such regulatory authorities of the benefit-risk profile reflected by the totality of the efficacy and safety information available for our product candidates. Decisions by regulatory authorities regarding labeling, ingredients and other matters could adversely affect the approval and availability of our products. Once approved, the FDA and other U.S. and foreign regulatory agencies have substantial authority to require additional testing, perform inspections, change product labeling or mandate withdrawals of our products. Failure to comply with applicable regulatory requirements may subject us to administrative and/or judicially imposed sanctions. The sanctions could include the FDA’s or foreign regulatory authorities’ refusal to approve pending applications, delays in obtaining or withdrawals of approvals, delay or suspension of clinical trials, warning letters, product recalls, product seizures, total or partial suspension of our operations, injunctions, fines, civil penalties and/or criminal prosecution.</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79" w:right="239" w:bottom="1440" w:gutter="0" w:footer="0" w:header="0"/>
        </w:sectPr>
      </w:pPr>
    </w:p>
    <w:bookmarkStart w:id="37" w:name="page38"/>
    <w:bookmarkEnd w:id="37"/>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Obtaining and maintaining regulatory approval has been and will continue to be increasingly difficult, time-consuming and costly. There may be situations in which demonstrating the efficacy and safety of a product candidate may not be sufficient to gain regulatory approval unless superiority to comparative products can be shown. Also, legislative bodies or regulatory agencies could enact new laws or regulations or change existing laws or regulations at any time, which could affect our ability to obtain or maintain approval of our products or product candidates. For example, the EU has new legislation, which will apply as early as mid-2016, related to the conduct of clinical trials. While the aim of the new legislation is improvement in operational efficiency and a streamlining of the overall clinical trial authorization process, the new requirements also provide for increased transparency of clinical trial results and submission of quality data relating to the products and product candidates used for such trials. Starting in 2016, the EMA expects to make certain clinical trial reports publicly available, which may limit our ability to protect competitively-sensitive information contained in our clinical trial reports. Failure to comply with new laws or regulations could result in significant monetary penalties as well as reputational and other harms. We are unable to predict when and whether any further changes to laws or regulatory policies affecting our business could occur, such as efforts to reform medical device regulation or the pedigree requirements for medical products or to implement new requirements for combination products, and whether such changes could have a material adverse effect on our business and results of operations.</w:t>
      </w:r>
    </w:p>
    <w:p>
      <w:pPr>
        <w:spacing w:after="0" w:line="8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Regulatory authorities may also question the sufficiency for approval of the endpoints we select for our clinical trials. For example, questions remain about regulatory authorities’ views regarding the adequacy for approval of therapeutic oncology products that have demonstrated a statistically significant improvement in endpoints such as progression-free survival (PFS) or Durable Response Rate (DRR) but have not shown a statistically significant improvement in overall survival. A number of our products and product candidates have been evaluated in clinical trials using endpoints other than overall survival, such as PFS, DRR, and bone-metastasis-free survival (BMFS). The use of endpoints such as PFS, DRR, or BMFS, in the absence of other measures of clinical benefit, may not be sufficient for approval even when such results are statistically significant. Regulatory authorities could also add new requirements, such as the completion of an outcomes study or a meaningful portion of an outcomes study, as conditions for obtaining approval or obtaining an indication. The imposition of additional requirements may delay our clinical development and regulatory filing efforts, and delay or prevent us from obtaining regulatory approval for new product candidates, new indications for existing products or maintenance of our current labels.</w:t>
      </w:r>
    </w:p>
    <w:p>
      <w:pPr>
        <w:spacing w:after="0" w:line="81" w:lineRule="exact"/>
        <w:rPr>
          <w:sz w:val="20"/>
          <w:szCs w:val="20"/>
          <w:color w:val="auto"/>
        </w:rPr>
      </w:pPr>
    </w:p>
    <w:p>
      <w:pPr>
        <w:jc w:val="both"/>
        <w:ind w:firstLine="405"/>
        <w:spacing w:after="0" w:line="218" w:lineRule="auto"/>
        <w:rPr>
          <w:sz w:val="20"/>
          <w:szCs w:val="20"/>
          <w:color w:val="auto"/>
        </w:rPr>
      </w:pPr>
      <w:r>
        <w:rPr>
          <w:rFonts w:ascii="Times New Roman" w:cs="Times New Roman" w:eastAsia="Times New Roman" w:hAnsi="Times New Roman"/>
          <w:sz w:val="18"/>
          <w:szCs w:val="18"/>
          <w:color w:val="auto"/>
        </w:rPr>
        <w:t>Some of our products are approved by U.S. and foreign regulatory authorities on a conditional basis with full approval conditioned upon fulfilling the requirements of regulators. For example, in July 2012 our subsidiary Onyx Pharmaceuticals received accelerated approval for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used as a single agent in the United States, with full approval conditioned on us conducting additional clinical trials of the use of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as a therapy in treating multiple myeloma. In July 2015, the FDA expanded the indication by giving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full approval when used in combination with two other therapies. (See Part 1, Item 2. MD&amp;A—Significant developments.) However, when used as a single agent,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remains under its original conditional, or accelerated, approval. Regulatory authorities are placing greater focus on monitoring products originally approved on an accelerated or conditional basis and on whether the sponsors of such products have met the conditions of the accelerated or conditional approvals. If we are unable to fulfill the requirements of regulators that were conditions of our products' accelerated or conditional approval and/or if regulators re-evaluate the data or risk-benefit profile of our product in connection with a renewal assessment, our conditional approval may be revoked or not renewed or we may not receive full approval for these products or may be required to change the products' labeled indications or even withdraw the products from the market.</w:t>
      </w:r>
    </w:p>
    <w:p>
      <w:pPr>
        <w:spacing w:after="0" w:line="9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Safety problems or signals can arise as our products and product candidates are evaluated in clinical trials, including investigator sponsored studies, or as our marketed products are used in clinical practice. We are required to continuously collect and assess adverse events reported to us and to communicate to regulatory agencies these adverse events and safety signals regarding our products. Regulatory agencies periodically perform inspections of our pharmacovigilance processes, including our adverse event reporting. In 2012, pharmacovigilance legislation became effective in the EU that enhanced the authority of European regulators to require companies to conduct additional post-approval clinical efficacy and safety studies and increased the requirement on sponsor companies to analyze and evaluate the risk-benefit profiles of their products. If regulatory agencies determine that we or other parties (including our clinical trial investigators or licensees of our products) have not complied with the applicable reporting or other pharmacovigilance requirements, we may become subject to additional inspections, warning letters or other enforcement actions, including monetary fines, marketing authorization withdrawal and other penalties. Our product candidates and marketed products can also be affected by safety problems or signals occurring with respect to products that are similar to ours and that implicate an entire class of products. Further, as a result of clinical trials, including sub-analyses or meta-analyses of earlier clinical trials (a meta-analysis involves the use of various statistical methods to combine results from previous separate but related studies) performed by us or others, concerns may arise about the sufficiency of the data or studies underlying a product’s approved label. Such actual or perceived safety problems or concerns can lead to:</w:t>
      </w:r>
    </w:p>
    <w:p>
      <w:pPr>
        <w:spacing w:after="0" w:line="81" w:lineRule="exact"/>
        <w:rPr>
          <w:sz w:val="20"/>
          <w:szCs w:val="20"/>
          <w:color w:val="auto"/>
        </w:rPr>
      </w:pPr>
    </w:p>
    <w:p>
      <w:pPr>
        <w:ind w:left="660" w:hanging="247"/>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or restrictive labeling for our products, or the potential for restrictive labeling that may result in our decision not to commercialize a product candidate;</w:t>
      </w:r>
    </w:p>
    <w:p>
      <w:pPr>
        <w:spacing w:after="0" w:line="8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of risk management activities or other regulatory agency compliance actions related to the promotion and sale of our products;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0" w:lineRule="exact"/>
        <w:rPr>
          <w:sz w:val="20"/>
          <w:szCs w:val="20"/>
          <w:color w:val="auto"/>
        </w:rPr>
      </w:pPr>
    </w:p>
    <w:p>
      <w:pPr>
        <w:spacing w:after="0" w:line="268" w:lineRule="exact"/>
        <w:rPr>
          <w:sz w:val="20"/>
          <w:szCs w:val="20"/>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post-marketing commitments or pharmacovigilance programs for our approved products;</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of our approved products;</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revocation of approval for our products from the market completely, or within particular therapeutic areas or patient types;</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timelines or delays in being approved by the FDA or other regulatory bodies; and/or</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treatments or product candidates being approved by regulatory bodies.</w:t>
      </w:r>
    </w:p>
    <w:p>
      <w:pPr>
        <w:sectPr>
          <w:pgSz w:w="11900" w:h="16838" w:orient="portrait"/>
          <w:cols w:equalWidth="0" w:num="1">
            <w:col w:w="11420"/>
          </w:cols>
          <w:pgMar w:left="240" w:top="121" w:right="239" w:bottom="1440" w:gutter="0" w:footer="0" w:header="0"/>
        </w:sectPr>
      </w:pPr>
    </w:p>
    <w:bookmarkStart w:id="38" w:name="page39"/>
    <w:bookmarkEnd w:id="38"/>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example, since 2006, when adverse safety results involving erythropoiesis-stimulating agents (ESAs) were observed, ESAs continue to be the subject of ongoing review and scrutiny. Reviews by regulatory authorities of the risk-benefit profile of ESAs has resulted in and may continue to result in changes to ESA labeling and usage in both the oncology and nephrology clinical settings. In addition, on May 22, 2015, we announced that we commenced termination of our participation in the co-development and commercialization of brodalumab with AstraZeneca. The decision was based on events of suicidal ideation and behavior in the brodalumab program, which we believe likely would necessitate restrictive labeling that would limit the appropriate patient population.</w:t>
      </w:r>
    </w:p>
    <w:p>
      <w:pPr>
        <w:spacing w:after="0" w:line="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to our innovative products, we are working to develop and commercialize biosimilar versions of nine products currently manufactured, marketed and sold by other pharmaceutical companies. In many markets there is not yet a legislative or regulatory pathway for the approval of biosimilars. In the United States, the Patient Protection and Affordable Care Act provided for such a pathway; while the FDA is working to implement it, significant questions remain as to how products will be approved under the pathway. (See our Annual Report on Form 10-K for the year ended December 31, 2014, Part 1, Item 1A. Risk Factors—We expect to face increasing competition from biosimilars.) Delays or uncertainties in the development of such pathways could result in delays or difficulties in getting our products approved by regulatory authorities, subject us to unanticipated development costs or otherwise reduce the value of the investments we have made in the biosimilars area. Additionally, biosimilar products may be subject to patent dispute resolution and/or patent infringement litigation, which could delay or prevent the commercial launch of a product.</w:t>
      </w:r>
    </w:p>
    <w:p>
      <w:pPr>
        <w:spacing w:after="0" w:line="75"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8"/>
          <w:szCs w:val="18"/>
          <w:i w:val="1"/>
          <w:iCs w:val="1"/>
          <w:color w:val="auto"/>
        </w:rPr>
        <w:t>We perform a substantial amount of our commercial manufacturing activities at our Puerto Rico manufacturing facility and a substantial amount of our clinical manufacturing activities at our Thousand Oaks, California manufacturing facility; if significant natural disasters or production failures occur at the Puerto Rico facility, we may not be able to supply these products or, at the Thousand Oaks facility, we may not be able to continue our clinical trials.</w:t>
      </w:r>
    </w:p>
    <w:p>
      <w:pPr>
        <w:spacing w:after="0" w:line="101" w:lineRule="exact"/>
        <w:rPr>
          <w:sz w:val="20"/>
          <w:szCs w:val="20"/>
          <w:color w:val="auto"/>
        </w:rPr>
      </w:pPr>
    </w:p>
    <w:p>
      <w:pPr>
        <w:jc w:val="both"/>
        <w:ind w:firstLine="405"/>
        <w:spacing w:after="0" w:line="217" w:lineRule="auto"/>
        <w:rPr>
          <w:sz w:val="20"/>
          <w:szCs w:val="20"/>
          <w:color w:val="auto"/>
        </w:rPr>
      </w:pPr>
      <w:r>
        <w:rPr>
          <w:rFonts w:ascii="Times New Roman" w:cs="Times New Roman" w:eastAsia="Times New Roman" w:hAnsi="Times New Roman"/>
          <w:sz w:val="18"/>
          <w:szCs w:val="18"/>
          <w:color w:val="auto"/>
        </w:rPr>
        <w:t>We currently perform all of the formulation, fill and finish for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substantially all of the formulation, fill and finish operations for ENBREL at our manufacturing facility in Juncos, Puerto Rico. We also currently perform all of the bulk manufacturing for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all of the purification of bulk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material and substantially all of the bulk manufacturing for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at this facility. We perform substantially all of the bulk manufacturing and formulation, fill and finish, and packaging for product candidates to be used in clinical trials at our manufacturing facility in Thousand Oaks, California. The global supply of our products and product candidates is significantly dependent on the uninterrupted and efficient operation of these facilities. A number of factors could materially and adversely affect our operations, including:</w:t>
      </w:r>
    </w:p>
    <w:p>
      <w:pPr>
        <w:spacing w:after="0" w:line="119" w:lineRule="exact"/>
        <w:rPr>
          <w:sz w:val="20"/>
          <w:szCs w:val="20"/>
          <w:color w:val="auto"/>
        </w:rPr>
      </w:pPr>
    </w:p>
    <w:p>
      <w:pPr>
        <w:ind w:left="720" w:hanging="307"/>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failures and/or other utility failures;</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breakdown, failure or substandard performance of equipment;</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installation or operation of equipment;</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or shortages, including the effects of a pandemic flu outbreak;</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third-party suppliers to provide raw materials and components; and</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other disasters, including hurricanes, earthquakes or fires.</w:t>
      </w:r>
    </w:p>
    <w:p>
      <w:pPr>
        <w:spacing w:after="0" w:line="158"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These or other problems may result in our being unable to supply our products, which could materially and adversely affect our product sales, business and operating results. Our Puerto Rico facility is also subject to the same difficulties, disruptions or delays in manufacturing experienced in our other manufacturing facilities. For example, the limited number of lots of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voluntarily recalled in 2010 were manufactured at our Puerto Rico facility. In future inspections, our failure to adequately address the FDA's expectations could lead to further inspections of the facility or regulatory actions. (See our Annual Report on Form 10-K for the year ended December 31, 2014, Part 1, Item 1A. Risk Factors—Manufacturing difficulties, disruptions or delays could limit supply of our products and limit our product sales.) In June 2015, Puerto Rico’s governor stated that Puerto Rico was not able to pay its roughly $72 billion in debt, and on August 3, 2015, Puerto Rico failed to make a $58 million bond payment. If the P</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uerto Rico government were not able to restructure the debt obligations or get forbearance on debt payments, it could impact the territorial government’s provision of utilities or other services in Puerto Rico that we use in the operation of our business, result in migration of workers from Puerto Rico to the mainland United States and make it more expensive or difficult for us to operate in Puerto Rico.</w:t>
      </w:r>
    </w:p>
    <w:p>
      <w:pPr>
        <w:spacing w:after="0" w:line="226"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June 30, 2015, we had one outstanding stock repurchase program. Our repurchase activity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2015, was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 that may</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under the program</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49"/>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1 - April 30</w:t>
            </w:r>
          </w:p>
        </w:tc>
        <w:tc>
          <w:tcPr>
            <w:tcW w:w="20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532,300</w:t>
            </w: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160.76</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532,300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3,310,258,090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1 - May 31</w:t>
            </w:r>
          </w:p>
        </w:tc>
        <w:tc>
          <w:tcPr>
            <w:tcW w:w="20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1,027,900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159.15</w:t>
            </w:r>
          </w:p>
        </w:tc>
        <w:tc>
          <w:tcPr>
            <w:tcW w:w="120" w:type="dxa"/>
            <w:vAlign w:val="bottom"/>
          </w:tcPr>
          <w:p>
            <w:pPr>
              <w:spacing w:after="0"/>
              <w:rPr>
                <w:sz w:val="21"/>
                <w:szCs w:val="21"/>
                <w:color w:val="auto"/>
              </w:rPr>
            </w:pPr>
          </w:p>
        </w:tc>
        <w:tc>
          <w:tcPr>
            <w:tcW w:w="20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1,027,900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3,146,663,762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1 - June 30</w:t>
            </w:r>
          </w:p>
        </w:tc>
        <w:tc>
          <w:tcPr>
            <w:tcW w:w="20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1,694,000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156.74</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1,694,000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2,881,142,334</w:t>
            </w: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2"/>
                <w:szCs w:val="22"/>
                <w:color w:val="auto"/>
              </w:rPr>
            </w:pPr>
          </w:p>
        </w:tc>
        <w:tc>
          <w:tcPr>
            <w:tcW w:w="208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3,254,200</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158.16</w:t>
            </w:r>
          </w:p>
        </w:tc>
        <w:tc>
          <w:tcPr>
            <w:tcW w:w="12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3,254,200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 In October 2014, our Board of Directors authorized an increase that resulted in a total of $4.0 billion available under the stock repurchase program.</w:t>
      </w:r>
    </w:p>
    <w:p>
      <w:pPr>
        <w:spacing w:after="0" w:line="302"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Reference is made to the Index to Exhibits included herein.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thereunto duly authorized.</w:t>
      </w:r>
    </w:p>
    <w:p>
      <w:pPr>
        <w:spacing w:after="0" w:line="24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Amgen Inc.</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40"/>
        <w:spacing w:after="0"/>
        <w:tabs>
          <w:tab w:leader="none" w:pos="700" w:val="left"/>
          <w:tab w:leader="none" w:pos="5280" w:val="left"/>
          <w:tab w:leader="none" w:pos="7960" w:val="left"/>
          <w:tab w:leader="none" w:pos="83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u w:val="single" w:color="auto"/>
          <w:color w:val="auto"/>
        </w:rPr>
        <w:t>August 5,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DAVID W. 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4"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David W. Meline</w:t>
      </w:r>
    </w:p>
    <w:p>
      <w:pPr>
        <w:spacing w:after="0" w:line="109"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117" w:right="2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AMGEN INC.</w:t>
            </w:r>
          </w:p>
        </w:tc>
      </w:tr>
      <w:tr>
        <w:trPr>
          <w:trHeight w:val="432"/>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53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2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Restated Certificate of Incorporation of Amgen Inc. (As Restated March 6, 2013.) (Filed as an exhibit to Form 10-Q for the quarter</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March 31, 2013 on May 3, 2013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Bylaws of Amgen Inc. (As Amended and Restated March 6, 2013). (Filed as an exhibit to Form 8-K on March 6,</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2013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Amended and Restated Bylaws of Amgen Inc. (As Amended and Restated March 6, 2013). (Filed as an exhibit</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Form 8-K on October 16, 2013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stock certificate for the common stock, par value $.0001 of the Company. (Filed as an exhibit to Form 10-Q for the quarter</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March 31, 1997 on May 13, 1997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Indenture, dated January 1, 1992. (Filed as an exhibit to Form S-3 Registration Statement filed on December 19, 1991 and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of Resignation, Appointment and Acceptance dated February 15, 2008. (Filed as an exhibit to Form 10-K for the year ended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2007 on February 28, 2008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Supplemental Indenture, dated February 26, 1997. (Filed as an exhibit to Form 8-K on March 14, 1997 and incorporated herein by</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w:t>
            </w:r>
          </w:p>
        </w:tc>
      </w:tr>
      <w:tr>
        <w:trPr>
          <w:trHeight w:val="405"/>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8-1/8% Debentures due April 1, 2097. (Filed as an exhibit to Form 8-K on April 8, 1997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January 1, 1992, as supplemented by the First Supplemental Indenture, dated February 26,</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1997, establishing a series of securities entitled “8 1/8% Debentures due April 1, 2097.” (Filed as an exhibit to Form 8-K on April 8,</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1997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August 4, 2003. (Filed as an exhibit to Form S-3 Registration Statement on August 4, 2003 and incorporated herein by</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Commercial Paper - Master Note between and among Amgen Inc., as Issuer, Cede &amp; Co., as Nominee of The Depository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Company, and Citibank, N.A., as Paying Agent. (Filed as an exhibit to Form 10-Q for the quarter ended March 31, 1998 on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13, 1998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May 30, 2007, including forms of the Company's Senior Floating Rate Notes due 2008, 5.85%</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2017 and 6.375% Senior Notes due 2037. (Filed as an exhibit to Form 8-K on May 30, 2007 and incorporated herein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May 23, 2008, including forms of the Company's 6.15% Senior Notes due 2018 and 6.90%</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2038. (Filed as exhibit to Form 8-K on May 23, 2009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January 16, 2009, including forms of the Company's 5.70% Senior Notes due 2019 and 6.40%</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2039. (Filed as exhibit to Form 8-K on January 16, 2009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March 12, 2010, including forms of the Company's 4.50% Senior Notes due 2020 and 5.75%</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2040. (Filed as exhibit to Form 8-K on March 15, 2010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September 16, 2010, including forms of the Company's 3.45% Senior Notes due 2020 and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4.95% Senior Notes due 2041. (Filed as an exhibit to Form 8-K on September 17, 2010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June 30, 2011, including forms of the Company's 2.30% Senior Notes due 2016, 4.10% Senior</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2021 and 5.65% Senior Notes due 2042. (Filed as an exhibit to Form 8-K on June 30, 2011 and incorporated herein by</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November 10, 2011, including forms of the Company's 1.875% Senior Notes due 2014, 2.50%</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2016, 3.875% Senior Notes due 2021 and 5.15% Senior Notes due 2041. (Filed as an exhibit to Form 8-K on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10, 2011 and incorporated herein by reference.)</w:t>
            </w: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7" w:right="2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9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2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December 5, 2011, including forms of the Company's 4.375% Senior Notes due 2018 and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5.50% Senior Notes due 2026. (Filed as an exhibit to Form 8-K on December 5, 2011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May 15, 2012, including forms of the Company's 2.125% Senior Notes due 2017, 3.625%</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2022 and 5.375% Senior Notes due 2043. (Filed as an exhibit to Form 8-K on May 15, 2012 and incorporated herein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September 13, 2012, including forms of the Company's 2.125% Senior Notes due 2019 and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4.000% Senior Notes due 2029. (Filed as an exhibit to Form 8-K on September 13, 2012 and incorporated herein by reference.)</w:t>
            </w:r>
          </w:p>
        </w:tc>
      </w:tr>
      <w:tr>
        <w:trPr>
          <w:trHeight w:val="414"/>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May 22, 2014, between Amgen Inc. and The Bank of New York Mellon Trust Company, N.A., as Trustee. (Filed as an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to Form 8-K on May 22, 2014 and incorporated herein by reference.)</w:t>
            </w:r>
          </w:p>
        </w:tc>
      </w:tr>
      <w:tr>
        <w:trPr>
          <w:trHeight w:val="414"/>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May 22, 2014, including forms of the Company's Senior Floating Rate Notes due 2017, Senior</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Floating Rate Notes due 2019, 1.250% Senior Notes due 2017, 2.200% Senior Notes due 2019 and 3.625% Senior Notes due 2024.</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as an exhibit to Form 8-K on May 22, 2014 and incorporated herein by reference.)</w:t>
            </w:r>
          </w:p>
        </w:tc>
      </w:tr>
      <w:tr>
        <w:trPr>
          <w:trHeight w:val="414"/>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May 1, 2015, including forms of the Company’s 2.125% Senior Notes due 2020, 2.700%</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2022, 3.125% Senior Notes due 2025 and 4.400% Senior Notes. 9Add due 2045. (Filed as an exhibit on Form 8-K on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2015 and incorporated herein by reference.)</w:t>
            </w:r>
          </w:p>
        </w:tc>
      </w:tr>
      <w:tr>
        <w:trPr>
          <w:trHeight w:val="414"/>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Amended and Restated 2009 Equity Incentive Plan. (Filed as Appendix C to the Definitive Proxy Statement on Schedule</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14A on April 8, 2013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Amgen Inc. Amended and Restated 2009 Equity Incentive Plan, effective March 4, 2015. (Filed as an exhibit to</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10-Q for the quarter ended March 31, 2015 on April 27, 2015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Stock Option Agreement for the Amgen Inc. Amended and Restated 2009 Equity Incentive Plan. (As Amended on March 6,</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2013.) (Filed as an exhibit to Form 10-Q for the quarter ended March 31, 2013 on May 3, 2013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Restricted Stock Unit Agreement for the Amgen Inc. Amended and Restated 2009 Equity Incentive Plan. (As Amended on May</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14, 2015.)</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2009 Performance Award Program. (As Amended on December 13, 2013.) (Filed as an exhibit to Form 10-K for the year</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December 31, 2013 on February 24, 2014 and incorporated herein by reference.)</w:t>
            </w: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Performance Unit Agreement for the Amgen Inc. 2009 Performance Award Program. (As Amended on May 14, 2015).</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2009 Director Equity Incentive Program. (As Amended on March 6, 2013.) (Filed as an exhibit to Form 10-Q for the quarter</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March 31, 2013 on May 3, 2013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Grant of Non-Qualified Stock Option Agreement for the Amgen Inc. 2009 Director Equity Incentive Program. (Filed as an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to Form 8-K on May 8, 2009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Restricted Stock Unit Agreement for the Amgen Inc. 2009 Director Equity Incentive Program. (As Amended on March 6,</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2013.) (Filed as an exhibit to Form 10-Q for the quarter ended March 31, 2013 on May 3, 2013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Supplemental Retirement Plan. (As Amended and Restated effective October 16, 2013.) (Filed as an exhibit to Form 10-K</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2013 on February 24, 2014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Amgen Change of Control Severance Plan. (As Amended and Restated effective December 9, 2010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subsequently amended effective March 2, 2011.) (Filed as an exhibit to Form 10-Q for the quarter ended March 31, 2011 on May 10,</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2011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Executive Incentive Plan. (As Amended and Restated effective January 1, 2009.) (Filed as an exhibit to Form 10-Q for the</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 ended September 30, 2008 on November 7, 2008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Amgen Inc. Executive Incentive Plan, effective December 13, 2012. (Filed as an exhibit to Form 10-K for the</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2012 on February 27, 2013 and incorporated herein by reference.)</w:t>
            </w:r>
          </w:p>
        </w:tc>
      </w:tr>
      <w:tr>
        <w:trPr>
          <w:trHeight w:val="756"/>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41</w:t>
            </w:r>
          </w:p>
        </w:tc>
      </w:tr>
    </w:tbl>
    <w:p>
      <w:pPr>
        <w:sectPr>
          <w:pgSz w:w="11900" w:h="16838" w:orient="portrait"/>
          <w:cols w:equalWidth="0" w:num="1">
            <w:col w:w="11420"/>
          </w:cols>
          <w:pgMar w:left="240" w:top="344"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2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Amgen Inc. Executive Nonqualified Retirement Plan. (As Amended and Restated effective January 1, 2009.) (Filed as an exhibit to</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10-Q for the quarter ended September 30, 2008 on November 7, 2008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Amgen Inc. Executive Nonqualified Retirement Plan, effective July 21, 2010. (Filed as an exhibit to Form 10-Q</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quarter ended June 30, 2010 on August 9, 2010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Nonqualified Deferred Compensation Plan. (As Amended and Restated effective October 16, 2013.) (Filed as an exhibit to Form</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 for the year ended December 31, 2013 on February 24, 2014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between Amgen Inc. and David W. Meline, effective July 21, 2014. (Filed as an exhibit to Form 10-Q for the quarter ended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2014 on October 29, 2014 and incorporated herein by reference.)</w:t>
            </w: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between Amgen Inc. and Jonathan Graham, dated May 11, 2015.</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Agreement, dated May 11, 1984, among Amgen, Kirin Brewery Company, Limited and Kirin-Amgen, Inc. (Filed as an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to Form 10-K for the year ended December 31, 2000 on March 7, 2001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dated March 19, 1985, Amendment No. 2 dated July 29, 1985 (effective July 1, 1985), and Amendment No. 3, dated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19, 1985, to the Shareholders' Agreement dated May 11, 1984. (Filed as an exhibit to Form 10-Q for the quarter ended June</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 2000 on August 1, 2000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4 dated October 16, 1986 (effective July 1, 1986), Amendment No. 5 dated December 6, 1986 (effective July 1, 1986),</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6 dated June 1, 1987, Amendment No. 7 dated July 17, 1987 (effective April 1, 1987), Amendment No. 8 dated May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 1993 (effective November 13, 1990), Amendment No. 9 dated December 9, 1994 (effective June 14, 1994), Amendment No. 10</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March 1, 1996, and Amendment No. 11 effective March 20, 2000 to the Shareholders' Agreement, dated May 11, 1984. (Filed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exhibits to Form 10-K for the year ended December 31, 2000 on March 7, 2001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12 to the Shareholders' Agreement, dated January 31, 2001. (Filed as an exhibit to Form 10-Q for the quarter ended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2005 on August 8, 2005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13 to the Shareholders' Agreement, dated June 28, 2007 (portions of the exhibit have been omitted pursuant to a request</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confidential treatment). (Filed as an exhibit to Form 10-Q for the quarter ended June 30, 2007 on August 9, 2007 and incorporated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14 to the Shareholders' Agreement, dated March 26, 2014. (Filed as an exhibit to Form 10-Q for the quarter ended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2014 on April 30, 2014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Assignment and License Agreement, dated October 16, 1986 (effective July 1, 1986), between Amgen and Kirin-Amgen, Inc. (Filed as</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exhibit to Form 10-K for the year ended December 31, 2000 on March 7, 2001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G-CSF United States License Agreement, dated June 1, 1987 (effective July 1, 1986), Amendment No. 1, dated October 20, 1988,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dated October 17, 1991 (effective November 13, 1990), between Kirin-Amgen, Inc. and Amgen Inc. (Filed as</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 to Form 10-K for the year ended December 31, 2000 on March 7, 2001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G-CSF European License Agreement, dated December 30, 1986, between Kirin-Amgen and Amgen, Amendment No. 1 to Kirin-</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 Amgen G-CSF European License Agreement, dated June 1, 1987, Amendment No. 2 to Kirin-Amgen, Inc. / Amgen G-</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CSF European License Agreement, dated March 15, 1998, Amendment No. 3 to Kirin-Amgen, Inc. / Amgen G-CSF European License</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dated October 20, 1988, and Amendment No. 4 to Kirin-Amgen, Inc. / Amgen G-CSF European License Agreement, dated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29, 1989, between Kirin-Amgen, Inc. and Amgen Inc. (Filed as exhibits to Form 10-K for the year ended December 31, 2000</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March 7, 2001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Promotion Agreement, dated December 16, 2001, by and among Immunex Corporation, American Home</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 Corporation and Amgen Inc. (portions of the exhibit have been omitted pursuant to a request for confidential treatment). (Filed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an exhibit to Amendment No. 1 to Form S-4 Registration Statement on March 22, 2002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Amendment No. 1 to Amended and Restated Promotion Agreement, effective July 8, 2003, among Wyeth, Amgen Inc.</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Immunex Corporation (portions of the exhibit have been omitted pursuant to a request for confidential treatment). (Filed as an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to Form 10-K for the year ended December 31, 2003 on March 11, 2004 and incorporated herein by reference.)</w:t>
            </w:r>
          </w:p>
        </w:tc>
      </w:tr>
      <w:tr>
        <w:trPr>
          <w:trHeight w:val="743"/>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42</w:t>
            </w:r>
          </w:p>
        </w:tc>
      </w:tr>
    </w:tbl>
    <w:p>
      <w:pPr>
        <w:sectPr>
          <w:pgSz w:w="11900" w:h="16838" w:orient="portrait"/>
          <w:cols w:equalWidth="0" w:num="1">
            <w:col w:w="11420"/>
          </w:cols>
          <w:pgMar w:left="240" w:top="344"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2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10.30</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Description of Amendment No. 2 to Amended and Restated Promotion Agreement, effective April 20, 2004, by and among Wyeth,</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and Immunex Corporation. (Filed as an exhibit to Amendment No. 1 to Form S-4 Registration Statement on June 29, 2004</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3 to Amended and Restated Promotion Agreement, effective January 1, 2005, by and among Wyeth, Amgen Inc.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Immunex Corporation (portions of the exhibit have been omitted pursuant to a request for confidential treatment). (Filed as an exhibit to</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10-Q for the quarter ended March 31, 2005 on May 4, 2005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dated July 30, 2014, among Amgen Inc., the Banks therein named, Citibank, N.A., as</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and JPMorgan Chase Bank, N.A., as syndication agent (Filed as an exhibit to Form 8-K on July 30, 2014 and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and License Agreement between Amgen Inc. and Celltech R&amp;D Limited dated May 10, 2002 (portions of the exhibit have</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been omitted pursuant to a request for confidential treatment) and Amendment No. 1, effective June 9, 2003, to Collaboration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Agreement between Amgen Inc. and Celltech R&amp;D Limited (portions of the exhibit have been omitted pursuant to a request for</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confidential treatment). (Filed as an exhibit to Form 10-K/A for the year ended December 31, 2012 on July 31, 2013 and incorporated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Sourcing and Supply Agreement, dated November 15, 2011, by and between Amgen USA Inc, a wholly owned subsidiary of Amgen</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 and DaVita Inc. (portions of the exhibit have been omitted pursuant to a request for confidential treatment). (Filed as an exhibit to</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10-K for the year ended December 31, 2011 on February 29, 2012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Number 1 to Sourcing and Supply Agreement, effective January 1, 2013, by and between Amgen USA Inc., a wholly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subsidiary of Amgen Inc., and DaVita Healthcare Partners Inc. f/k/a DaVita Inc. (portions of the exhibit have been omitted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pursuant to a request for confidential treatment). (Filed as an exhibit to Form 10-K for the year ended December 31, 2012 on February</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 2013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Agreement dated March 30, 2012 by and between Amgen Inc. and AstraZeneca Collaboration Ventures, LLC, a wholly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subsidiary of AstraZeneca Pharmaceuticals LP (portions of the exhibit have been omitted pursuant to a request for confidential</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treatment). (Filed as an exhibit to Form 10-Q for the quarter ended March 31, 2012 on May 8, 2012 and incorporated herein by</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to Collaboration Agreement, dated October 1, 2014, by and among Amgen Inc., AstraZeneca Collaboration Ventures,</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 and AstraZeneca Pharmaceuticals LP (portions of the exhibit have been omitted pursuant to a request for confidential treatment).</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as an exhibit to Form 10-K for the year ended December 31, 2014 on February 19, 2015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Agreement, dated April 22, 1994, by and between Bayer Corporation (formerly Miles, Inc.) and Onyx Pharmaceuticals,</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 (Filed as an exhibit to Form 10-Q for the quarter ended March 31, 2011 by Onyx Pharmaceuticals, Inc. on May 10, 2011 and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Collaboration Agreement, dated April 24, 1996, by and between Bayer Corporation and Onyx Pharmaceuticals, Inc.</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as an exhibit to Form 10-Q for the quarter ended March 31, 2006 by Onyx Pharmaceuticals, Inc. on May 10, 2006 and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Collaboration Agreement, dated February 1, 1999, by and between Bayer Corporation and Onyx Pharmaceuticals, Inc.</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as an exhibit to Form 10-Q for the quarter ended March 31, 2006 by Onyx Pharmaceuticals, Inc. on May 10, 2006 and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Agreement and Release, dated October 11, 2011, by and between Bayer Corporation, Bayer AG, Bayer HealthCare LLC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Bayer Pharma AG and Onyx Pharmaceuticals, Inc. (Filed as an exhibit to Form 10-K for the year ended December 31, 2011 by Onyx</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Pharmaceuticals, Inc. on February 27, 2012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Amendment  to  Collaboration  Agreement,  dated  October  11,  2011,  by  and  between  Bayer  Corporation  and  Onyx</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Pharmaceuticals, Inc. (Filed as an exhibit to Form 10-K for the year ended December 31, 2011 by Onyx Pharmaceuticals, Inc. on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2012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Side  Letter  Regarding  Collaboration  Agreement,  dated  May  29,  2015,  by  and  between  Bayer  HealthCare  LLC  and  Onyx</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Pharmaceuticals, Inc.</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Letter, dated August 24, 2013, among Amgen Inc., Bank of America, N.A., Merrill Lynch, Pierce, Fenner &amp; Smith</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JPMorgan Chase Bank, N.A., J.P. Morgan Securities LLC and Barclays Bank PLC. (Filed as an exhibit to Form 8-K on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26, 2013 and incorporated herein by reference.)</w:t>
            </w:r>
          </w:p>
        </w:tc>
      </w:tr>
      <w:tr>
        <w:trPr>
          <w:trHeight w:val="756"/>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43</w:t>
            </w:r>
          </w:p>
        </w:tc>
      </w:tr>
    </w:tbl>
    <w:p>
      <w:pPr>
        <w:sectPr>
          <w:pgSz w:w="11900" w:h="16838" w:orient="portrait"/>
          <w:cols w:equalWidth="0" w:num="1">
            <w:col w:w="11420"/>
          </w:cols>
          <w:pgMar w:left="240" w:top="344" w:right="2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2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10.45</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Master Repurchase Agreement, dated August 24, 2013, between Amgen Inc. and Bank of America, N.A. (Filed as an exhibit to Form 8-</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 on August 26, 2013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Repurchase Agreement, dated October 28, 2013, between Amgen Inc. and SMBC Repo Pass-Thru Trust, 2013-1. (Filed as an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to Form 10-Q for the quarter ended September 30, 2013 on October 29, 2013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Repurchase Agreement, dated October 29, 2013, between Amgen Inc. and HSBC Bank USA, N.A. (Filed as an exhibit to Form</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 for the quarter ended September 30, 2013 on October 29, 2013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 Credit Agreement, dated September 20, 2013, among Amgen Inc., the Banks therein named, Bank of America, N.A.,</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Administrative Agent, and Barclays Bank PLC and JPMorgan Chase Bank, N.A., as Syndication Agents. (Filed as an exhibit to Form</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 on September 20, 2013 and incorporated herein by reference.)</w:t>
            </w:r>
          </w:p>
        </w:tc>
      </w:tr>
      <w:tr>
        <w:trPr>
          <w:trHeight w:val="405"/>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Rule 13a-14(a) Certifications.</w:t>
            </w:r>
          </w:p>
        </w:tc>
      </w:tr>
      <w:tr>
        <w:trPr>
          <w:trHeight w:val="405"/>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1350 Certifications.</w:t>
            </w:r>
          </w:p>
        </w:tc>
      </w:tr>
      <w:tr>
        <w:trPr>
          <w:trHeight w:val="40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0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0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0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0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0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furnished herewith and not “filed” for purposes of Section 18 of the 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management contract or compensatory plan or arrangement)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344"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Award Notice</w:t>
      </w:r>
    </w:p>
    <w:p>
      <w:pPr>
        <w:spacing w:after="0" w:line="21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The information set forth in this Award Notice will be contained on the related pages on Merrill Lynch Benefits Website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website of any successor company to Merrill Lynch Bank &amp; Trust Co., FSB). This Award Notice shall be replaced by the equivalent pages on such website. References to Award Notice in this Agreement shall then refer to the equivalent pages on such website </w:t>
      </w:r>
      <w:r>
        <w:rPr>
          <w:rFonts w:ascii="Times New Roman" w:cs="Times New Roman" w:eastAsia="Times New Roman" w:hAnsi="Times New Roman"/>
          <w:sz w:val="22"/>
          <w:szCs w:val="22"/>
          <w:b w:val="1"/>
          <w:bCs w:val="1"/>
          <w:color w:val="auto"/>
        </w:rPr>
        <w:t>]</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notice of Award (the “</w:t>
      </w:r>
      <w:r>
        <w:rPr>
          <w:rFonts w:ascii="Times New Roman" w:cs="Times New Roman" w:eastAsia="Times New Roman" w:hAnsi="Times New Roman"/>
          <w:sz w:val="22"/>
          <w:szCs w:val="22"/>
          <w:u w:val="single" w:color="auto"/>
          <w:color w:val="auto"/>
        </w:rPr>
        <w:t>Award Notice</w:t>
      </w:r>
      <w:r>
        <w:rPr>
          <w:rFonts w:ascii="Times New Roman" w:cs="Times New Roman" w:eastAsia="Times New Roman" w:hAnsi="Times New Roman"/>
          <w:sz w:val="22"/>
          <w:szCs w:val="22"/>
          <w:color w:val="auto"/>
        </w:rPr>
        <w:t>”) sets forth certain details relating to the grant by the Company to you of the Award identified below, pursuant to the Plan. The terms of this Award Notice are incorporated into the Agreement that accompanies this Award Notice and made part of the Agreement. Capitalized terms used in this Award Notice that are not otherwise defined in this Award Notice have the meanings given to such terms in the Agreement.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Employee:</w:t>
            </w:r>
          </w:p>
        </w:tc>
        <w:tc>
          <w:tcPr>
            <w:tcW w:w="9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Employee ID:</w:t>
            </w:r>
          </w:p>
        </w:tc>
        <w:tc>
          <w:tcPr>
            <w:tcW w:w="9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Address:</w:t>
            </w:r>
          </w:p>
        </w:tc>
        <w:tc>
          <w:tcPr>
            <w:tcW w:w="9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Award Type:</w:t>
            </w:r>
          </w:p>
        </w:tc>
        <w:tc>
          <w:tcPr>
            <w:tcW w:w="9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Grant ID:</w:t>
            </w:r>
          </w:p>
        </w:tc>
        <w:tc>
          <w:tcPr>
            <w:tcW w:w="9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Plan:</w:t>
            </w:r>
          </w:p>
        </w:tc>
        <w:tc>
          <w:tcPr>
            <w:tcW w:w="93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Amgen Inc. Amended and Restated 2009 Equity Incentive Plan, as amended and/or restated from</w:t>
            </w:r>
          </w:p>
        </w:tc>
        <w:tc>
          <w:tcPr>
            <w:tcW w:w="0" w:type="dxa"/>
            <w:vAlign w:val="bottom"/>
          </w:tcPr>
          <w:p>
            <w:pPr>
              <w:spacing w:after="0"/>
              <w:rPr>
                <w:sz w:val="1"/>
                <w:szCs w:val="1"/>
                <w:color w:val="auto"/>
              </w:rPr>
            </w:pPr>
          </w:p>
        </w:tc>
      </w:tr>
      <w:tr>
        <w:trPr>
          <w:trHeight w:val="283"/>
        </w:trPr>
        <w:tc>
          <w:tcPr>
            <w:tcW w:w="2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Grant Date:</w:t>
            </w:r>
          </w:p>
        </w:tc>
        <w:tc>
          <w:tcPr>
            <w:tcW w:w="93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time to time</w:t>
            </w:r>
          </w:p>
        </w:tc>
        <w:tc>
          <w:tcPr>
            <w:tcW w:w="0" w:type="dxa"/>
            <w:vAlign w:val="bottom"/>
          </w:tcPr>
          <w:p>
            <w:pPr>
              <w:spacing w:after="0"/>
              <w:rPr>
                <w:sz w:val="1"/>
                <w:szCs w:val="1"/>
                <w:color w:val="auto"/>
              </w:rPr>
            </w:pPr>
          </w:p>
        </w:tc>
      </w:tr>
      <w:tr>
        <w:trPr>
          <w:trHeight w:val="244"/>
        </w:trPr>
        <w:tc>
          <w:tcPr>
            <w:tcW w:w="2120" w:type="dxa"/>
            <w:vAlign w:val="bottom"/>
            <w:vMerge w:val="continue"/>
          </w:tcPr>
          <w:p>
            <w:pPr>
              <w:spacing w:after="0"/>
              <w:rPr>
                <w:sz w:val="21"/>
                <w:szCs w:val="21"/>
                <w:color w:val="auto"/>
              </w:rPr>
            </w:pPr>
          </w:p>
        </w:tc>
        <w:tc>
          <w:tcPr>
            <w:tcW w:w="9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Grant Price:</w:t>
            </w:r>
          </w:p>
        </w:tc>
        <w:tc>
          <w:tcPr>
            <w:tcW w:w="93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$________</w:t>
            </w: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Number of Shares:</w:t>
            </w:r>
          </w:p>
        </w:tc>
        <w:tc>
          <w:tcPr>
            <w:tcW w:w="9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Number of Units</w:t>
            </w:r>
          </w:p>
        </w:tc>
        <w:tc>
          <w:tcPr>
            <w:tcW w:w="9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Vesting Date:</w:t>
            </w:r>
          </w:p>
        </w:tc>
        <w:tc>
          <w:tcPr>
            <w:tcW w:w="93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Means the vesting date indicated in the Vesting Schedule</w:t>
            </w: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Vesting Schedule:</w:t>
            </w:r>
          </w:p>
        </w:tc>
        <w:tc>
          <w:tcPr>
            <w:tcW w:w="93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Means the schedule of vesting set forth under Vesting Details</w:t>
            </w:r>
          </w:p>
        </w:tc>
        <w:tc>
          <w:tcPr>
            <w:tcW w:w="0" w:type="dxa"/>
            <w:vAlign w:val="bottom"/>
          </w:tcPr>
          <w:p>
            <w:pPr>
              <w:spacing w:after="0"/>
              <w:rPr>
                <w:sz w:val="1"/>
                <w:szCs w:val="1"/>
                <w:color w:val="auto"/>
              </w:rPr>
            </w:pPr>
          </w:p>
        </w:tc>
      </w:t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Vesting Details:</w:t>
            </w:r>
          </w:p>
        </w:tc>
        <w:tc>
          <w:tcPr>
            <w:tcW w:w="930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9"/>
              </w:rPr>
              <w:t>Means the presentation (tabular or otherwise) of the Vesting Date and the quantity of Shares vesting</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IMPORTANT NOTICE REGARDING ACCEPTANCE OF THE AWARD</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i w:val="1"/>
          <w:iCs w:val="1"/>
          <w:color w:val="auto"/>
        </w:rPr>
        <w:t>RESIDENTS OF THE U.S. AND PUERTO RICO</w:t>
      </w:r>
      <w:r>
        <w:rPr>
          <w:rFonts w:ascii="Times New Roman" w:cs="Times New Roman" w:eastAsia="Times New Roman" w:hAnsi="Times New Roman"/>
          <w:sz w:val="22"/>
          <w:szCs w:val="22"/>
          <w:color w:val="auto"/>
        </w:rPr>
        <w:t>: Please read this Award Notice, the Plan and the Agreement (collectively,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 Documents</w:t>
      </w:r>
      <w:r>
        <w:rPr>
          <w:rFonts w:ascii="Times New Roman" w:cs="Times New Roman" w:eastAsia="Times New Roman" w:hAnsi="Times New Roman"/>
          <w:sz w:val="22"/>
          <w:szCs w:val="22"/>
          <w:color w:val="auto"/>
        </w:rPr>
        <w:t xml:space="preserve">”) carefully. If you, as a resident of the U.S. or Puerto Rico, do </w:t>
      </w:r>
      <w:r>
        <w:rPr>
          <w:rFonts w:ascii="Times New Roman" w:cs="Times New Roman" w:eastAsia="Times New Roman" w:hAnsi="Times New Roman"/>
          <w:sz w:val="22"/>
          <w:szCs w:val="22"/>
          <w:b w:val="1"/>
          <w:bCs w:val="1"/>
          <w:u w:val="single" w:color="auto"/>
          <w:color w:val="auto"/>
        </w:rPr>
        <w:t>not</w:t>
      </w:r>
      <w:r>
        <w:rPr>
          <w:rFonts w:ascii="Times New Roman" w:cs="Times New Roman" w:eastAsia="Times New Roman" w:hAnsi="Times New Roman"/>
          <w:sz w:val="22"/>
          <w:szCs w:val="22"/>
          <w:color w:val="auto"/>
        </w:rPr>
        <w:t xml:space="preserve"> wish to receive this Award and/or you do </w:t>
      </w:r>
      <w:r>
        <w:rPr>
          <w:rFonts w:ascii="Times New Roman" w:cs="Times New Roman" w:eastAsia="Times New Roman" w:hAnsi="Times New Roman"/>
          <w:sz w:val="22"/>
          <w:szCs w:val="22"/>
          <w:b w:val="1"/>
          <w:bCs w:val="1"/>
          <w:u w:val="single" w:color="auto"/>
          <w:color w:val="auto"/>
        </w:rPr>
        <w:t>not</w:t>
      </w:r>
      <w:r>
        <w:rPr>
          <w:rFonts w:ascii="Times New Roman" w:cs="Times New Roman" w:eastAsia="Times New Roman" w:hAnsi="Times New Roman"/>
          <w:sz w:val="22"/>
          <w:szCs w:val="22"/>
          <w:color w:val="auto"/>
        </w:rPr>
        <w:t xml:space="preserve"> consent and agree to the terms and conditions on which this Award is offered, as set forth in the Grant Documents, then you must reject the Award by contacting the Merrill Lynch call center (800) 97AMGEN (800-972-6436)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immediately following the day on which this Award Notice is made available to you. Your failure to notify the Company of your rejection of the Award within this specified period will constitute your acceptance of the Award and your agreement with all terms and conditions of the Award, as set forth in the Grant Documents.</w:t>
      </w:r>
    </w:p>
    <w:p>
      <w:pPr>
        <w:spacing w:after="0" w:line="230" w:lineRule="auto"/>
        <w:rPr>
          <w:sz w:val="20"/>
          <w:szCs w:val="20"/>
          <w:color w:val="auto"/>
        </w:rPr>
      </w:pPr>
      <w:r>
        <w:rPr>
          <w:rFonts w:ascii="Times New Roman" w:cs="Times New Roman" w:eastAsia="Times New Roman" w:hAnsi="Times New Roman"/>
          <w:sz w:val="22"/>
          <w:szCs w:val="22"/>
          <w:color w:val="auto"/>
        </w:rPr>
        <w:t>_________________________</w:t>
      </w:r>
    </w:p>
    <w:p>
      <w:pPr>
        <w:ind w:left="120" w:hanging="112"/>
        <w:spacing w:after="0" w:line="198" w:lineRule="auto"/>
        <w:tabs>
          <w:tab w:leader="none" w:pos="120" w:val="left"/>
        </w:tabs>
        <w:numPr>
          <w:ilvl w:val="0"/>
          <w:numId w:val="1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This provision is only for use on the form of grant used for the U.S. and Puerto Rico.</w:t>
      </w:r>
    </w:p>
    <w:p>
      <w:pPr>
        <w:sectPr>
          <w:pgSz w:w="11900" w:h="16838" w:orient="portrait"/>
          <w:cols w:equalWidth="0" w:num="1">
            <w:col w:w="11420"/>
          </w:cols>
          <w:pgMar w:left="240" w:top="117" w:right="2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THE SPECIFIC TERMS OF YOUR GRANT OF RESTRICTED STOCK UNITS ARE FOUND IN THE PAGES RELATING TO THE GRANT OF RESTRICTED STOCK UNITS FOUND ON MERRILL LYNCH BENEFITS WEBSITE (OR THE WEBSITE OF ANY SUCCESSOR COMPANY TO MERRILL LYNCH BANK &amp; TRUST CO., FSB) (THE “</w:t>
      </w:r>
      <w:r>
        <w:rPr>
          <w:rFonts w:ascii="Times New Roman" w:cs="Times New Roman" w:eastAsia="Times New Roman" w:hAnsi="Times New Roman"/>
          <w:sz w:val="22"/>
          <w:szCs w:val="22"/>
          <w:b w:val="1"/>
          <w:bCs w:val="1"/>
          <w:u w:val="single" w:color="auto"/>
          <w:color w:val="auto"/>
        </w:rPr>
        <w:t>AWARD NOTICE</w:t>
      </w:r>
      <w:r>
        <w:rPr>
          <w:rFonts w:ascii="Times New Roman" w:cs="Times New Roman" w:eastAsia="Times New Roman" w:hAnsi="Times New Roman"/>
          <w:sz w:val="22"/>
          <w:szCs w:val="22"/>
          <w:b w:val="1"/>
          <w:bCs w:val="1"/>
          <w:color w:val="auto"/>
        </w:rPr>
        <w:t>”) WHICH ACCOMPANIES THIS DOCUMENT. THE TERMS OF THE AWARD NOTICE ARE INCORPORATED INTO THIS RESTRICTED STOCK UNIT AGREEMENT.</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On the Grant Date specified in the Award Notice, Amgen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granted to you, the grantee named in the Award Notice, under the Amgen Inc. Amended and Restated 2009 Equity Incentive Plan, as amended and/or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the Number of Units with respect to the number of shares of the $0.0001 par value common stock of the Company (the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xml:space="preserve">”) specified in the Award Notice, on the terms and conditions set forth in this Restricted Stock Unit Agreement, any special terms and conditions for your country set forth in the attached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and the Award Notice (together,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Units shall constitute Restricted Stock Units under Section 9.5 of the Plan, which is incorporated herein by reference. Capitalized terms not defined herein shall have the meanings assigned to such terms in the Plan.</w:t>
      </w:r>
    </w:p>
    <w:p>
      <w:pPr>
        <w:spacing w:after="0" w:line="215" w:lineRule="exact"/>
        <w:rPr>
          <w:sz w:val="20"/>
          <w:szCs w:val="20"/>
          <w:color w:val="auto"/>
        </w:rPr>
      </w:pPr>
    </w:p>
    <w:p>
      <w:pPr>
        <w:ind w:left="1440" w:hanging="784"/>
        <w:spacing w:after="0"/>
        <w:tabs>
          <w:tab w:leader="none" w:pos="14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 and Termination of Units</w:t>
      </w:r>
      <w:r>
        <w:rPr>
          <w:rFonts w:ascii="Times New Roman" w:cs="Times New Roman" w:eastAsia="Times New Roman" w:hAnsi="Times New Roman"/>
          <w:sz w:val="22"/>
          <w:szCs w:val="22"/>
          <w:color w:val="auto"/>
        </w:rPr>
        <w:t>.</w:t>
      </w:r>
    </w:p>
    <w:p>
      <w:pPr>
        <w:spacing w:after="0" w:line="256" w:lineRule="exact"/>
        <w:rPr>
          <w:sz w:val="20"/>
          <w:szCs w:val="20"/>
          <w:color w:val="auto"/>
        </w:rPr>
      </w:pPr>
    </w:p>
    <w:p>
      <w:pPr>
        <w:jc w:val="both"/>
        <w:ind w:left="980" w:hanging="324"/>
        <w:spacing w:after="0" w:line="246" w:lineRule="auto"/>
        <w:tabs>
          <w:tab w:leader="none" w:pos="98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General. </w:t>
      </w:r>
      <w:r>
        <w:rPr>
          <w:rFonts w:ascii="Times New Roman" w:cs="Times New Roman" w:eastAsia="Times New Roman" w:hAnsi="Times New Roman"/>
          <w:sz w:val="21"/>
          <w:szCs w:val="21"/>
          <w:color w:val="auto"/>
        </w:rPr>
        <w:t>Subject to the terms and conditions of this Agreement, on each Vesting Date, the Number of Units indicated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Vesting Schedule shall vest, provided that you have remained continuously and actively employed with the Company or an Affiliate (as defined in the Plan) through each applicable Vesting Date, unless (i) [your employment has terminated due to your Voluntary Termination (as defined in paragraph (d) of this Section I below)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[(ii)] you experience a Qualified Termination (as defined below), or (iii)[(ii)] as otherwise determined by the Company in the exercise of its discretion as provided in paragraph (f) of this Section I. The Units represent an unfunded, unsecured promise by the Company to deliver Shares. Only whole Shares shall be issued upon vesting of the Units, and the Company shall be under no obligation to issue any fractional Shares to you. If your employment with the Company or an Affiliate is terminated for any reason or for no reason, including if your active employment is terminated by the Company or an Affiliate without Cause (as defined below), or in the event of any other termination of your active employment caused directly or indirectly by the Company or an Affiliate, except as otherwise provided in paragraphs (b), (c), [(d), ]*</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(e) or (f) of this Section I below, your unvested Units shall automatically expire and terminate on the date of termination of your active employment. Notwithstanding anything herein to the contrary, the Vesting Schedule may be accelerated (by notice in writing) by the Company in its sole discretion at any time during the term of the Units.</w:t>
      </w:r>
    </w:p>
    <w:p>
      <w:pPr>
        <w:spacing w:after="0" w:line="14" w:lineRule="exact"/>
        <w:rPr>
          <w:sz w:val="20"/>
          <w:szCs w:val="20"/>
          <w:color w:val="auto"/>
        </w:rPr>
      </w:pPr>
    </w:p>
    <w:p>
      <w:pPr>
        <w:ind w:left="980"/>
        <w:spacing w:after="0" w:line="243" w:lineRule="auto"/>
        <w:rPr>
          <w:sz w:val="20"/>
          <w:szCs w:val="20"/>
          <w:color w:val="auto"/>
        </w:rPr>
      </w:pPr>
      <w:r>
        <w:rPr>
          <w:rFonts w:ascii="Times New Roman" w:cs="Times New Roman" w:eastAsia="Times New Roman" w:hAnsi="Times New Roman"/>
          <w:sz w:val="22"/>
          <w:szCs w:val="22"/>
          <w:color w:val="auto"/>
        </w:rPr>
        <w:t>In addition, if not prohibited by local law, vesting may be suspended by the Company in its sole discretion during a leave of absence as provided from time to time according to Company policies and practices.</w:t>
      </w:r>
    </w:p>
    <w:p>
      <w:pPr>
        <w:spacing w:after="0" w:line="228" w:lineRule="auto"/>
        <w:rPr>
          <w:sz w:val="20"/>
          <w:szCs w:val="20"/>
          <w:color w:val="auto"/>
        </w:rPr>
      </w:pPr>
      <w:r>
        <w:rPr>
          <w:rFonts w:ascii="Times New Roman" w:cs="Times New Roman" w:eastAsia="Times New Roman" w:hAnsi="Times New Roman"/>
          <w:sz w:val="22"/>
          <w:szCs w:val="22"/>
          <w:color w:val="auto"/>
        </w:rPr>
        <w:t>_____________________________</w:t>
      </w:r>
    </w:p>
    <w:p>
      <w:pPr>
        <w:jc w:val="both"/>
        <w:ind w:firstLine="8"/>
        <w:spacing w:after="0" w:line="225" w:lineRule="auto"/>
        <w:tabs>
          <w:tab w:leader="none" w:pos="141" w:val="left"/>
        </w:tabs>
        <w:numPr>
          <w:ilvl w:val="0"/>
          <w:numId w:val="16"/>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21"/>
          <w:szCs w:val="21"/>
          <w:i w:val="1"/>
          <w:iCs w:val="1"/>
          <w:color w:val="auto"/>
        </w:rPr>
        <w:t>Paragraph (d) of Section I of this Agreement is not applicable to awards identified by the Administrator as new hire, retention, special or promotion grants and the provisions of such paragraph shall be reserved and references thereto identified by an asterisk</w:t>
      </w:r>
    </w:p>
    <w:p>
      <w:pPr>
        <w:spacing w:after="0" w:line="1" w:lineRule="exact"/>
        <w:rPr>
          <w:rFonts w:ascii="Times New Roman" w:cs="Times New Roman" w:eastAsia="Times New Roman" w:hAnsi="Times New Roman"/>
          <w:sz w:val="28"/>
          <w:szCs w:val="28"/>
          <w:i w:val="1"/>
          <w:iCs w:val="1"/>
          <w:color w:val="auto"/>
          <w:vertAlign w:val="superscript"/>
        </w:rPr>
      </w:pPr>
    </w:p>
    <w:p>
      <w:pPr>
        <w:spacing w:after="0"/>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22"/>
          <w:szCs w:val="22"/>
          <w:i w:val="1"/>
          <w:iCs w:val="1"/>
          <w:color w:val="auto"/>
        </w:rPr>
        <w:t>(*) shall be omitted from the agreements evidencing such grants.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5" w:right="239" w:bottom="1440" w:gutter="0" w:footer="0" w:header="0"/>
        </w:sectPr>
      </w:pPr>
    </w:p>
    <w:bookmarkStart w:id="48" w:name="page49"/>
    <w:bookmarkEnd w:id="48"/>
    <w:p>
      <w:pPr>
        <w:jc w:val="both"/>
        <w:ind w:left="980" w:hanging="324"/>
        <w:spacing w:after="0" w:line="261" w:lineRule="auto"/>
        <w:tabs>
          <w:tab w:leader="none" w:pos="98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Permanent and Total Disability. </w:t>
      </w:r>
      <w:r>
        <w:rPr>
          <w:rFonts w:ascii="Times New Roman" w:cs="Times New Roman" w:eastAsia="Times New Roman" w:hAnsi="Times New Roman"/>
          <w:sz w:val="21"/>
          <w:szCs w:val="21"/>
          <w:color w:val="auto"/>
        </w:rPr>
        <w:t>Notwithstanding the provisions in paragraph (a) above, if your employment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or an Affiliate terminates due to your Permanent and Total Disability (as defined below), then the vesting of Units granted under this Agreement shall be accelerated, subject to your execution of a general release and waiver in a form provided by the Company, to vest as of the day immediately preceding such termination of your employment with respect to all Units granted hereunder, except that if the Units were granted in the calendar year in which such termination occurs, the Units shall be accelerated to vest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w:t>
      </w:r>
    </w:p>
    <w:p>
      <w:pPr>
        <w:spacing w:after="0" w:line="208" w:lineRule="exact"/>
        <w:rPr>
          <w:rFonts w:ascii="Times New Roman" w:cs="Times New Roman" w:eastAsia="Times New Roman" w:hAnsi="Times New Roman"/>
          <w:sz w:val="21"/>
          <w:szCs w:val="21"/>
          <w:color w:val="auto"/>
        </w:rPr>
      </w:pPr>
    </w:p>
    <w:p>
      <w:pPr>
        <w:jc w:val="both"/>
        <w:ind w:left="980" w:hanging="324"/>
        <w:spacing w:after="0" w:line="248" w:lineRule="auto"/>
        <w:tabs>
          <w:tab w:leader="none" w:pos="9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Death</w:t>
      </w:r>
      <w:r>
        <w:rPr>
          <w:rFonts w:ascii="Times New Roman" w:cs="Times New Roman" w:eastAsia="Times New Roman" w:hAnsi="Times New Roman"/>
          <w:sz w:val="22"/>
          <w:szCs w:val="22"/>
          <w:color w:val="auto"/>
        </w:rPr>
        <w:t>. Notwithstanding the provisions in paragraph (a) above, if your employment with the Company or an Affiliate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terminates due to your death, then the vesting of Units granted under this Agreement shall be accelerated to vest as of the day immediately preceding your death with respect to all Units granted hereunder, except that if the Units were granted in the calendar year in which your death occurs the Units shall be accelerated to vest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w:t>
      </w:r>
    </w:p>
    <w:p>
      <w:pPr>
        <w:spacing w:after="0" w:line="222"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8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[Retirement</w:t>
      </w:r>
      <w:r>
        <w:rPr>
          <w:rFonts w:ascii="Times New Roman" w:cs="Times New Roman" w:eastAsia="Times New Roman" w:hAnsi="Times New Roman"/>
          <w:sz w:val="21"/>
          <w:szCs w:val="21"/>
          <w:color w:val="auto"/>
        </w:rPr>
        <w:t>. Notwithstanding the provisions in paragraph (a) above, if you terminate your employment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or an Affiliate due to your voluntary termination (and such voluntary termination is not the result of Permanent and Total Disability (as defined below)) after you are at least sixty-five (65) years of age, or after you are at least fifty-five (55) years of age and have been an employee of the Company and/or an Affiliate for at least ten (10) years in the aggregate as determined by the Company in its sole discretion according to Company policies and practices as in effect from time to time (“Voluntary Termination”), then the Units will vest pursuant to the Vesting Schedule without regard to the termination of employment prior to the Vesting Date, subject to your execution of a general release and waiver in a form provided by the Company, with respect to all Units granted hereunder; provided, however, that if the Units were granted in the calendar year in which the Voluntary Termination occurs, the Units will vest pursuant to the Vesting Schedule provided in the Award Notice only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w:t>
      </w:r>
    </w:p>
    <w:p>
      <w:pPr>
        <w:spacing w:after="0" w:line="4" w:lineRule="exact"/>
        <w:rPr>
          <w:sz w:val="20"/>
          <w:szCs w:val="20"/>
          <w:color w:val="auto"/>
        </w:rPr>
      </w:pPr>
    </w:p>
    <w:p>
      <w:pPr>
        <w:jc w:val="both"/>
        <w:ind w:left="980"/>
        <w:spacing w:after="0" w:line="227" w:lineRule="auto"/>
        <w:rPr>
          <w:sz w:val="20"/>
          <w:szCs w:val="20"/>
          <w:color w:val="auto"/>
        </w:rPr>
      </w:pPr>
      <w:r>
        <w:rPr>
          <w:rFonts w:ascii="Times New Roman" w:cs="Times New Roman" w:eastAsia="Times New Roman" w:hAnsi="Times New Roman"/>
          <w:sz w:val="22"/>
          <w:szCs w:val="22"/>
          <w:color w:val="auto"/>
        </w:rPr>
        <w:t>notwithstanding the definition of Voluntary Termination set forth above, if the Company receives an opinion of counsel that there has been a legal judgment and/or legal development in your jurisdiction that would likely result in the favorable treatment upon Voluntary Termination described above being deemed unlawful and/or discriminatory, then the Committee will not apply the favorable treatment described above.][Reserved]*</w:t>
      </w:r>
      <w:r>
        <w:rPr>
          <w:rFonts w:ascii="Times New Roman" w:cs="Times New Roman" w:eastAsia="Times New Roman" w:hAnsi="Times New Roman"/>
          <w:sz w:val="28"/>
          <w:szCs w:val="28"/>
          <w:color w:val="auto"/>
          <w:vertAlign w:val="superscript"/>
        </w:rPr>
        <w:t>3</w:t>
      </w:r>
    </w:p>
    <w:p>
      <w:pPr>
        <w:spacing w:after="0" w:line="231" w:lineRule="auto"/>
        <w:rPr>
          <w:sz w:val="20"/>
          <w:szCs w:val="20"/>
          <w:color w:val="auto"/>
        </w:rPr>
      </w:pPr>
      <w:r>
        <w:rPr>
          <w:rFonts w:ascii="Times New Roman" w:cs="Times New Roman" w:eastAsia="Times New Roman" w:hAnsi="Times New Roman"/>
          <w:sz w:val="22"/>
          <w:szCs w:val="22"/>
          <w:color w:val="auto"/>
        </w:rPr>
        <w:t>_____________________________</w:t>
      </w:r>
    </w:p>
    <w:p>
      <w:pPr>
        <w:jc w:val="both"/>
        <w:ind w:firstLine="8"/>
        <w:spacing w:after="0" w:line="225" w:lineRule="auto"/>
        <w:tabs>
          <w:tab w:leader="none" w:pos="141" w:val="left"/>
        </w:tabs>
        <w:numPr>
          <w:ilvl w:val="0"/>
          <w:numId w:val="18"/>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21"/>
          <w:szCs w:val="21"/>
          <w:i w:val="1"/>
          <w:iCs w:val="1"/>
          <w:color w:val="auto"/>
        </w:rPr>
        <w:t>Paragraph( d) of Section I of this Agreement is not applicable to awards identified by the Administrator as new hire, retention, special or promotion grants and the provisions of such paragraph shall be reserved and references thereto identified by an asterisk</w:t>
      </w:r>
    </w:p>
    <w:p>
      <w:pPr>
        <w:spacing w:after="0" w:line="1" w:lineRule="exact"/>
        <w:rPr>
          <w:rFonts w:ascii="Times New Roman" w:cs="Times New Roman" w:eastAsia="Times New Roman" w:hAnsi="Times New Roman"/>
          <w:sz w:val="28"/>
          <w:szCs w:val="28"/>
          <w:i w:val="1"/>
          <w:iCs w:val="1"/>
          <w:color w:val="auto"/>
          <w:vertAlign w:val="superscript"/>
        </w:rPr>
      </w:pPr>
    </w:p>
    <w:p>
      <w:pPr>
        <w:spacing w:after="0"/>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22"/>
          <w:szCs w:val="22"/>
          <w:i w:val="1"/>
          <w:iCs w:val="1"/>
          <w:color w:val="auto"/>
        </w:rPr>
        <w:t>(*) shall be omitted from the agreements evidencing such grants.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5" w:right="239" w:bottom="1440" w:gutter="0" w:footer="0" w:header="0"/>
        </w:sectPr>
      </w:pPr>
    </w:p>
    <w:bookmarkStart w:id="49" w:name="page50"/>
    <w:bookmarkEnd w:id="49"/>
    <w:p>
      <w:pPr>
        <w:jc w:val="both"/>
        <w:ind w:left="980" w:hanging="324"/>
        <w:spacing w:after="0" w:line="277" w:lineRule="auto"/>
        <w:tabs>
          <w:tab w:leader="none" w:pos="9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Qualified Termination after a Change of Control</w:t>
      </w:r>
      <w:r>
        <w:rPr>
          <w:rFonts w:ascii="Times New Roman" w:cs="Times New Roman" w:eastAsia="Times New Roman" w:hAnsi="Times New Roman"/>
          <w:sz w:val="21"/>
          <w:szCs w:val="21"/>
          <w:color w:val="auto"/>
        </w:rPr>
        <w:t>. Notwithstanding the provisions in paragraph (a) above, in the event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 Qualified Termination (as defined below), then, to the extent permitted by applicable law, the vesting of Units granted under this Agreement shall be accelerated to vest as of the day immediately prior to the Qualified Termination.</w:t>
      </w:r>
    </w:p>
    <w:p>
      <w:pPr>
        <w:spacing w:after="0" w:line="190" w:lineRule="exact"/>
        <w:rPr>
          <w:rFonts w:ascii="Times New Roman" w:cs="Times New Roman" w:eastAsia="Times New Roman" w:hAnsi="Times New Roman"/>
          <w:sz w:val="21"/>
          <w:szCs w:val="21"/>
          <w:color w:val="auto"/>
        </w:rPr>
      </w:pPr>
    </w:p>
    <w:p>
      <w:pPr>
        <w:jc w:val="both"/>
        <w:ind w:left="980" w:hanging="324"/>
        <w:spacing w:after="0" w:line="254" w:lineRule="auto"/>
        <w:tabs>
          <w:tab w:leader="none" w:pos="9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Continued Vesting</w:t>
      </w:r>
      <w:r>
        <w:rPr>
          <w:rFonts w:ascii="Times New Roman" w:cs="Times New Roman" w:eastAsia="Times New Roman" w:hAnsi="Times New Roman"/>
          <w:sz w:val="22"/>
          <w:szCs w:val="22"/>
          <w:color w:val="auto"/>
        </w:rPr>
        <w:t>. Notwithstanding the provisions in paragraph (a) above, the Company may in its sole discretion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time during the term of this Agreement, in writing, otherwise provide that the Units will vest pursuant to the Vesting Schedule without regard to the termination of employment prior to the Vesting Date, subject to any terms and conditions that the Company may determine.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60" w:lineRule="exact"/>
        <w:rPr>
          <w:sz w:val="20"/>
          <w:szCs w:val="20"/>
          <w:color w:val="auto"/>
        </w:rPr>
      </w:pPr>
    </w:p>
    <w:p>
      <w:pPr>
        <w:jc w:val="both"/>
        <w:ind w:firstLine="656"/>
        <w:spacing w:after="0" w:line="246" w:lineRule="auto"/>
        <w:tabs>
          <w:tab w:leader="none" w:pos="90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of your active employment</w:t>
      </w:r>
      <w:r>
        <w:rPr>
          <w:rFonts w:ascii="Times New Roman" w:cs="Times New Roman" w:eastAsia="Times New Roman" w:hAnsi="Times New Roman"/>
          <w:sz w:val="22"/>
          <w:szCs w:val="22"/>
          <w:color w:val="auto"/>
        </w:rPr>
        <w:t>” shall mean the last date that you are either an active employee of the Company or an Affiliate or actively engaged as a Director of the Company or an Affiliate; in the event of termination of your employment (whether or not later found to be invalid or in breach of employment laws in the jurisdiction where you are working or the terms of your employment agreement, if any), your right to receive Units and vest under the Plan, if any, will terminate effective as of the date that you are no longer actively providing services and will not be extended by any notice period mandated under local law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active employment would not include any period of “garden leave” or similar period mandated under employment laws in the jurisdiction where you are employed or the terms of your employment agreement, if any). The Company shall have exclusive discretion to determine when you are no longer actively providing services for purposes of the Units (including whether you may still be considered to be providing services while on a leave of absence);</w:t>
      </w:r>
    </w:p>
    <w:p>
      <w:pPr>
        <w:spacing w:after="0" w:line="232" w:lineRule="exact"/>
        <w:rPr>
          <w:rFonts w:ascii="Times New Roman" w:cs="Times New Roman" w:eastAsia="Times New Roman" w:hAnsi="Times New Roman"/>
          <w:sz w:val="22"/>
          <w:szCs w:val="22"/>
          <w:color w:val="auto"/>
        </w:rPr>
      </w:pPr>
    </w:p>
    <w:p>
      <w:pPr>
        <w:jc w:val="both"/>
        <w:ind w:firstLine="656"/>
        <w:spacing w:after="0" w:line="250" w:lineRule="auto"/>
        <w:tabs>
          <w:tab w:leader="none" w:pos="100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(i) your conviction of a felony (or similar crime under applicable law, as determined by the Company), or (ii) your engaging in conduct that constitutes willful gross neglect or willful gross misconduct in carrying out your duties, resulting, in either case, in material economic harm to the Company or any Affiliate, unless you believed in good faith that such conduct was in, or not contrary to, the best interests of the Company or any Affiliate. For purposes of clause (ii) above, no act, or failure to act, on your part shall be deemed “willful” unless done, or omitted to be done, by you not in good faith;</w:t>
      </w:r>
    </w:p>
    <w:p>
      <w:pPr>
        <w:spacing w:after="0" w:line="222" w:lineRule="exact"/>
        <w:rPr>
          <w:rFonts w:ascii="Times New Roman" w:cs="Times New Roman" w:eastAsia="Times New Roman" w:hAnsi="Times New Roman"/>
          <w:sz w:val="22"/>
          <w:szCs w:val="22"/>
          <w:color w:val="auto"/>
        </w:rPr>
      </w:pPr>
    </w:p>
    <w:p>
      <w:pPr>
        <w:jc w:val="both"/>
        <w:ind w:firstLine="656"/>
        <w:spacing w:after="0" w:line="250" w:lineRule="auto"/>
        <w:tabs>
          <w:tab w:leader="none" w:pos="102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and Total Disability</w:t>
      </w:r>
      <w:r>
        <w:rPr>
          <w:rFonts w:ascii="Times New Roman" w:cs="Times New Roman" w:eastAsia="Times New Roman" w:hAnsi="Times New Roman"/>
          <w:sz w:val="22"/>
          <w:szCs w:val="22"/>
          <w:color w:val="auto"/>
        </w:rPr>
        <w:t>” shall have the meaning ascribed to such term under Section 22(e)(3) of the Code and with such permanent and total disability being certified prior to termination of your employment by (i) the U.S. Social Security Administration, (ii) the comparable governmental authority applicable to an Affiliate, (iii) such other body having the relevant decision-making power applicable to an Affiliate, or (iv) an independent medical advisor appointed by the Company in its sole discretion, as applicable, in any such case;</w:t>
      </w:r>
    </w:p>
    <w:p>
      <w:pPr>
        <w:spacing w:after="0" w:line="222"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Termination</w:t>
      </w:r>
      <w:r>
        <w:rPr>
          <w:rFonts w:ascii="Times New Roman" w:cs="Times New Roman" w:eastAsia="Times New Roman" w:hAnsi="Times New Roman"/>
          <w:sz w:val="22"/>
          <w:szCs w:val="22"/>
          <w:color w:val="auto"/>
        </w:rPr>
        <w:t>” shall mean</w:t>
      </w:r>
    </w:p>
    <w:p>
      <w:pPr>
        <w:spacing w:after="0" w:line="260" w:lineRule="exact"/>
        <w:rPr>
          <w:rFonts w:ascii="Times New Roman" w:cs="Times New Roman" w:eastAsia="Times New Roman" w:hAnsi="Times New Roman"/>
          <w:sz w:val="22"/>
          <w:szCs w:val="22"/>
          <w:color w:val="auto"/>
        </w:rPr>
      </w:pPr>
    </w:p>
    <w:p>
      <w:pPr>
        <w:jc w:val="both"/>
        <w:ind w:left="1960" w:hanging="655"/>
        <w:spacing w:after="0" w:line="252" w:lineRule="auto"/>
        <w:tabs>
          <w:tab w:leader="none" w:pos="196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an employee who participates in the Change of Control Plan (as defined below), your termination of employment within two (2) years following a Change of Control (i) by the Company other than for Cause, Disability (as defined below), or as a result of your death or (ii) by you for Good Reason (as defined in the Change of Control Plan); or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621" w:right="239" w:bottom="1440" w:gutter="0" w:footer="0" w:header="0"/>
        </w:sectPr>
      </w:pPr>
    </w:p>
    <w:bookmarkStart w:id="50" w:name="page51"/>
    <w:bookmarkEnd w:id="50"/>
    <w:p>
      <w:pPr>
        <w:jc w:val="both"/>
        <w:ind w:left="1960" w:hanging="655"/>
        <w:spacing w:after="0" w:line="257" w:lineRule="auto"/>
        <w:tabs>
          <w:tab w:leader="none" w:pos="1960"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an employee who does not participate in the Change of Control Plan or the Change of Control Plan is no longer in effect, your termination of employment within two (2) years following a Change of Control by the Company other than for Cause, Disability (as defined below), or as a result of your death;</w:t>
      </w:r>
    </w:p>
    <w:p>
      <w:pPr>
        <w:spacing w:after="0" w:line="21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shall mean the occurrence of any of the following:</w:t>
      </w:r>
    </w:p>
    <w:p>
      <w:pPr>
        <w:spacing w:after="0" w:line="219" w:lineRule="exact"/>
        <w:rPr>
          <w:rFonts w:ascii="Times New Roman" w:cs="Times New Roman" w:eastAsia="Times New Roman" w:hAnsi="Times New Roman"/>
          <w:sz w:val="22"/>
          <w:szCs w:val="22"/>
          <w:color w:val="auto"/>
        </w:rPr>
      </w:pPr>
    </w:p>
    <w:p>
      <w:pPr>
        <w:jc w:val="both"/>
        <w:ind w:firstLine="980"/>
        <w:spacing w:after="0" w:line="249" w:lineRule="auto"/>
        <w:tabs>
          <w:tab w:leader="none" w:pos="160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(other than from the Company) by any person, entity or “group,” within the meaning of Section 13(d)(3) or 14(d)(2) of the Exchange Act (excluding, for this purpose, the Company or any of its Affiliates, or any employee benefit plan of the Company or any of its Affiliates which acquires beneficial ownership of voting securities of the Company),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or</w:t>
      </w:r>
    </w:p>
    <w:p>
      <w:pPr>
        <w:spacing w:after="0" w:line="180" w:lineRule="exact"/>
        <w:rPr>
          <w:rFonts w:ascii="Times New Roman" w:cs="Times New Roman" w:eastAsia="Times New Roman" w:hAnsi="Times New Roman"/>
          <w:sz w:val="22"/>
          <w:szCs w:val="22"/>
          <w:color w:val="auto"/>
        </w:rPr>
      </w:pPr>
    </w:p>
    <w:p>
      <w:pPr>
        <w:jc w:val="both"/>
        <w:ind w:firstLine="980"/>
        <w:spacing w:after="0" w:line="248" w:lineRule="auto"/>
        <w:tabs>
          <w:tab w:leader="none" w:pos="1363"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April 2, 1991, constitute the Board (the “Incumbent Board”) cease for any reason to constitute at least a majority of the Board, provided that any person becoming a director subsequent to April 2, 1991,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promulgated under the Exchange Act) shall be, for purposes of the Plan, considered as though such person were a member of the Incumbent Board; or</w:t>
      </w:r>
    </w:p>
    <w:p>
      <w:pPr>
        <w:spacing w:after="0" w:line="182" w:lineRule="exact"/>
        <w:rPr>
          <w:rFonts w:ascii="Times New Roman" w:cs="Times New Roman" w:eastAsia="Times New Roman" w:hAnsi="Times New Roman"/>
          <w:sz w:val="22"/>
          <w:szCs w:val="22"/>
          <w:color w:val="auto"/>
        </w:rPr>
      </w:pPr>
    </w:p>
    <w:p>
      <w:pPr>
        <w:jc w:val="both"/>
        <w:ind w:firstLine="980"/>
        <w:spacing w:after="0" w:line="250" w:lineRule="auto"/>
        <w:tabs>
          <w:tab w:leader="none" w:pos="166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then-outstanding voting securities) or a liquidation or dissolution of the Company or of the sale of all or substantially all of the assets of the Company.</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Notwithstanding anything herein or in the Agreement to the contrary, if a Change of Control constitutes a payment event with respect to any Unit that is subject to United States income tax and which provides for a deferral of compensation that is subject to Section 409A of the Code, the transaction or event described in subsection (A), (B), (C) or (D) above must also constitute a “change in control event,” as defined in U.S. Treasury Regulation § 1.409A-3(i)(5), in order to constitute a Change of Control for purposes of payment of such Unit.</w:t>
      </w:r>
    </w:p>
    <w:p>
      <w:pPr>
        <w:spacing w:after="0" w:line="222" w:lineRule="exact"/>
        <w:rPr>
          <w:sz w:val="20"/>
          <w:szCs w:val="20"/>
          <w:color w:val="auto"/>
        </w:rPr>
      </w:pPr>
    </w:p>
    <w:p>
      <w:pPr>
        <w:jc w:val="both"/>
        <w:ind w:firstLine="656"/>
        <w:spacing w:after="0" w:line="250" w:lineRule="auto"/>
        <w:tabs>
          <w:tab w:leader="none" w:pos="119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Plan</w:t>
      </w:r>
      <w:r>
        <w:rPr>
          <w:rFonts w:ascii="Times New Roman" w:cs="Times New Roman" w:eastAsia="Times New Roman" w:hAnsi="Times New Roman"/>
          <w:sz w:val="22"/>
          <w:szCs w:val="22"/>
          <w:color w:val="auto"/>
        </w:rPr>
        <w:t>” shall mean the Company’s change of control and severance plan, including the Amgen Inc. Change of Control Severance Plan, as amended and restated, effective as of December 9, 2010 (and any subsequent amendments thereto), or equivalent plan governing the provision of benefits to eligible employees upon the occurrence of a Change of Control (including resulting from a termination of employment that occurs within a specified time period following a Change of Control), as in effect immediately prior to a Change of Control; and</w:t>
      </w:r>
    </w:p>
    <w:p>
      <w:pPr>
        <w:spacing w:after="0" w:line="181" w:lineRule="exact"/>
        <w:rPr>
          <w:rFonts w:ascii="Times New Roman" w:cs="Times New Roman" w:eastAsia="Times New Roman" w:hAnsi="Times New Roman"/>
          <w:sz w:val="22"/>
          <w:szCs w:val="22"/>
          <w:color w:val="auto"/>
        </w:rPr>
      </w:pPr>
    </w:p>
    <w:p>
      <w:pPr>
        <w:ind w:firstLine="656"/>
        <w:spacing w:after="0" w:line="271" w:lineRule="auto"/>
        <w:tabs>
          <w:tab w:leader="none" w:pos="123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be determined in accordance with the Company’s long-term disability plan as in effect immediately prior to a Change of Control.</w:t>
      </w:r>
    </w:p>
    <w:p>
      <w:pPr>
        <w:spacing w:after="0" w:line="158" w:lineRule="exact"/>
        <w:rPr>
          <w:sz w:val="20"/>
          <w:szCs w:val="20"/>
          <w:color w:val="auto"/>
        </w:rPr>
      </w:pPr>
    </w:p>
    <w:p>
      <w:pPr>
        <w:ind w:firstLine="656"/>
        <w:spacing w:after="0" w:line="271" w:lineRule="auto"/>
        <w:tabs>
          <w:tab w:leader="none" w:pos="149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and Timing of Payment</w:t>
      </w:r>
      <w:r>
        <w:rPr>
          <w:rFonts w:ascii="Times New Roman" w:cs="Times New Roman" w:eastAsia="Times New Roman" w:hAnsi="Times New Roman"/>
          <w:sz w:val="22"/>
          <w:szCs w:val="22"/>
          <w:color w:val="auto"/>
        </w:rPr>
        <w:t>. Subject to satisfaction of tax or similar obligations as provided for in Section III, any vested Units shall be paid by the Company in Shares (on a one-to-one basis) on, or as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9" w:right="239" w:bottom="1440" w:gutter="0" w:footer="0" w:header="0"/>
        </w:sectPr>
      </w:pPr>
    </w:p>
    <w:bookmarkStart w:id="51" w:name="page52"/>
    <w:bookmarkEnd w:id="51"/>
    <w:p>
      <w:pPr>
        <w:jc w:val="both"/>
        <w:spacing w:after="0" w:line="239" w:lineRule="auto"/>
        <w:rPr>
          <w:sz w:val="20"/>
          <w:szCs w:val="20"/>
          <w:color w:val="auto"/>
        </w:rPr>
      </w:pPr>
      <w:r>
        <w:rPr>
          <w:rFonts w:ascii="Times New Roman" w:cs="Times New Roman" w:eastAsia="Times New Roman" w:hAnsi="Times New Roman"/>
          <w:sz w:val="22"/>
          <w:szCs w:val="22"/>
          <w:color w:val="auto"/>
        </w:rPr>
        <w:t>soon as practicable after, and in any event within 90 days after the applicable Vesting Date, which for purposes of this Section II, includes the date of any accelerated vesting, if any (the “</w:t>
      </w:r>
      <w:r>
        <w:rPr>
          <w:rFonts w:ascii="Times New Roman" w:cs="Times New Roman" w:eastAsia="Times New Roman" w:hAnsi="Times New Roman"/>
          <w:sz w:val="22"/>
          <w:szCs w:val="22"/>
          <w:u w:val="single" w:color="auto"/>
          <w:color w:val="auto"/>
        </w:rPr>
        <w:t>Settlement Period</w:t>
      </w:r>
      <w:r>
        <w:rPr>
          <w:rFonts w:ascii="Times New Roman" w:cs="Times New Roman" w:eastAsia="Times New Roman" w:hAnsi="Times New Roman"/>
          <w:sz w:val="22"/>
          <w:szCs w:val="22"/>
          <w:color w:val="auto"/>
        </w:rPr>
        <w:t>”). [(For the avoidance of doubt, in the event that any Units continue to vest following a Voluntary Termination in accordance with Section 1(d) above, the Vesting Date(s) for purposes of payments pursuant to this Section II shall be the regularly scheduled Vesting Dates following such termination.]*</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2"/>
          <w:szCs w:val="22"/>
          <w:color w:val="auto"/>
        </w:rPr>
        <w:t xml:space="preserve"> Notwithstanding anything to the contrary in the foregoing, in the event that (i) the vesting and settlement of Units is conditioned on your execution and delivery of a release and (ii) the Settlement Period commences in one calendar year and ends in the next calendar year, the Units will be paid in the second calendar year. Shares issued in respect of a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spacing w:after="0" w:line="235" w:lineRule="exact"/>
        <w:rPr>
          <w:sz w:val="20"/>
          <w:szCs w:val="20"/>
          <w:color w:val="auto"/>
        </w:rPr>
      </w:pPr>
    </w:p>
    <w:p>
      <w:pPr>
        <w:jc w:val="both"/>
        <w:ind w:firstLine="656"/>
        <w:spacing w:after="0" w:line="258" w:lineRule="auto"/>
        <w:tabs>
          <w:tab w:leader="none" w:pos="1566"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 Issuance of Certificates</w:t>
      </w:r>
      <w:r>
        <w:rPr>
          <w:rFonts w:ascii="Times New Roman" w:cs="Times New Roman" w:eastAsia="Times New Roman" w:hAnsi="Times New Roman"/>
          <w:sz w:val="21"/>
          <w:szCs w:val="21"/>
          <w:color w:val="auto"/>
        </w:rPr>
        <w:t>. Regardless of any action the Company or your actual employer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takes with respect to any or all income tax (including federal, state and local taxes), social insurance, payroll tax, fringe benefit tax, payment on account or other tax-related items related to your participation in the Plan and legally applicable to you (“</w:t>
      </w:r>
      <w:r>
        <w:rPr>
          <w:rFonts w:ascii="Times New Roman" w:cs="Times New Roman" w:eastAsia="Times New Roman" w:hAnsi="Times New Roman"/>
          <w:sz w:val="21"/>
          <w:szCs w:val="21"/>
          <w:u w:val="single" w:color="auto"/>
          <w:color w:val="auto"/>
        </w:rPr>
        <w:t>Tax Obligations”)</w:t>
      </w:r>
      <w:r>
        <w:rPr>
          <w:rFonts w:ascii="Times New Roman" w:cs="Times New Roman" w:eastAsia="Times New Roman" w:hAnsi="Times New Roman"/>
          <w:sz w:val="21"/>
          <w:szCs w:val="21"/>
          <w:color w:val="auto"/>
        </w:rPr>
        <w:t>, you acknowledge that the ultimate liability for all Tax Obligations is and remains your responsibility and may exceed the amount actually withheld by the Company and/or your Employer. You further acknowledge that the Company and/or your Employer (i) make no representations or undertakings regarding the treatment of any Tax Obligations in connection with any aspect of the Units, including the grant of the Units, the vesting of Units, the conversion of the Units into Shares or the receipt of an equivalent cash payment, the subsequent sale of any Shares acquired at vesting and the receipt of any dividends, and</w:t>
      </w:r>
    </w:p>
    <w:p>
      <w:pPr>
        <w:jc w:val="both"/>
        <w:ind w:firstLine="8"/>
        <w:spacing w:after="0" w:line="244" w:lineRule="auto"/>
        <w:tabs>
          <w:tab w:leader="none" w:pos="31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commit to and are under no obligation to structure the terms of the grant or any aspect of the Units to reduce or eliminate your liability for Tax Obligations or achieve any particular tax result. Furthermore, if you become subject to tax in more than one jurisdiction between the Grant Date and the date of any relevant taxable event, you acknowledge that the Company and/or your Employer (or former employer, as applicable) may be required to withhold or account for Tax Obligations in more than one jurisdiction.</w:t>
      </w:r>
    </w:p>
    <w:p>
      <w:pPr>
        <w:spacing w:after="0" w:line="23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Prior to any relevant taxable or tax withholding event, as applicable, you shall pay, or make adequate arrangements satisfactory to the Company or to your Employer (in their sole discretion) to satisfy all Tax Obligations. In this regard, you authorize the Company and/or your Employer or their respective agents, at their discretion, to satisfy all applicable Tax Obligations by one or a combination of the following:</w:t>
      </w:r>
    </w:p>
    <w:p>
      <w:pPr>
        <w:spacing w:after="0" w:line="180"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from your wages or other cash compensation paid to you by the Company and/or your Employer; or</w:t>
      </w:r>
    </w:p>
    <w:p>
      <w:pPr>
        <w:spacing w:after="0" w:line="233" w:lineRule="exact"/>
        <w:rPr>
          <w:rFonts w:ascii="Times New Roman" w:cs="Times New Roman" w:eastAsia="Times New Roman" w:hAnsi="Times New Roman"/>
          <w:sz w:val="22"/>
          <w:szCs w:val="22"/>
          <w:color w:val="auto"/>
        </w:rPr>
      </w:pPr>
    </w:p>
    <w:p>
      <w:pPr>
        <w:ind w:firstLine="656"/>
        <w:spacing w:after="0" w:line="284" w:lineRule="auto"/>
        <w:tabs>
          <w:tab w:leader="none" w:pos="120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from proceeds of the sale of Shares acquired upon vesting or payment of the Units either through a voluntary sale or through a mandatory sale arranged by the Company (on your behalf pursuant to this authorization); or</w:t>
      </w:r>
    </w:p>
    <w:p>
      <w:pPr>
        <w:spacing w:after="0" w:line="144" w:lineRule="exact"/>
        <w:rPr>
          <w:rFonts w:ascii="Times New Roman" w:cs="Times New Roman" w:eastAsia="Times New Roman" w:hAnsi="Times New Roman"/>
          <w:sz w:val="22"/>
          <w:szCs w:val="22"/>
          <w:color w:val="auto"/>
        </w:rPr>
      </w:pPr>
    </w:p>
    <w:p>
      <w:pPr>
        <w:ind w:firstLine="656"/>
        <w:spacing w:after="0" w:line="284" w:lineRule="auto"/>
        <w:tabs>
          <w:tab w:leader="none" w:pos="121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in Shares to be issued upon vesting or payment of the Units, provided that the Company and your Employer shall only withhold an amount of Shares with a fair market value equal to the Tax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11" w:lineRule="exact"/>
        <w:rPr>
          <w:sz w:val="20"/>
          <w:szCs w:val="20"/>
          <w:color w:val="auto"/>
        </w:rPr>
      </w:pPr>
    </w:p>
    <w:p>
      <w:pPr>
        <w:jc w:val="both"/>
        <w:ind w:firstLine="8"/>
        <w:spacing w:after="0" w:line="225" w:lineRule="auto"/>
        <w:tabs>
          <w:tab w:leader="none" w:pos="141" w:val="left"/>
        </w:tabs>
        <w:numPr>
          <w:ilvl w:val="0"/>
          <w:numId w:val="28"/>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21"/>
          <w:szCs w:val="21"/>
          <w:i w:val="1"/>
          <w:iCs w:val="1"/>
          <w:color w:val="auto"/>
        </w:rPr>
        <w:t>Paragraph (d) of Section I of this Agreement is not applicable to awards identified by the Administrator as new hire, retention, special or promotion grants and the provisions of such paragraph shall be reserved and references thereto identified by an asterisk</w:t>
      </w:r>
    </w:p>
    <w:p>
      <w:pPr>
        <w:spacing w:after="0" w:line="1" w:lineRule="exact"/>
        <w:rPr>
          <w:rFonts w:ascii="Times New Roman" w:cs="Times New Roman" w:eastAsia="Times New Roman" w:hAnsi="Times New Roman"/>
          <w:sz w:val="28"/>
          <w:szCs w:val="28"/>
          <w:i w:val="1"/>
          <w:iCs w:val="1"/>
          <w:color w:val="auto"/>
          <w:vertAlign w:val="superscript"/>
        </w:rPr>
      </w:pPr>
    </w:p>
    <w:p>
      <w:pPr>
        <w:spacing w:after="0"/>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22"/>
          <w:szCs w:val="22"/>
          <w:i w:val="1"/>
          <w:iCs w:val="1"/>
          <w:color w:val="auto"/>
        </w:rPr>
        <w:t>(*) shall be omitted from the agreements evidencing such grants.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9" w:right="239" w:bottom="1440" w:gutter="0" w:footer="0" w:header="0"/>
        </w:sectPr>
      </w:pPr>
    </w:p>
    <w:bookmarkStart w:id="52" w:name="page53"/>
    <w:bookmarkEnd w:id="52"/>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To avoid adverse accounting treatment, the Company may withhold or account for Tax Obligations not to exceed the applicable minimum statutory withholding rates or other applicable withholding rates. If the Tax Obligations are satisfied by withholding in Shares, for tax purposes, you are deemed to have been issued the full number of Shares subject to the vested Units, notwithstanding that a number of the Shares is held back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spacing w:after="0" w:line="22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Finally, you shall pay to the Company or your Employer any amount of Tax Obligations that the Company or your Employer may be required to withhold or account for as a result of your participation in the Plan that cannot be satisfied by the means previously described. You agree to take any further actions and execute any additional documents as may be necessary to effectuate the provisions of this Section III. Notwithstanding Section II above, the Company may refuse to issue or deliver the Shares or the proceeds of the sale of Shares if you fail to comply with your obligations in connection with the Tax Obligations.</w:t>
      </w:r>
    </w:p>
    <w:p>
      <w:pPr>
        <w:spacing w:after="0" w:line="222"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u w:val="single" w:color="auto"/>
          <w:color w:val="auto"/>
        </w:rPr>
        <w:t>Dividend Equivalents</w:t>
      </w:r>
    </w:p>
    <w:p>
      <w:pPr>
        <w:spacing w:after="0" w:line="260" w:lineRule="exact"/>
        <w:rPr>
          <w:sz w:val="20"/>
          <w:szCs w:val="20"/>
          <w:color w:val="auto"/>
        </w:rPr>
      </w:pPr>
    </w:p>
    <w:p>
      <w:pPr>
        <w:jc w:val="both"/>
        <w:ind w:firstLine="1953"/>
        <w:spacing w:after="0" w:line="245" w:lineRule="auto"/>
        <w:tabs>
          <w:tab w:leader="none" w:pos="241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and Payment of Dividend Equivalents</w:t>
      </w:r>
      <w:r>
        <w:rPr>
          <w:rFonts w:ascii="Times New Roman" w:cs="Times New Roman" w:eastAsia="Times New Roman" w:hAnsi="Times New Roman"/>
          <w:sz w:val="22"/>
          <w:szCs w:val="22"/>
          <w:color w:val="auto"/>
        </w:rPr>
        <w:t>. Subject to this Section IV, Dividend Equivalents shall be credited on each Unit granted to you under this Agreement in the manner set forth in the remainder of this Section IV. If the Company declares one or more dividends or distributions (each, a “</w:t>
      </w:r>
      <w:r>
        <w:rPr>
          <w:rFonts w:ascii="Times New Roman" w:cs="Times New Roman" w:eastAsia="Times New Roman" w:hAnsi="Times New Roman"/>
          <w:sz w:val="22"/>
          <w:szCs w:val="22"/>
          <w:u w:val="single" w:color="auto"/>
          <w:color w:val="auto"/>
        </w:rPr>
        <w:t>Dividend</w:t>
      </w:r>
      <w:r>
        <w:rPr>
          <w:rFonts w:ascii="Times New Roman" w:cs="Times New Roman" w:eastAsia="Times New Roman" w:hAnsi="Times New Roman"/>
          <w:sz w:val="22"/>
          <w:szCs w:val="22"/>
          <w:color w:val="auto"/>
        </w:rPr>
        <w:t>”) on its Common Stock with a record date which occurs during the period commencing on the Grant Date through and including the day immediately preceding the day the shares of Common Stock subject to the Units are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number of shares of Common Stock equal to the number of your Units as of the record date for such Dividend, unless the Units have been forfeited between the record date and payment date for such Dividend. Any such Dividend Equivalents shall be credited and deemed reinvested in the Common Stock as of the Dividend payment date. Dividend Equivalents shall be payable in full shares of Common Stock, unless the Administrator determines, at any time prior to payment and in its discretion, that they shall be payable in cash. Dividend Equivalents payable with respect to fractional shares of Common Stock shall be paid in cash.</w:t>
      </w:r>
    </w:p>
    <w:p>
      <w:pPr>
        <w:spacing w:after="0" w:line="236" w:lineRule="exact"/>
        <w:rPr>
          <w:rFonts w:ascii="Times New Roman" w:cs="Times New Roman" w:eastAsia="Times New Roman" w:hAnsi="Times New Roman"/>
          <w:sz w:val="22"/>
          <w:szCs w:val="22"/>
          <w:color w:val="auto"/>
        </w:rPr>
      </w:pPr>
    </w:p>
    <w:p>
      <w:pPr>
        <w:jc w:val="both"/>
        <w:ind w:firstLine="1953"/>
        <w:spacing w:after="0" w:line="250" w:lineRule="auto"/>
        <w:tabs>
          <w:tab w:leader="none" w:pos="252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Dividend Equivalents.</w:t>
      </w:r>
      <w:r>
        <w:rPr>
          <w:rFonts w:ascii="Times New Roman" w:cs="Times New Roman" w:eastAsia="Times New Roman" w:hAnsi="Times New Roman"/>
          <w:sz w:val="22"/>
          <w:szCs w:val="22"/>
          <w:color w:val="auto"/>
        </w:rPr>
        <w:t xml:space="preserve"> Except as otherwise expressly provided in this Section IV, any Dividend Equivalents credited to you shall be subject to all of the provisions of this Agreement which apply to the Units with respect to which they have been credited and shall be payable, if at all, at the time and to the extent that the underlying Unit becomes payable. Dividend Equivalents shall not be payable on any Units that do not vest, or are forfeited, pursuant to the terms of this Agreement.</w:t>
      </w:r>
    </w:p>
    <w:p>
      <w:pPr>
        <w:spacing w:after="0" w:line="222" w:lineRule="exact"/>
        <w:rPr>
          <w:sz w:val="20"/>
          <w:szCs w:val="20"/>
          <w:color w:val="auto"/>
        </w:rPr>
      </w:pPr>
    </w:p>
    <w:p>
      <w:pPr>
        <w:jc w:val="both"/>
        <w:ind w:left="80" w:firstLine="657"/>
        <w:spacing w:after="0" w:line="250" w:lineRule="auto"/>
        <w:tabs>
          <w:tab w:leader="none" w:pos="147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xml:space="preserve">. No benefit payable under, or interest in, this Agreement or in the Shares that are scheduled to be issued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nothing in this Section V shall prevent transfer (i) by will or (ii) by applicable laws of descent and distribution.</w:t>
      </w:r>
    </w:p>
    <w:p>
      <w:pPr>
        <w:spacing w:after="0" w:line="22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VI. Notices. Any notices provided for in this Agreement or the Plan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9" w:right="239" w:bottom="1440" w:gutter="0" w:footer="0" w:header="0"/>
        </w:sectPr>
      </w:pPr>
    </w:p>
    <w:bookmarkStart w:id="53" w:name="page54"/>
    <w:bookmarkEnd w:id="53"/>
    <w:p>
      <w:pPr>
        <w:jc w:val="both"/>
        <w:spacing w:after="0" w:line="257" w:lineRule="auto"/>
        <w:rPr>
          <w:sz w:val="20"/>
          <w:szCs w:val="20"/>
          <w:color w:val="auto"/>
        </w:rPr>
      </w:pPr>
      <w:r>
        <w:rPr>
          <w:rFonts w:ascii="Times New Roman" w:cs="Times New Roman" w:eastAsia="Times New Roman" w:hAnsi="Times New Roman"/>
          <w:sz w:val="22"/>
          <w:szCs w:val="22"/>
          <w:color w:val="auto"/>
        </w:rPr>
        <w:t>such other address as you hereafter designate by written notice to the Company Stock Administrator. Such notices may be given using any automated system for the documentation, granting or exercise of Awards, such as a system using an internet website or interactive voice response, as approved by the Company.</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VII.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This Agreement is subject to all the provisions of the Plan, which provisions are hereby made a part of this Agreement, including without limitation the provisions of Section 9.5 of the Plan relating to Restricted Stock Units,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VIII.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spacing w:after="0" w:line="22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IX. </w:t>
      </w: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xml:space="preserve"> The time and form of payment of the Units is intended to comply with the requirements of Code Section 409A and this Agreement shall be interpreted in accordance with Code Section 409A and U.S. Department of Treasury regulations and other interpretive guidance issued thereunder, including without limitation any such regulations or other guidance that may be issued after the Grant Date. Accordingly, no acceleration or deferral of any payment shall be permitted if it would cause the payment of the Units to violate Code Section 409A. In addition, notwithstanding any provision herein to the contrary, in the event that following the Grant Date, the Committee (as defined in the Plan) determines that it may be necessary or appropriate to do so, the Committee may adopt such amendments to the Plan and/or this Agreement or adopt other policies and procedures (including amendments, policies and procedures with retroactive effect), or take any other actions, that the Committee determines are necessary or appropriate to (a) exempt the Plan and/or the Units from the application of Code Section 409A and/or preserve the intended tax treatment of the benefits provided with respect to this Award, or (b) comply with the requirements of Code Section 409A;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paragraph shall not create an obligation on the part of the Committee to adopt any such amendment, policy or procedure or take any such other action. For purposes of Code Section 409A, the right to receive payment of Units at each Vesting Date shall be treated as a right to receive separate and distinct payments.</w:t>
      </w:r>
    </w:p>
    <w:p>
      <w:pPr>
        <w:spacing w:after="0" w:line="235" w:lineRule="exact"/>
        <w:rPr>
          <w:sz w:val="20"/>
          <w:szCs w:val="20"/>
          <w:color w:val="auto"/>
        </w:rPr>
      </w:pPr>
    </w:p>
    <w:p>
      <w:pPr>
        <w:jc w:val="both"/>
        <w:ind w:firstLine="656"/>
        <w:spacing w:after="0" w:line="247" w:lineRule="auto"/>
        <w:tabs>
          <w:tab w:leader="none" w:pos="150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By electing to accept this Agreement, you acknowledge receipt of this Agreement and hereby confirm your understanding that the terms set forth in this Agreement constitute, subject to the terms of the Plan, which terms shall control in the event of any conflict between the Plan and this Agreement, the entire agreement and understanding of the parties with respect to the matters contained herein and supersede any and all prior agreements, arrangements and understandings, both oral and written, between the parties concerning the subject matter of this Agreement.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27"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22"/>
          <w:szCs w:val="22"/>
          <w:color w:val="auto"/>
        </w:rPr>
        <w:t>XI.</w:t>
      </w:r>
      <w:r>
        <w:rPr>
          <w:sz w:val="20"/>
          <w:szCs w:val="20"/>
          <w:color w:val="auto"/>
        </w:rPr>
        <w:tab/>
      </w:r>
      <w:r>
        <w:rPr>
          <w:rFonts w:ascii="Times New Roman" w:cs="Times New Roman" w:eastAsia="Times New Roman" w:hAnsi="Times New Roman"/>
          <w:sz w:val="22"/>
          <w:szCs w:val="22"/>
          <w:u w:val="single" w:color="auto"/>
          <w:color w:val="auto"/>
        </w:rPr>
        <w:t>Acknowledgment of Nature of Plan and Units</w:t>
      </w:r>
      <w:r>
        <w:rPr>
          <w:rFonts w:ascii="Times New Roman" w:cs="Times New Roman" w:eastAsia="Times New Roman" w:hAnsi="Times New Roman"/>
          <w:sz w:val="22"/>
          <w:szCs w:val="22"/>
          <w:color w:val="auto"/>
        </w:rPr>
        <w:t>. In accepting this Agreement, you acknowledge that: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69" w:right="239" w:bottom="1440" w:gutter="0" w:footer="0" w:header="0"/>
        </w:sectPr>
      </w:pPr>
    </w:p>
    <w:bookmarkStart w:id="54" w:name="page55"/>
    <w:bookmarkEnd w:id="54"/>
    <w:p>
      <w:pPr>
        <w:ind w:firstLine="1953"/>
        <w:spacing w:after="0" w:line="271" w:lineRule="auto"/>
        <w:tabs>
          <w:tab w:leader="none" w:pos="249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is discretionary in nature and may be modified, amended, suspended or terminated by the Company at any time, as provided in the Plan;</w:t>
      </w:r>
    </w:p>
    <w:p>
      <w:pPr>
        <w:spacing w:after="0" w:line="198" w:lineRule="exact"/>
        <w:rPr>
          <w:rFonts w:ascii="Times New Roman" w:cs="Times New Roman" w:eastAsia="Times New Roman" w:hAnsi="Times New Roman"/>
          <w:sz w:val="22"/>
          <w:szCs w:val="22"/>
          <w:color w:val="auto"/>
        </w:rPr>
      </w:pPr>
    </w:p>
    <w:p>
      <w:pPr>
        <w:ind w:firstLine="1953"/>
        <w:spacing w:after="0" w:line="271" w:lineRule="auto"/>
        <w:tabs>
          <w:tab w:leader="none" w:pos="245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Units is voluntary and occasional and does not create any contractual or other right to receive future awards of Units, or benefits in lieu of Units even if Units have been awarded in the past;</w:t>
      </w:r>
    </w:p>
    <w:p>
      <w:pPr>
        <w:spacing w:after="0" w:line="198" w:lineRule="exact"/>
        <w:rPr>
          <w:rFonts w:ascii="Times New Roman" w:cs="Times New Roman" w:eastAsia="Times New Roman" w:hAnsi="Times New Roman"/>
          <w:sz w:val="22"/>
          <w:szCs w:val="22"/>
          <w:color w:val="auto"/>
        </w:rPr>
      </w:pPr>
    </w:p>
    <w:p>
      <w:pPr>
        <w:ind w:left="2400" w:hanging="447"/>
        <w:spacing w:after="0"/>
        <w:tabs>
          <w:tab w:leader="none" w:pos="24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awards, if any, will be at the sole discretion of the Company;</w:t>
      </w:r>
    </w:p>
    <w:p>
      <w:pPr>
        <w:spacing w:after="0" w:line="260" w:lineRule="exact"/>
        <w:rPr>
          <w:rFonts w:ascii="Times New Roman" w:cs="Times New Roman" w:eastAsia="Times New Roman" w:hAnsi="Times New Roman"/>
          <w:sz w:val="22"/>
          <w:szCs w:val="22"/>
          <w:color w:val="auto"/>
        </w:rPr>
      </w:pPr>
    </w:p>
    <w:p>
      <w:pPr>
        <w:ind w:firstLine="1953"/>
        <w:spacing w:after="0" w:line="271" w:lineRule="auto"/>
        <w:tabs>
          <w:tab w:leader="none" w:pos="241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participation in the Plan shall not create a right to further employment with the Employer and shall not interfere with the ability of the Employer to terminate your employment or service relationship (if any) at any time;</w:t>
      </w:r>
    </w:p>
    <w:p>
      <w:pPr>
        <w:spacing w:after="0" w:line="198" w:lineRule="exact"/>
        <w:rPr>
          <w:rFonts w:ascii="Times New Roman" w:cs="Times New Roman" w:eastAsia="Times New Roman" w:hAnsi="Times New Roman"/>
          <w:sz w:val="22"/>
          <w:szCs w:val="22"/>
          <w:color w:val="auto"/>
        </w:rPr>
      </w:pPr>
    </w:p>
    <w:p>
      <w:pPr>
        <w:ind w:left="2400" w:hanging="447"/>
        <w:spacing w:after="0"/>
        <w:tabs>
          <w:tab w:leader="none" w:pos="24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participation in the Plan is voluntary;</w:t>
      </w:r>
    </w:p>
    <w:p>
      <w:pPr>
        <w:spacing w:after="0" w:line="260" w:lineRule="exact"/>
        <w:rPr>
          <w:rFonts w:ascii="Times New Roman" w:cs="Times New Roman" w:eastAsia="Times New Roman" w:hAnsi="Times New Roman"/>
          <w:sz w:val="22"/>
          <w:szCs w:val="22"/>
          <w:color w:val="auto"/>
        </w:rPr>
      </w:pPr>
    </w:p>
    <w:p>
      <w:pPr>
        <w:ind w:left="2420" w:hanging="467"/>
        <w:spacing w:after="0"/>
        <w:tabs>
          <w:tab w:leader="none" w:pos="24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Units and the Shares subject to the Units are not intended to replace any pension rights or</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w:t>
      </w:r>
    </w:p>
    <w:p>
      <w:pPr>
        <w:spacing w:after="0" w:line="236" w:lineRule="exact"/>
        <w:rPr>
          <w:rFonts w:ascii="Times New Roman" w:cs="Times New Roman" w:eastAsia="Times New Roman" w:hAnsi="Times New Roman"/>
          <w:sz w:val="22"/>
          <w:szCs w:val="22"/>
          <w:color w:val="auto"/>
        </w:rPr>
      </w:pPr>
    </w:p>
    <w:p>
      <w:pPr>
        <w:jc w:val="both"/>
        <w:ind w:firstLine="1953"/>
        <w:spacing w:after="0" w:line="257" w:lineRule="auto"/>
        <w:tabs>
          <w:tab w:leader="none" w:pos="241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grant of Units nor any provision of this Agreement, the Plan or the policies adopted pursuant to the Plan confer upon you any right with respect to employment or continuation of current employment and shall not be interpreted to form an employment contract or relationship with the Company or any Affiliate;</w:t>
      </w:r>
    </w:p>
    <w:p>
      <w:pPr>
        <w:spacing w:after="0" w:line="213" w:lineRule="exact"/>
        <w:rPr>
          <w:rFonts w:ascii="Times New Roman" w:cs="Times New Roman" w:eastAsia="Times New Roman" w:hAnsi="Times New Roman"/>
          <w:sz w:val="22"/>
          <w:szCs w:val="22"/>
          <w:color w:val="auto"/>
        </w:rPr>
      </w:pPr>
    </w:p>
    <w:p>
      <w:pPr>
        <w:ind w:left="2420" w:hanging="467"/>
        <w:spacing w:after="0"/>
        <w:tabs>
          <w:tab w:leader="none" w:pos="24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is unknown and cannot be predicted with certainty;</w:t>
      </w:r>
    </w:p>
    <w:p>
      <w:pPr>
        <w:spacing w:after="0" w:line="260" w:lineRule="exact"/>
        <w:rPr>
          <w:rFonts w:ascii="Times New Roman" w:cs="Times New Roman" w:eastAsia="Times New Roman" w:hAnsi="Times New Roman"/>
          <w:sz w:val="22"/>
          <w:szCs w:val="22"/>
          <w:color w:val="auto"/>
        </w:rPr>
      </w:pPr>
    </w:p>
    <w:p>
      <w:pPr>
        <w:jc w:val="both"/>
        <w:ind w:firstLine="1953"/>
        <w:spacing w:after="0" w:line="249" w:lineRule="auto"/>
        <w:tabs>
          <w:tab w:leader="none" w:pos="242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Units hereunder, no claim or entitlement to compensation or damages arises from termination of Units, and no claim or entitlement to compensation or damages shall arise from forfeiture of the Units resulting from termination of your employment by the Company or an Affiliate (for any reason whatsoever and whether or not in breach of local labor laws)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221" w:lineRule="exact"/>
        <w:rPr>
          <w:rFonts w:ascii="Times New Roman" w:cs="Times New Roman" w:eastAsia="Times New Roman" w:hAnsi="Times New Roman"/>
          <w:sz w:val="22"/>
          <w:szCs w:val="22"/>
          <w:color w:val="auto"/>
        </w:rPr>
      </w:pPr>
    </w:p>
    <w:p>
      <w:pPr>
        <w:jc w:val="both"/>
        <w:ind w:firstLine="1953"/>
        <w:spacing w:after="0" w:line="275" w:lineRule="auto"/>
        <w:tabs>
          <w:tab w:leader="none" w:pos="237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this Agreement or the Plan, the Units and the benefits evidenced by this Agreement do not create any entitlement to have the Units or any such benefits transferred to, or assumed by, another company nor to be exchanged, cashed out or substituted for, in connection with any corporate transaction affecting the shares of the Company;</w:t>
      </w:r>
    </w:p>
    <w:p>
      <w:pPr>
        <w:spacing w:after="0" w:line="155" w:lineRule="exact"/>
        <w:rPr>
          <w:rFonts w:ascii="Times New Roman" w:cs="Times New Roman" w:eastAsia="Times New Roman" w:hAnsi="Times New Roman"/>
          <w:sz w:val="21"/>
          <w:szCs w:val="21"/>
          <w:color w:val="auto"/>
        </w:rPr>
      </w:pPr>
    </w:p>
    <w:p>
      <w:pPr>
        <w:ind w:left="2420" w:hanging="467"/>
        <w:spacing w:after="0"/>
        <w:tabs>
          <w:tab w:leader="none" w:pos="24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you are providing services outside the United States:</w:t>
      </w:r>
    </w:p>
    <w:p>
      <w:pPr>
        <w:spacing w:after="0" w:line="219" w:lineRule="exact"/>
        <w:rPr>
          <w:rFonts w:ascii="Times New Roman" w:cs="Times New Roman" w:eastAsia="Times New Roman" w:hAnsi="Times New Roman"/>
          <w:sz w:val="22"/>
          <w:szCs w:val="22"/>
          <w:color w:val="auto"/>
        </w:rPr>
      </w:pPr>
    </w:p>
    <w:p>
      <w:pPr>
        <w:jc w:val="both"/>
        <w:ind w:firstLine="2601"/>
        <w:spacing w:after="0" w:line="252" w:lineRule="auto"/>
        <w:tabs>
          <w:tab w:leader="none" w:pos="285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employment law purposes outside the United States, the Units and Shares subject to the Units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payments;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9" w:right="239" w:bottom="1440" w:gutter="0" w:footer="0" w:header="0"/>
        </w:sectPr>
      </w:pPr>
    </w:p>
    <w:bookmarkStart w:id="55" w:name="page56"/>
    <w:bookmarkEnd w:id="55"/>
    <w:p>
      <w:pPr>
        <w:jc w:val="both"/>
        <w:ind w:firstLine="2601"/>
        <w:spacing w:after="0" w:line="275" w:lineRule="auto"/>
        <w:tabs>
          <w:tab w:leader="none" w:pos="2938"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the Employer nor any Affiliate of the Company shall be liable for any foreign exchange rate fluctuation between your local currency and the United States Dollar that may affect the value of the Units or of any amounts due to you pursuant to the settlement of the Units or the subsequent sale of any Shares acquired upon settlement.</w:t>
      </w:r>
    </w:p>
    <w:p>
      <w:pPr>
        <w:spacing w:after="0" w:line="1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XII. </w:t>
      </w:r>
      <w:r>
        <w:rPr>
          <w:rFonts w:ascii="Times New Roman" w:cs="Times New Roman" w:eastAsia="Times New Roman" w:hAnsi="Times New Roman"/>
          <w:sz w:val="22"/>
          <w:szCs w:val="22"/>
          <w:u w:val="single" w:color="auto"/>
          <w:color w:val="auto"/>
        </w:rPr>
        <w:t>No Advice Regarding Award</w:t>
      </w:r>
      <w:r>
        <w:rPr>
          <w:rFonts w:ascii="Times New Roman" w:cs="Times New Roman" w:eastAsia="Times New Roman" w:hAnsi="Times New Roman"/>
          <w:sz w:val="22"/>
          <w:szCs w:val="22"/>
          <w:color w:val="auto"/>
        </w:rPr>
        <w: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XIII.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xml:space="preserve">. Notwithstanding any provision of this Agreement to the contrary, if you are employed by the Company or an Affiliate in any of the countries identified in the attached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(which constitutes a part of this Agreement), are subject to the laws of any foreign jurisdiction, or relocate to one of the countries included in the attached </w:t>
      </w:r>
      <w:r>
        <w:rPr>
          <w:rFonts w:ascii="Times New Roman" w:cs="Times New Roman" w:eastAsia="Times New Roman" w:hAnsi="Times New Roman"/>
          <w:sz w:val="22"/>
          <w:szCs w:val="22"/>
          <w:u w:val="single" w:color="auto"/>
          <w:color w:val="auto"/>
        </w:rPr>
        <w:t>Appendix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the Units granted hereunder shall be subject to any special terms and conditions for your country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and to the following additional terms and conditions:</w:t>
      </w:r>
    </w:p>
    <w:p>
      <w:pPr>
        <w:spacing w:after="0" w:line="222" w:lineRule="exact"/>
        <w:rPr>
          <w:sz w:val="20"/>
          <w:szCs w:val="20"/>
          <w:color w:val="auto"/>
        </w:rPr>
      </w:pPr>
    </w:p>
    <w:p>
      <w:pPr>
        <w:ind w:left="980" w:right="20" w:hanging="324"/>
        <w:spacing w:after="0" w:line="271" w:lineRule="auto"/>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and conditions of this Agreement, including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are deemed modified to the extent necessary or advisable to comply with applicable foreign laws or facilitate the administration of the Plan;</w:t>
      </w:r>
    </w:p>
    <w:p>
      <w:pPr>
        <w:spacing w:after="0" w:line="157"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the effectiveness of your award of Units is conditioned upon its compliance with any applicable foreign laws, regulations, rules or local governmental regulatory exemption and subject to receipt of any required foreign regulatory approvals;</w:t>
      </w:r>
    </w:p>
    <w:p>
      <w:pPr>
        <w:spacing w:after="0" w:line="173" w:lineRule="exact"/>
        <w:rPr>
          <w:rFonts w:ascii="Times New Roman" w:cs="Times New Roman" w:eastAsia="Times New Roman" w:hAnsi="Times New Roman"/>
          <w:sz w:val="22"/>
          <w:szCs w:val="22"/>
          <w:color w:val="auto"/>
        </w:rPr>
      </w:pPr>
    </w:p>
    <w:p>
      <w:pPr>
        <w:ind w:left="980" w:hanging="324"/>
        <w:spacing w:after="0" w:line="271" w:lineRule="auto"/>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necessary to comply with applicable foreign laws, the payment of any earned Units shall be made in cash or Common Stock, at the Company’s election; and</w:t>
      </w:r>
    </w:p>
    <w:p>
      <w:pPr>
        <w:spacing w:after="0" w:line="157" w:lineRule="exact"/>
        <w:rPr>
          <w:rFonts w:ascii="Times New Roman" w:cs="Times New Roman" w:eastAsia="Times New Roman" w:hAnsi="Times New Roman"/>
          <w:sz w:val="22"/>
          <w:szCs w:val="22"/>
          <w:color w:val="auto"/>
        </w:rPr>
      </w:pPr>
    </w:p>
    <w:p>
      <w:pPr>
        <w:ind w:left="980" w:hanging="324"/>
        <w:spacing w:after="0" w:line="271" w:lineRule="auto"/>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take any other action, before or after an award of Units is made, that it deems advisable to obtain approval or comply with any necessary local governmental regulatory exemptions or approvals.</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Notwithstanding anything to the contrary contained herein, the Company shall not take any actions hereunder that would violate the Securities Act, the Exchange Act, the Code, or any other securities or tax or other applicable law or regulation, or the rules of any Securities Exchange. Notwithstanding anything to the contrary contained herein, the Shares issuable upon vesting of the Unit shall not be issued unless such Shares are then registered under the Securities Act, or, if such Shares are not then so registered, the Company has determined that such vesting and issuance would be exempt from the registration requirements of the Securities Act, and that the issuance satisfied all other applicable legal requirements.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XIV. </w:t>
      </w:r>
      <w:r>
        <w:rPr>
          <w:rFonts w:ascii="Times New Roman" w:cs="Times New Roman" w:eastAsia="Times New Roman" w:hAnsi="Times New Roman"/>
          <w:sz w:val="22"/>
          <w:szCs w:val="22"/>
          <w:b w:val="1"/>
          <w:bCs w:val="1"/>
          <w:i w:val="1"/>
          <w:iCs w:val="1"/>
          <w:u w:val="single" w:color="auto"/>
          <w:color w:val="auto"/>
        </w:rPr>
        <w:t>Data Privacy and Notice of Consent</w:t>
      </w:r>
      <w:r>
        <w:rPr>
          <w:rFonts w:ascii="Times New Roman" w:cs="Times New Roman" w:eastAsia="Times New Roman" w:hAnsi="Times New Roman"/>
          <w:sz w:val="22"/>
          <w:szCs w:val="22"/>
          <w:b w:val="1"/>
          <w:bCs w:val="1"/>
          <w:i w:val="1"/>
          <w:iCs w:val="1"/>
          <w:color w:val="auto"/>
        </w:rPr>
        <w:t>. You hereby explicitly and unambiguously consent to the collection, 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and transfer, in electronic or other form, of your personal data as described in this Agreement by and among, as applicable, your Employer, the Company, and Affiliates of the Company for the exclusive purpose of implementing, administering and managing your participation in the Plan.</w:t>
      </w:r>
    </w:p>
    <w:p>
      <w:pPr>
        <w:spacing w:after="0" w:line="21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the Company and your Employer may hold certain personal information about you, including, but not limited to, your name, home address and telephone number, date of birth, social insurance number (to the extent permitted under applicable local law) or other identification number, salary, nationality, job title, residency status, any shares of stock or directorships held in the Company, details of all equity compensation or any other entitlement to Shares awarded, canceled, vested,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69"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b w:val="1"/>
          <w:bCs w:val="1"/>
          <w:i w:val="1"/>
          <w:iCs w:val="1"/>
          <w:color w:val="auto"/>
        </w:rPr>
        <w:t>unvested or outstanding in your favor, for the purposes of implementing, administering and managing the Plan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You understand that Data may be transferred to Merrill Lynch Bank &amp; Trust Co., FSB, or any successor thereto, or any third parties assisting in the implementation, administration and management of the Plan, that these recipients may be located in your country or elsewhere, including outside the European Economic Area and that the recipient’s country (e.g., the United States) may have different data privacy laws and protections than your country. You understand that if you reside outside the United States, you may request a list with the names and addresses of any potential recipients of the Data by contacting your local human resources representative. You authorize your Employer, the Company, Affiliates of the Company, Merrill Lynch Bank &amp; Trust Co., FSB, or any successor thereto, and any other possible recipients which may assist the Company (presently or in the future) with implementing, administering and managing your participation in the Plan to receive, possess, use, retain and transfer the Data, in electronic or other form, for the purpose of implementing, administering and managing your participation in the Plan, including any requisite transfer of such Data as may be required to any other broker, escrow agent or other third party with whom the Shares received upon vesting of the Units may be deposited. You understand that Data will be held only as long as is necessary to implement, administer and manage your participation in the Plan. You understand that if you reside outside the United States,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employment status or service and career with the Employer will not be adversely affected; the only adverse consequence of refusing or withdrawing your consent is that the Company would not be able to grant you Units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XV.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22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XVI. </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you have received this Agreement or any other document related to the Plan translated into a language other than English and if the meaning of the translated version is different than the English version, the English version will control.</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XVII. </w:t>
      </w: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your participation in the Plan, on the Units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XVIII. </w:t>
      </w:r>
      <w:r>
        <w:rPr>
          <w:rFonts w:ascii="Times New Roman" w:cs="Times New Roman" w:eastAsia="Times New Roman" w:hAnsi="Times New Roman"/>
          <w:sz w:val="22"/>
          <w:szCs w:val="22"/>
          <w:u w:val="single" w:color="auto"/>
          <w:color w:val="auto"/>
        </w:rPr>
        <w:t>Compensation Subject to Recovery</w:t>
      </w:r>
      <w:r>
        <w:rPr>
          <w:rFonts w:ascii="Times New Roman" w:cs="Times New Roman" w:eastAsia="Times New Roman" w:hAnsi="Times New Roman"/>
          <w:sz w:val="22"/>
          <w:szCs w:val="22"/>
          <w:color w:val="auto"/>
        </w:rPr>
        <w:t>. The Units subject to this Award and all compensation payable with respect to them shall be subject to recovery by the Company pursuant to any and all of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63" w:right="239" w:bottom="1440" w:gutter="0" w:footer="0" w:header="0"/>
        </w:sectPr>
      </w:pPr>
    </w:p>
    <w:bookmarkStart w:id="57" w:name="page58"/>
    <w:bookmarkEnd w:id="57"/>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Company’s policies with respect to the recovery of compensation, as they shall be in effect and may be amended from time to time, to the maximum extent permitted by applicable law.</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XIX.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69" w:right="239" w:bottom="1440" w:gutter="0" w:footer="0" w:header="0"/>
        </w:sectPr>
      </w:pPr>
    </w:p>
    <w:bookmarkStart w:id="58" w:name="page59"/>
    <w:bookmarkEnd w:id="58"/>
    <w:p>
      <w:pPr>
        <w:ind w:left="5060"/>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2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ADDITIONAL TERMS AND CONDITIONS OF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AMGEN INC. 2009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AND/OR RESTATED FROM TIME TO TIME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OF RESTRICTED STOCK UNITS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COUNTRY)</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Certain capitalized terms used but not defined in this Appendix A shall have the meanings set forth in the Plan and/or the Agreement to which this Appendix is attached.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This Appendix includes additional terms and conditions that govern any Units granted under the Plan if, under applicable law, you are a resident of, are deemed to be a resident of or are working in one of the countries listed below. Furthermore, the additional terms and conditions that govern any Units granted hereunder may apply to you if you relocate to one of the countries listed below and the Company shall, in its discretion, determine to what extent the terms and conditions contained herein shall apply to you.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2014.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vest in the Units and acquire Shares under the Plan, or when you subsequently sell Shares acquired under the Plan.</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addition, the notifications are general in nature and may not apply to your particular situation, and the Company is not in a position to assure you of any particular result. Accordingly, you are advised to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ALL NON-U.S. JURISDICTIONS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Insider Trading Restrictions/Market Abuse Laws. </w:t>
      </w:r>
      <w:r>
        <w:rPr>
          <w:rFonts w:ascii="Times New Roman" w:cs="Times New Roman" w:eastAsia="Times New Roman" w:hAnsi="Times New Roman"/>
          <w:sz w:val="22"/>
          <w:szCs w:val="22"/>
          <w:color w:val="auto"/>
        </w:rPr>
        <w:t>You acknowledge that, depending on your country, you may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insider trading restrictions and/or market abuse laws, which may affect your ability to acquire or sell Shares or rights to Shares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Units) under the Plan during such times as you are considered to have “inside information” regarding the Company (as defined by the laws in your country). Any restrictions under these laws or regulations are separate from and in addition to any restrictions that may be imposed under any applicable Company insider trading policy. You are responsible for ensuring your compliance with any applicable restrictions and are advised to speak with your personal legal advisor on this matter.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w:t>
      </w:r>
    </w:p>
    <w:p>
      <w:pPr>
        <w:sectPr>
          <w:pgSz w:w="11900" w:h="16838" w:orient="portrait"/>
          <w:cols w:equalWidth="0" w:num="1">
            <w:col w:w="11420"/>
          </w:cols>
          <w:pgMar w:left="240" w:top="365" w:right="239" w:bottom="1440" w:gutter="0" w:footer="0" w:header="0"/>
        </w:sectPr>
      </w:pPr>
    </w:p>
    <w:bookmarkStart w:id="59" w:name="page60"/>
    <w:bookmarkEnd w:id="59"/>
    <w:p>
      <w:pPr>
        <w:jc w:val="both"/>
        <w:spacing w:after="0" w:line="251" w:lineRule="auto"/>
        <w:rPr>
          <w:sz w:val="20"/>
          <w:szCs w:val="20"/>
          <w:color w:val="auto"/>
        </w:rPr>
      </w:pPr>
      <w:r>
        <w:rPr>
          <w:rFonts w:ascii="Times New Roman" w:cs="Times New Roman" w:eastAsia="Times New Roman" w:hAnsi="Times New Roman"/>
          <w:sz w:val="22"/>
          <w:szCs w:val="22"/>
          <w:b w:val="1"/>
          <w:bCs w:val="1"/>
          <w:u w:val="single" w:color="auto"/>
          <w:color w:val="auto"/>
        </w:rPr>
        <w:t>ALGERIA</w:t>
      </w:r>
      <w:r>
        <w:rPr>
          <w:rFonts w:ascii="Times New Roman" w:cs="Times New Roman" w:eastAsia="Times New Roman" w:hAnsi="Times New Roman"/>
          <w:sz w:val="22"/>
          <w:szCs w:val="22"/>
          <w:color w:val="auto"/>
        </w:rPr>
        <w:t>: This Award shall not be payable in shares of Common Stock, represents a right, subject to the other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applicable to this Award, to receive payment in cash payable only through the payroll of the applicable local employer of the recipient of this Award and funded solely by such applicable local employer, and does not represent an asset, or a right to receive an asset, outside Algeria. Neither the applicable local employer nor the recipient of this Award have provided or will provide consideration for this Award.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AUSTRALIA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Exchange control reporting is required for cash transactions exceeding AUD10,000 and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international fund transfers. If an Australian bank is assisting with the transaction, the bank will file the report on your behalf.</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If you acquire Shares under the Plan and offer the Shares for sale to a person or entity resident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Australia, the offer may be subject to disclosure requirements under Australian law. You should consult with your own legal advisor before making any such offer in Australia.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AUSTRIA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hold Shares acquired under the Plan outside of Austria, you must submit a report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Austrian National Bank. An exemption applies if the value of the Shares as of any given quarter does not meet or exceed €30,000,000 or if the value of the Shares in any given year as of December 31 does not meet or exceed €5,000,000. If the former threshold is exceeded, quarterly obligations are imposed, whereas if the latter threshold is exceeded, annual reports must be given. The quarterly reporting date is as of the last day of the respective quarter and the deadline for filing the quarterly report is the 15th day of the month following the end of the respective quarter. The annual reporting date is December 31 and the deadline for filing the annual report is January 31 of the following year.</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 separate reporting requirement applies when you sell Shares acquired under the Plan, receive a cash dividend paid on such Shares or Dividend Equivalents paid in cash. In that case, there may be exchange control obligations if the cash proceeds are held outside of Austria. If the transaction volume of all accounts abroad exceeds €3,000,000, the movements and balances of all accounts must be reported monthly, as of the last day of the month, on or before the 15th day of the following month, on the prescribed form (</w:t>
      </w:r>
      <w:r>
        <w:rPr>
          <w:rFonts w:ascii="Times New Roman" w:cs="Times New Roman" w:eastAsia="Times New Roman" w:hAnsi="Times New Roman"/>
          <w:sz w:val="22"/>
          <w:szCs w:val="22"/>
          <w:i w:val="1"/>
          <w:iCs w:val="1"/>
          <w:color w:val="auto"/>
        </w:rPr>
        <w:t>Meldungen SI-Forderungen und/oder SI-Verpflichtungen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BELGIUM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Tax Reporting; Foreign Asset/Account Reporting Information. </w:t>
      </w:r>
      <w:r>
        <w:rPr>
          <w:rFonts w:ascii="Times New Roman" w:cs="Times New Roman" w:eastAsia="Times New Roman" w:hAnsi="Times New Roman"/>
          <w:sz w:val="22"/>
          <w:szCs w:val="22"/>
          <w:color w:val="auto"/>
        </w:rPr>
        <w:t>You are required to report any taxable income attributable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Units granted hereunder on your annual tax return. You are also required to report any security and bank accounts opened and maintained outside Belgium on your annual tax return. In a separate report, you are required to provide the National Bank of Belgium with the account details of any such foreign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BRAZIL</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w:t>
      </w:r>
    </w:p>
    <w:p>
      <w:pPr>
        <w:sectPr>
          <w:pgSz w:w="11900" w:h="16838" w:orient="portrait"/>
          <w:cols w:equalWidth="0" w:num="1">
            <w:col w:w="11420"/>
          </w:cols>
          <w:pgMar w:left="240" w:top="365"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Compliance with Law</w:t>
      </w:r>
      <w:r>
        <w:rPr>
          <w:rFonts w:ascii="Times New Roman" w:cs="Times New Roman" w:eastAsia="Times New Roman" w:hAnsi="Times New Roman"/>
          <w:sz w:val="22"/>
          <w:szCs w:val="22"/>
          <w:color w:val="auto"/>
        </w:rPr>
        <w:t>. By accepting the Units, you acknowledge that you agree to comply with applicable Brazilian laws and pay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and all applicable taxes associated with the vesting of the Units, the sale of Shares acquired under the Plan, the payment of dividends on such Shares and the receipt of any Dividend Equivalents paid in cash.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Acknowledgment of Nature of Plan and Units. </w:t>
      </w:r>
      <w:r>
        <w:rPr>
          <w:rFonts w:ascii="Times New Roman" w:cs="Times New Roman" w:eastAsia="Times New Roman" w:hAnsi="Times New Roman"/>
          <w:sz w:val="22"/>
          <w:szCs w:val="22"/>
          <w:color w:val="auto"/>
        </w:rPr>
        <w:t>This provision supplements Section XI of the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By accepting the Units,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are resident or domiciled in Brazil, you will be required to submit annually a declaration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and rights held outside of Brazil to the Central Bank of Brazil if the aggregate value of such assets and rights equals or exceeds US$100,000. Assets and rights that must be reported include the following: (i) bank deposits; (ii) loans; (iii) financing transactions; (iv) leases; (v) direct investments; (vi) portfolio investments, including Shares acquired under the Plan; (vii) financial derivatives investments; and (viii) other investments, including real estate and other assets.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Brazil valued at less than US$100,000 are not required to submit a declaration.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BULGARIA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Termination of Employment. </w:t>
      </w:r>
      <w:r>
        <w:rPr>
          <w:rFonts w:ascii="Times New Roman" w:cs="Times New Roman" w:eastAsia="Times New Roman" w:hAnsi="Times New Roman"/>
          <w:sz w:val="22"/>
          <w:szCs w:val="22"/>
          <w:color w:val="auto"/>
        </w:rPr>
        <w:t>Section I(i) of the Agreement is amended to read as follows:</w:t>
      </w:r>
    </w:p>
    <w:p>
      <w:pPr>
        <w:spacing w:after="0" w:line="224" w:lineRule="exact"/>
        <w:rPr>
          <w:sz w:val="20"/>
          <w:szCs w:val="20"/>
          <w:color w:val="auto"/>
        </w:rPr>
      </w:pPr>
    </w:p>
    <w:p>
      <w:pPr>
        <w:jc w:val="both"/>
        <w:ind w:firstLine="8"/>
        <w:spacing w:after="0" w:line="246" w:lineRule="auto"/>
        <w:tabs>
          <w:tab w:leader="none" w:pos="25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of your active employment</w:t>
      </w:r>
      <w:r>
        <w:rPr>
          <w:rFonts w:ascii="Times New Roman" w:cs="Times New Roman" w:eastAsia="Times New Roman" w:hAnsi="Times New Roman"/>
          <w:sz w:val="22"/>
          <w:szCs w:val="22"/>
          <w:color w:val="auto"/>
        </w:rPr>
        <w:t>” shall mean the last date that you are either an active employee of the Company or an Affiliate or actively engaged as a Director of the Company or an Affiliate; in the event of involuntary termination of your employment (whether or not in breach of local labor laws), your right to receive any Units and vest under the Plan, if any, will terminate effective as of the date that is the earlier of: (1) the date you receive notice of termination of employment from the Company or your Employer, or (2) the date you are no longer actively employed by the Company or your Employer regardless of any notice period or period of pay in lieu of such notice required under local law (including, but not limited to statutory law, regulatory law and/or common law). Your right, if any, to acquire Shares pursuant to the Units after termination of employment will be measured by the date of termination of your active employment and will not be extended by any notice period mandated under local law;</w:t>
      </w:r>
    </w:p>
    <w:p>
      <w:pPr>
        <w:spacing w:after="0" w:line="18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Form of Settlement -- Units Payable Only in Shares. </w:t>
      </w:r>
      <w:r>
        <w:rPr>
          <w:rFonts w:ascii="Times New Roman" w:cs="Times New Roman" w:eastAsia="Times New Roman" w:hAnsi="Times New Roman"/>
          <w:sz w:val="22"/>
          <w:szCs w:val="22"/>
          <w:color w:val="auto"/>
        </w:rPr>
        <w:t>Notwithstanding any discretion in the Plan or anything to the contrary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Agreement, the Units do not provide any right for you, as a resident of Canada, to receive a cash payment and shall be paid in Shares only.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A-3</w:t>
      </w:r>
    </w:p>
    <w:p>
      <w:pPr>
        <w:sectPr>
          <w:pgSz w:w="11900" w:h="16838" w:orient="portrait"/>
          <w:cols w:equalWidth="0" w:num="1">
            <w:col w:w="11420"/>
          </w:cols>
          <w:pgMar w:left="240" w:top="363"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b w:val="1"/>
          <w:bCs w:val="1"/>
          <w:color w:val="auto"/>
        </w:rPr>
        <w:t>The following provisions will apply to you if you are a resident of Quebec:</w:t>
      </w:r>
    </w:p>
    <w:p>
      <w:pPr>
        <w:spacing w:after="0" w:line="22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The parties acknowledge that it is their express wish that the Agreement, as well as all documents, 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legal proceedings entered into, given or instituted pursuant hereto or relating directly or indirectly hereto, be drawn up in English.</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Les parties reconnaissent avoir exigé la rédaction en anglais de cette convention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Agreement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ainsi que de tous documents exécutés, avis donnés et procédures judiciaries intentées, directement ou indirectement, relativement à ou suite à la présente convention.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Notice and Consent. </w:t>
      </w:r>
      <w:r>
        <w:rPr>
          <w:rFonts w:ascii="Times New Roman" w:cs="Times New Roman" w:eastAsia="Times New Roman" w:hAnsi="Times New Roman"/>
          <w:sz w:val="22"/>
          <w:szCs w:val="22"/>
          <w:color w:val="auto"/>
        </w:rPr>
        <w:t>This provision supplements Section XIV of the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You hereby authorize the Company and the Company’s representative to discuss with and obtain all relevant information from all personnel (professional or not) involved in the administration and operation of the Plan. You further authorize the Company and your Employer to disclose and discuss your participation in the Plan with their advisors. You also authorize the Company and your Employer to record such information and keep it in your employee file.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You are permitted to sell Shares acquired through the Plan through the designated broker appointed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Plan, if any, provided that the resale of such Shares takes place outside of Canada through the facilities of a stock exchange on which the Shares are listed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NASDAQ Global Select Market).</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You are required to report any foreign property (including Shares acquired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on form T1135 (Foreign Income Verification Statement) if the total value of the foreign property exceeds C$100,000 at any time in the year. It is not certain if Units qualify as foreign property for purposes of this reporting obligation. The form must be filed by April 30 of the following year. It is your responsibility to comply with this reporting obligation and you should consult your personal tax advisor in this regard.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CHILE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Pursuant to Ruling No. 99 of 2001 issued by the Chilean Superintendence of Securities (“</w:t>
      </w:r>
      <w:r>
        <w:rPr>
          <w:rFonts w:ascii="Times New Roman" w:cs="Times New Roman" w:eastAsia="Times New Roman" w:hAnsi="Times New Roman"/>
          <w:sz w:val="22"/>
          <w:szCs w:val="22"/>
          <w:u w:val="single" w:color="auto"/>
          <w:color w:val="auto"/>
        </w:rPr>
        <w:t>CSS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neither the Units nor any Shares acquired under the Plan will be registered under the Registry of Securities held by the CSS nor are they under the control or supervision of the CSS.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are not required to repatriate funds obtained from the sale of Shares or the receipt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dividends or Dividend Equivalents. However, if you decide to repatriate such funds, you must do so through the Formal Exchange Market if the amount of funds exceeds US$10,000. In such case, you must report the payment to a commercial bank or registered foreign exchange office receiving the funds.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Tax Reporting and Registration Information. </w:t>
      </w:r>
      <w:r>
        <w:rPr>
          <w:rFonts w:ascii="Times New Roman" w:cs="Times New Roman" w:eastAsia="Times New Roman" w:hAnsi="Times New Roman"/>
          <w:sz w:val="22"/>
          <w:szCs w:val="22"/>
          <w:color w:val="auto"/>
        </w:rPr>
        <w:t>You must file Tax Form 1851 in relation to any Shares acquired under the Plan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held abroad and to any taxes paid abroad (if you will be seeking a credit against Chilean income tax owed) with the Chilean Internal Revenue Service (the “</w:t>
      </w:r>
      <w:r>
        <w:rPr>
          <w:rFonts w:ascii="Times New Roman" w:cs="Times New Roman" w:eastAsia="Times New Roman" w:hAnsi="Times New Roman"/>
          <w:sz w:val="22"/>
          <w:szCs w:val="22"/>
          <w:u w:val="single" w:color="auto"/>
          <w:color w:val="auto"/>
        </w:rPr>
        <w:t>CIRS</w:t>
      </w:r>
      <w:r>
        <w:rPr>
          <w:rFonts w:ascii="Times New Roman" w:cs="Times New Roman" w:eastAsia="Times New Roman" w:hAnsi="Times New Roman"/>
          <w:sz w:val="22"/>
          <w:szCs w:val="22"/>
          <w:color w:val="auto"/>
        </w:rPr>
        <w:t xml:space="preserve">”), The form must be submitted through the CIRS web page at </w:t>
      </w:r>
      <w:r>
        <w:rPr>
          <w:rFonts w:ascii="Times New Roman" w:cs="Times New Roman" w:eastAsia="Times New Roman" w:hAnsi="Times New Roman"/>
          <w:sz w:val="22"/>
          <w:szCs w:val="22"/>
          <w:u w:val="single" w:color="auto"/>
          <w:color w:val="auto"/>
        </w:rPr>
        <w:t>www.sii.cl</w:t>
      </w:r>
      <w:r>
        <w:rPr>
          <w:rFonts w:ascii="Times New Roman" w:cs="Times New Roman" w:eastAsia="Times New Roman" w:hAnsi="Times New Roman"/>
          <w:sz w:val="22"/>
          <w:szCs w:val="22"/>
          <w:color w:val="auto"/>
        </w:rPr>
        <w:t xml:space="preserve"> before March 15 of each year.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A-4</w:t>
      </w:r>
    </w:p>
    <w:p>
      <w:pPr>
        <w:sectPr>
          <w:pgSz w:w="11900" w:h="16838" w:orient="portrait"/>
          <w:cols w:equalWidth="0" w:num="1">
            <w:col w:w="11420"/>
          </w:cols>
          <w:pgMar w:left="240" w:top="581" w:right="239" w:bottom="1440" w:gutter="0" w:footer="0" w:header="0"/>
        </w:sectPr>
      </w:pPr>
    </w:p>
    <w:bookmarkStart w:id="62" w:name="page63"/>
    <w:bookmarkEnd w:id="62"/>
    <w:p>
      <w:pPr>
        <w:jc w:val="both"/>
        <w:spacing w:after="0" w:line="252" w:lineRule="auto"/>
        <w:rPr>
          <w:sz w:val="20"/>
          <w:szCs w:val="20"/>
          <w:color w:val="auto"/>
        </w:rPr>
      </w:pPr>
      <w:r>
        <w:rPr>
          <w:rFonts w:ascii="Times New Roman" w:cs="Times New Roman" w:eastAsia="Times New Roman" w:hAnsi="Times New Roman"/>
          <w:sz w:val="22"/>
          <w:szCs w:val="22"/>
          <w:color w:val="auto"/>
        </w:rPr>
        <w:t>Investments abroad must also be registered with the CIRS for you to be entitled to a foreign tax credit for any tax withheld on dividends abroad, if applicable, and such registration also provides evidence of the acquisition price of the Shares (which will be zero) which you will need when the Shares are sold. You are advised to consult with your personal legal advisor regarding how to register with the CIRS.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CHINA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The following terms apply only to individuals who are subject to exchange control restrictions in the People’s Republic of China (the “PRC”), as determined by the Company in its sole discretion:</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Vesting of the Units. </w:t>
      </w:r>
      <w:r>
        <w:rPr>
          <w:rFonts w:ascii="Times New Roman" w:cs="Times New Roman" w:eastAsia="Times New Roman" w:hAnsi="Times New Roman"/>
          <w:sz w:val="22"/>
          <w:szCs w:val="22"/>
          <w:color w:val="auto"/>
        </w:rPr>
        <w:t>Notwithstanding anything to the contrary in the Form of Award Notice or Award Agreement, the Units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vest until all necessary exchange control and other approvals from the PRC State Administration of Foreign Exchange or its local counterpart (“</w:t>
      </w:r>
      <w:r>
        <w:rPr>
          <w:rFonts w:ascii="Times New Roman" w:cs="Times New Roman" w:eastAsia="Times New Roman" w:hAnsi="Times New Roman"/>
          <w:sz w:val="22"/>
          <w:szCs w:val="22"/>
          <w:u w:val="single" w:color="auto"/>
          <w:color w:val="auto"/>
        </w:rPr>
        <w:t>SAFE</w:t>
      </w:r>
      <w:r>
        <w:rPr>
          <w:rFonts w:ascii="Times New Roman" w:cs="Times New Roman" w:eastAsia="Times New Roman" w:hAnsi="Times New Roman"/>
          <w:sz w:val="22"/>
          <w:szCs w:val="22"/>
          <w:color w:val="auto"/>
        </w:rPr>
        <w:t>”) have been received for Units granted under the Plan. Once SAFE approval has been received, and provided you are then employed by the Company or an Affiliate, you will receive vesting credit for that portion of the Units that would have vested prior to obtaining SAFE approval, if applicable, and the remaining portion of the Units will vest in accordance with the Vesting Schedule in the Form of Award Notice. If you terminate employment with the Company and its Affiliates prior to the receipt of SAFE approval, your unvested Units will be forfeited.</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[Further, notwithstanding anything to the contrary in Section I(d) of the Agreement, if your employment with the Company or an Affiliate terminates due to your Voluntary Termination, as defined in Section I(d), then the vesting of Units granted under this Agreement shall be accelerated to vest as of the day immediately preceding such Voluntary Termination with respect to all Units granted hereunder.][*]</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Sale Requirement. </w:t>
      </w:r>
      <w:r>
        <w:rPr>
          <w:rFonts w:ascii="Times New Roman" w:cs="Times New Roman" w:eastAsia="Times New Roman" w:hAnsi="Times New Roman"/>
          <w:sz w:val="22"/>
          <w:szCs w:val="22"/>
          <w:color w:val="auto"/>
        </w:rPr>
        <w:t>Notwithstanding anything to the contrary in the Agreement, due to exchange control laws in the PRC,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that the Company reserves the right to require the immediate sale of any Shares issued upon settlement of the Units. You understand and agree that any such immediate sale of Shares will occur as soon as is practical following settlement of the Units. Alternatively, if the Shares are not immediately sold upon settlement of the Units, the Company will require the sale of any Shares you may then hold within six (6) months (or such other period as may be required under applicable legal or exchange control requirements) following the termination of your employment with the Company including its Affiliates.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You agree that the Company is authorized to instruct Merrill Lynch Bank and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You acknowledge that Merrill Lynch Bank and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A-5</w:t>
      </w:r>
    </w:p>
    <w:p>
      <w:pPr>
        <w:sectPr>
          <w:pgSz w:w="11900" w:h="16838" w:orient="portrait"/>
          <w:cols w:equalWidth="0" w:num="1">
            <w:col w:w="11420"/>
          </w:cols>
          <w:pgMar w:left="240" w:top="585" w:right="239" w:bottom="1440" w:gutter="0" w:footer="0" w:header="0"/>
        </w:sectPr>
      </w:pPr>
    </w:p>
    <w:bookmarkStart w:id="63" w:name="page64"/>
    <w:bookmarkEnd w:id="63"/>
    <w:p>
      <w:pPr>
        <w:jc w:val="both"/>
        <w:spacing w:after="0" w:line="257" w:lineRule="auto"/>
        <w:rPr>
          <w:sz w:val="20"/>
          <w:szCs w:val="20"/>
          <w:color w:val="auto"/>
        </w:rPr>
      </w:pPr>
      <w:r>
        <w:rPr>
          <w:rFonts w:ascii="Times New Roman" w:cs="Times New Roman" w:eastAsia="Times New Roman" w:hAnsi="Times New Roman"/>
          <w:sz w:val="22"/>
          <w:szCs w:val="22"/>
          <w:color w:val="auto"/>
        </w:rPr>
        <w:t>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Designated Broker Account. </w:t>
      </w:r>
      <w:r>
        <w:rPr>
          <w:rFonts w:ascii="Times New Roman" w:cs="Times New Roman" w:eastAsia="Times New Roman" w:hAnsi="Times New Roman"/>
          <w:sz w:val="22"/>
          <w:szCs w:val="22"/>
          <w:color w:val="auto"/>
        </w:rPr>
        <w:t>If Shares issued upon the settlement of the Units are not immediately sold, you acknowledge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are required to maintain the Shares in an account with Merrill Lynch Bank and Trust Co., FSB or such other designated broker as may be selected by the Company until the Shares are sold through such Company-designated broker.</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Exchange Control Requirements. </w:t>
      </w:r>
      <w:r>
        <w:rPr>
          <w:rFonts w:ascii="Times New Roman" w:cs="Times New Roman" w:eastAsia="Times New Roman" w:hAnsi="Times New Roman"/>
          <w:sz w:val="22"/>
          <w:szCs w:val="22"/>
          <w:color w:val="auto"/>
        </w:rPr>
        <w:t>You understand and agree that, pursuant to local exchange control requirements, you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repatriate the cash proceeds from the sale of the Shares issued to you upon settlement of the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the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Effective January 1, 2014, PRC residents are required to report to SAFE details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their foreign financial assets and liabilities, as well as details of any economic transactions conducted with non-PRC residents, either directly or through financial institutions. Shares or Units acquired under the Plan and Plan-related transactions may be subject to reporting under these new rules. It is your responsibility to comply with this reporting obligation and you should consult your personal tax advisor in this regard.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COLOMBIA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Investment in assets located abroad (such as Shares acquired under the Plan) does not require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approval from the Central Bank (</w:t>
      </w:r>
      <w:r>
        <w:rPr>
          <w:rFonts w:ascii="Times New Roman" w:cs="Times New Roman" w:eastAsia="Times New Roman" w:hAnsi="Times New Roman"/>
          <w:sz w:val="22"/>
          <w:szCs w:val="22"/>
          <w:i w:val="1"/>
          <w:iCs w:val="1"/>
          <w:color w:val="auto"/>
        </w:rPr>
        <w:t>Banco de la República</w:t>
      </w:r>
      <w:r>
        <w:rPr>
          <w:rFonts w:ascii="Times New Roman" w:cs="Times New Roman" w:eastAsia="Times New Roman" w:hAnsi="Times New Roman"/>
          <w:sz w:val="22"/>
          <w:szCs w:val="22"/>
          <w:color w:val="auto"/>
        </w:rPr>
        <w:t>). However, if the value of your aggregate investments held abroad (including Shares) equals or exceeds US$500,000 as of December 31 of the applicable calendar year, these investments must be registered with the Central Bank. Upon sale or other disposition of investments (including Shares) which have been registered with the Central Bank, the registration with the Central Bank must be cancelled no later than March 31 of the year following the year of the sale or disposition (or a fine of up to 200% of the value of the infringing payment will apply).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CROATIA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A-6</w:t>
      </w:r>
    </w:p>
    <w:p>
      <w:pPr>
        <w:sectPr>
          <w:pgSz w:w="11900" w:h="16838" w:orient="portrait"/>
          <w:cols w:equalWidth="0" w:num="1">
            <w:col w:w="11420"/>
          </w:cols>
          <w:pgMar w:left="240" w:top="369" w:right="239" w:bottom="1440" w:gutter="0" w:footer="0" w:header="0"/>
        </w:sectPr>
      </w:pPr>
    </w:p>
    <w:bookmarkStart w:id="64" w:name="page65"/>
    <w:bookmarkEnd w:id="64"/>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Croatian residents must report any foreign investments (including Shares acquired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to the Croatian National Bank for statistical purposes and obtain prior approval of the Croatian National Bank for bank accounts opened abroad. You should be aware that exchange control regulations in Croatia are subject to frequent change and you are solely responsible for ensuring your continued compliance with current Croatian exchange control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CZECH REPUBLIC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Proceeds from the sale of Shares, any dividends paid on such Shares or Dividend Equivalents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held in a cash account abroad and you are no longer required to report the opening and maintenance of a foreign account to the Czech National Bank (the “</w:t>
      </w:r>
      <w:r>
        <w:rPr>
          <w:rFonts w:ascii="Times New Roman" w:cs="Times New Roman" w:eastAsia="Times New Roman" w:hAnsi="Times New Roman"/>
          <w:sz w:val="22"/>
          <w:szCs w:val="22"/>
          <w:u w:val="single" w:color="auto"/>
          <w:color w:val="auto"/>
        </w:rPr>
        <w:t>CNB</w:t>
      </w:r>
      <w:r>
        <w:rPr>
          <w:rFonts w:ascii="Times New Roman" w:cs="Times New Roman" w:eastAsia="Times New Roman" w:hAnsi="Times New Roman"/>
          <w:sz w:val="22"/>
          <w:szCs w:val="22"/>
          <w:color w:val="auto"/>
        </w:rPr>
        <w:t>”), unless the CNB notifies you specifically that such reporting is required. Upon request of the CNB, you may need to file a notification within 15 days of the end of the calendar quarter in which you acquire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DENMARK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Danish Stock Option Act. </w:t>
      </w:r>
      <w:r>
        <w:rPr>
          <w:rFonts w:ascii="Times New Roman" w:cs="Times New Roman" w:eastAsia="Times New Roman" w:hAnsi="Times New Roman"/>
          <w:sz w:val="21"/>
          <w:szCs w:val="21"/>
          <w:color w:val="auto"/>
        </w:rPr>
        <w:t>In accepting the Units, you acknowledge that you have received an Employer Statement translated into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Danish, which is being provided to comply with the Danish Stock Option Act. To the extent more favorable to you and required to comply with the Stock Option Act, the terms set forth in the Employer Statement will apply to your participation in the Plan.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If you establish an account holding Shares or an account holding cash outside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Denmark, you must report the account to the Danish Tax Administration. The form which should be used in this respect can be obtained from a local bank. (These obligations are separate from and in addition to the obligations described below.)</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Securities/Tax Reporting Information. </w:t>
      </w:r>
      <w:r>
        <w:rPr>
          <w:rFonts w:ascii="Times New Roman" w:cs="Times New Roman" w:eastAsia="Times New Roman" w:hAnsi="Times New Roman"/>
          <w:sz w:val="21"/>
          <w:szCs w:val="21"/>
          <w:color w:val="auto"/>
        </w:rPr>
        <w:t>If you hold Shares acquired under the Plan in a brokerage account with a broker or bank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outside Denmark, you are required to inform the Danish Tax Administration about the account. For this purpose, you must sign and file a Form V (</w:t>
      </w:r>
      <w:r>
        <w:rPr>
          <w:rFonts w:ascii="Times New Roman" w:cs="Times New Roman" w:eastAsia="Times New Roman" w:hAnsi="Times New Roman"/>
          <w:sz w:val="21"/>
          <w:szCs w:val="21"/>
          <w:i w:val="1"/>
          <w:iCs w:val="1"/>
          <w:color w:val="auto"/>
        </w:rPr>
        <w:t>Erklaering V</w:t>
      </w:r>
      <w:r>
        <w:rPr>
          <w:rFonts w:ascii="Times New Roman" w:cs="Times New Roman" w:eastAsia="Times New Roman" w:hAnsi="Times New Roman"/>
          <w:sz w:val="21"/>
          <w:szCs w:val="21"/>
          <w:color w:val="auto"/>
        </w:rPr>
        <w:t>) with the Danish Tax Administration.Both you and the broker or bank must sign the Form V. By signing the Form V, the broker or bank undertakes an obligation, without further request each year and not later than February 1 of the year following the calendar year to which the information relates, to forward information to the Danish Tax Administration concerning the Shares in the account. In the event that the applicable broker or bank with which the account is held does not also sign the Form V, you acknowledge that you are solely responsible for providing certain details regarding the foreign brokerage or bank account and any Shares acquired under the Plan and held in such account to the Danish Tax Administration as part of your annual income tax return. By signing the Form V, you authorize the Danish Tax Administration to examine the account.</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In addition, if you open a brokerage account or a bank account with a U.S. bank, the account will be treated as a "deposit account" because cash can be held in the account. Therefore, you likely must also file a Form K (</w:t>
      </w:r>
      <w:r>
        <w:rPr>
          <w:rFonts w:ascii="Times New Roman" w:cs="Times New Roman" w:eastAsia="Times New Roman" w:hAnsi="Times New Roman"/>
          <w:sz w:val="22"/>
          <w:szCs w:val="22"/>
          <w:i w:val="1"/>
          <w:iCs w:val="1"/>
          <w:color w:val="auto"/>
        </w:rPr>
        <w:t>Erklaering K</w:t>
      </w:r>
      <w:r>
        <w:rPr>
          <w:rFonts w:ascii="Times New Roman" w:cs="Times New Roman" w:eastAsia="Times New Roman" w:hAnsi="Times New Roman"/>
          <w:sz w:val="22"/>
          <w:szCs w:val="22"/>
          <w:color w:val="auto"/>
        </w:rPr>
        <w:t>) with the Danish Tax Administration. The Form K must be signed by you and by the applicable broker or bank where the account is held, unless an exemption from the broker/bank signature requirement is obtained from the Danish Tax Administration (which exemption may be sought on the Form K itself). By signing the Form K, you (and the broker/bank to the extent the exemption is not obtained) undertake an obligation, without further request each year, to forward information to the Danish Tax</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A-7</w:t>
      </w:r>
    </w:p>
    <w:p>
      <w:pPr>
        <w:sectPr>
          <w:pgSz w:w="11900" w:h="16838" w:orient="portrait"/>
          <w:cols w:equalWidth="0" w:num="1">
            <w:col w:w="11420"/>
          </w:cols>
          <w:pgMar w:left="240" w:top="365" w:right="239" w:bottom="1440" w:gutter="0" w:footer="0" w:header="0"/>
        </w:sectPr>
      </w:pPr>
    </w:p>
    <w:bookmarkStart w:id="65" w:name="page66"/>
    <w:bookmarkEnd w:id="65"/>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Administration concerning the content of the account. If the applicable broker or bank does not sign the Form K for any reason, you are solely responsible for providing the necessary information to the Danish Tax Administration. By signing the Form K, you authorize the Danish Tax Administration to examine the account. A sample of Declaration K can be found at the following website: </w:t>
      </w:r>
      <w:r>
        <w:rPr>
          <w:rFonts w:ascii="Times New Roman" w:cs="Times New Roman" w:eastAsia="Times New Roman" w:hAnsi="Times New Roman"/>
          <w:sz w:val="22"/>
          <w:szCs w:val="22"/>
          <w:u w:val="single" w:color="auto"/>
          <w:color w:val="auto"/>
        </w:rPr>
        <w:t>www.skat.dk</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EGYPT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transfer funds into Egypt in connection with the Units, you are required to transfer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funds through a registered bank in Egypt.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FINLAND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By accepting the grant, you confirm having read and understood the Plan and Agreement which were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in the English language. You accept the terms of those documents accordingly.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 acceptant l’attribution, vous confirmez avoir lu et compris le Plan et le Contrat, qui ont été communiqués en langue anglaise.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Vous acceptez les termes de ces documents en connaissance de cause.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If you hold Shares outside of France or maintain a foreign bank account, you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report such to the French tax authorities when filing your annual tax return. Failure to comply could trigger significant penalties.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Cross-border payments in excess of €12,500 must be reported monthly to the German Federal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In case of payments in connection with securities (including proceeds realized upon the sale of Shares or the receipt of dividends or Dividend Equivalents), the report must be made by the 5th day of the month following the month in which the payment was received and must be filed electronically. The form of report (</w:t>
      </w:r>
      <w:r>
        <w:rPr>
          <w:rFonts w:ascii="Times New Roman" w:cs="Times New Roman" w:eastAsia="Times New Roman" w:hAnsi="Times New Roman"/>
          <w:sz w:val="22"/>
          <w:szCs w:val="22"/>
          <w:i w:val="1"/>
          <w:iCs w:val="1"/>
          <w:color w:val="auto"/>
        </w:rPr>
        <w:t>Allgemeine Meldeportal Statistik</w:t>
      </w:r>
      <w:r>
        <w:rPr>
          <w:rFonts w:ascii="Times New Roman" w:cs="Times New Roman" w:eastAsia="Times New Roman" w:hAnsi="Times New Roman"/>
          <w:sz w:val="22"/>
          <w:szCs w:val="22"/>
          <w:color w:val="auto"/>
        </w:rPr>
        <w:t xml:space="preserve">) can be accessed via the </w:t>
      </w:r>
      <w:r>
        <w:rPr>
          <w:rFonts w:ascii="Times New Roman" w:cs="Times New Roman" w:eastAsia="Times New Roman" w:hAnsi="Times New Roman"/>
          <w:sz w:val="22"/>
          <w:szCs w:val="22"/>
          <w:i w:val="1"/>
          <w:iCs w:val="1"/>
          <w:color w:val="auto"/>
        </w:rPr>
        <w:t>Bundesbank’s</w:t>
      </w:r>
      <w:r>
        <w:rPr>
          <w:rFonts w:ascii="Times New Roman" w:cs="Times New Roman" w:eastAsia="Times New Roman" w:hAnsi="Times New Roman"/>
          <w:sz w:val="22"/>
          <w:szCs w:val="22"/>
          <w:color w:val="auto"/>
        </w:rPr>
        <w:t xml:space="preserve"> website (</w:t>
      </w:r>
      <w:r>
        <w:rPr>
          <w:rFonts w:ascii="Times New Roman" w:cs="Times New Roman" w:eastAsia="Times New Roman" w:hAnsi="Times New Roman"/>
          <w:sz w:val="22"/>
          <w:szCs w:val="22"/>
          <w:u w:val="single" w:color="auto"/>
          <w:color w:val="auto"/>
        </w:rPr>
        <w:t>www.bundesbank.de</w:t>
      </w:r>
      <w:r>
        <w:rPr>
          <w:rFonts w:ascii="Times New Roman" w:cs="Times New Roman" w:eastAsia="Times New Roman" w:hAnsi="Times New Roman"/>
          <w:sz w:val="22"/>
          <w:szCs w:val="22"/>
          <w:color w:val="auto"/>
        </w:rPr>
        <w:t>) and is available in both German and English. You are responsible for satisfying the reporting obligation.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GREECE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HONG KONG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A-8</w:t>
      </w:r>
    </w:p>
    <w:p>
      <w:pPr>
        <w:sectPr>
          <w:pgSz w:w="11900" w:h="16838" w:orient="portrait"/>
          <w:cols w:equalWidth="0" w:num="1">
            <w:col w:w="11420"/>
          </w:cols>
          <w:pgMar w:left="240" w:top="369" w:right="239" w:bottom="1440" w:gutter="0" w:footer="0" w:header="0"/>
        </w:sectPr>
      </w:pPr>
    </w:p>
    <w:bookmarkStart w:id="66" w:name="page67"/>
    <w:bookmarkEnd w:id="66"/>
    <w:p>
      <w:pPr>
        <w:jc w:val="both"/>
        <w:spacing w:after="0" w:line="248"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SECURITIES WARNING: </w:t>
      </w:r>
      <w:r>
        <w:rPr>
          <w:rFonts w:ascii="Times New Roman" w:cs="Times New Roman" w:eastAsia="Times New Roman" w:hAnsi="Times New Roman"/>
          <w:sz w:val="22"/>
          <w:szCs w:val="22"/>
          <w:i w:val="1"/>
          <w:iCs w:val="1"/>
          <w:color w:val="auto"/>
        </w:rPr>
        <w:t>The Units and any Shares issued in respect of the Units do not constitute a public offering of securities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under Hong Kong law and are available only to members of the Board and Employees. The Agreement, including this Appendix,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Units and any documentation related thereto are intended solely for the personal use of each member of the Board and/or Employee and may not be distributed to any other person. If you are in doubt about any of the contents of the Agreement, including this Appendix, or the Plan, you should obtain independent professional advice.</w:t>
      </w:r>
    </w:p>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Units Payable Only in Shares. </w:t>
      </w:r>
      <w:r>
        <w:rPr>
          <w:rFonts w:ascii="Times New Roman" w:cs="Times New Roman" w:eastAsia="Times New Roman" w:hAnsi="Times New Roman"/>
          <w:sz w:val="22"/>
          <w:szCs w:val="22"/>
          <w:color w:val="auto"/>
        </w:rPr>
        <w:t>Notwithstanding any discretion in the Plan or anything to the contrary in the Agreement, the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 not provide any right for you to receive a cash payment and shall be paid in Shares only.</w:t>
      </w:r>
    </w:p>
    <w:p>
      <w:pPr>
        <w:spacing w:after="0" w:line="15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Sale of Shares. </w:t>
      </w:r>
      <w:r>
        <w:rPr>
          <w:rFonts w:ascii="Times New Roman" w:cs="Times New Roman" w:eastAsia="Times New Roman" w:hAnsi="Times New Roman"/>
          <w:sz w:val="22"/>
          <w:szCs w:val="22"/>
          <w:color w:val="auto"/>
        </w:rPr>
        <w:t>In the event that Shares are issued in respect of the Units within six (6) months of the Grant Date, you agree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will not dispose of the Shares prior to the six (6)-month anniversary of the Grant Date.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Nature of Scheme. </w:t>
      </w:r>
      <w:r>
        <w:rPr>
          <w:rFonts w:ascii="Times New Roman" w:cs="Times New Roman" w:eastAsia="Times New Roman" w:hAnsi="Times New Roman"/>
          <w:sz w:val="22"/>
          <w:szCs w:val="22"/>
          <w:color w:val="auto"/>
        </w:rPr>
        <w:t>The Company specifically intends that the Plan will not be an occupational retirement scheme for purposes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Occupational Retirement Schemes Ordinance.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HUNGARY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ICELAND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should consult with your personal advisor to ensure compliance with applicable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regulations in Iceland as such regulations are subject to frequent change. You are responsible for ensuring compliance with all exchange control laws in Iceland.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INDIA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You understand that you must repatriate any cash dividends paid on Shares acquired under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to India or any Dividend Equivalents paid in cash within 180 days of receipt, and any proceeds from the sale of Shares acquired under the Plan within 90 days of receipt. You will receive a foreign inward remittance certificate (“</w:t>
      </w:r>
      <w:r>
        <w:rPr>
          <w:rFonts w:ascii="Times New Roman" w:cs="Times New Roman" w:eastAsia="Times New Roman" w:hAnsi="Times New Roman"/>
          <w:sz w:val="21"/>
          <w:szCs w:val="21"/>
          <w:u w:val="single" w:color="auto"/>
          <w:color w:val="auto"/>
        </w:rPr>
        <w:t>FIRC</w:t>
      </w:r>
      <w:r>
        <w:rPr>
          <w:rFonts w:ascii="Times New Roman" w:cs="Times New Roman" w:eastAsia="Times New Roman" w:hAnsi="Times New Roman"/>
          <w:sz w:val="21"/>
          <w:szCs w:val="21"/>
          <w:color w:val="auto"/>
        </w:rPr>
        <w:t>”) from the bank where you deposit the foreign currency, and you must maintain the FIRC as proof of repatriation of funds in the event that the Reserve Bank of India or the Employer requests proof of repatriation. It is your responsibility to comply with these requirements.</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Foreign Asset/Account Reporting Information</w:t>
      </w:r>
      <w:r>
        <w:rPr>
          <w:rFonts w:ascii="Times New Roman" w:cs="Times New Roman" w:eastAsia="Times New Roman" w:hAnsi="Times New Roman"/>
          <w:sz w:val="22"/>
          <w:szCs w:val="22"/>
          <w:color w:val="auto"/>
        </w:rPr>
        <w:t>. You are required to declare foreign bank accounts and any foreign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(including Shares held outside India) in your annual tax return. It is your responsibility to comply with this reporting obligation and you should consult your personal tax advisor in this regard.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A-9</w:t>
      </w:r>
    </w:p>
    <w:p>
      <w:pPr>
        <w:sectPr>
          <w:pgSz w:w="11900" w:h="16838" w:orient="portrait"/>
          <w:cols w:equalWidth="0" w:num="1">
            <w:col w:w="11420"/>
          </w:cols>
          <w:pgMar w:left="240" w:top="363"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b w:val="1"/>
          <w:bCs w:val="1"/>
          <w:u w:val="single" w:color="auto"/>
          <w:color w:val="auto"/>
        </w:rPr>
        <w:t>IRELAND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Nature of Agreement. </w:t>
      </w:r>
      <w:r>
        <w:rPr>
          <w:rFonts w:ascii="Times New Roman" w:cs="Times New Roman" w:eastAsia="Times New Roman" w:hAnsi="Times New Roman"/>
          <w:sz w:val="22"/>
          <w:szCs w:val="22"/>
          <w:color w:val="auto"/>
        </w:rPr>
        <w:t>This provision supplements Section XI of the Agreement:</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accepting any Units granted hereunder, you understand and agree that the benefits received under the Plan will not be taken into account for any redundancy or unfair dismissal claim.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Director Notification Requirements. </w:t>
      </w:r>
      <w:r>
        <w:rPr>
          <w:rFonts w:ascii="Times New Roman" w:cs="Times New Roman" w:eastAsia="Times New Roman" w:hAnsi="Times New Roman"/>
          <w:sz w:val="22"/>
          <w:szCs w:val="22"/>
          <w:color w:val="auto"/>
        </w:rPr>
        <w:t>If you are a director, shadow director or secretary of an Irish Affiliate, you must notify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Irish Affiliate in writing within five (5) business days of receiving or disposing of an interest in the Company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the Units or Shares), or within five (5) business days of becoming aware of the event giving rise to the notification requirement, or within five</w:t>
      </w:r>
    </w:p>
    <w:p>
      <w:pPr>
        <w:spacing w:after="0" w:line="1" w:lineRule="exact"/>
        <w:rPr>
          <w:sz w:val="20"/>
          <w:szCs w:val="20"/>
          <w:color w:val="auto"/>
        </w:rPr>
      </w:pPr>
    </w:p>
    <w:p>
      <w:pPr>
        <w:jc w:val="both"/>
        <w:ind w:firstLine="8"/>
        <w:spacing w:after="0" w:line="246" w:lineRule="auto"/>
        <w:tabs>
          <w:tab w:leader="none" w:pos="30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of becoming a director or secretary if such an interest exists at the time. This notification requirement also applies with respect to the interests of a spouse or minor children (whose interests, if any, will be attributed to the director, shadow director or secretary).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ITALY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Notice. </w:t>
      </w:r>
      <w:r>
        <w:rPr>
          <w:rFonts w:ascii="Times New Roman" w:cs="Times New Roman" w:eastAsia="Times New Roman" w:hAnsi="Times New Roman"/>
          <w:sz w:val="22"/>
          <w:szCs w:val="22"/>
          <w:color w:val="auto"/>
        </w:rPr>
        <w:t>The following provision replaces Section XIV of the Agreement:</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i w:val="1"/>
          <w:iCs w:val="1"/>
          <w:color w:val="auto"/>
        </w:rPr>
        <w:t>You understand that the Employer, the Company and any Affiliate may hold certain personal information about you, including, but not limited to, your name, home address and telephone number, date of birth, social insurance (to the extent permitted under Italian law) or other identification number, salary, nationality, job title, any shares or directorships held in the Company or any Affiliate, details of all Awards granted, or any other entitlement to Shares awarded, canceled, exercised, vested, unvested or outstanding in your favor, for the exclusive purpose of implementing, managing and administering the Plan (“</w:t>
      </w:r>
      <w:r>
        <w:rPr>
          <w:rFonts w:ascii="Times New Roman" w:cs="Times New Roman" w:eastAsia="Times New Roman" w:hAnsi="Times New Roman"/>
          <w:sz w:val="21"/>
          <w:szCs w:val="21"/>
          <w:b w:val="1"/>
          <w:bCs w:val="1"/>
          <w:i w:val="1"/>
          <w:iCs w:val="1"/>
          <w:u w:val="single" w:color="auto"/>
          <w:color w:val="auto"/>
        </w:rPr>
        <w:t>Data</w:t>
      </w:r>
      <w:r>
        <w:rPr>
          <w:rFonts w:ascii="Times New Roman" w:cs="Times New Roman" w:eastAsia="Times New Roman" w:hAnsi="Times New Roman"/>
          <w:sz w:val="21"/>
          <w:szCs w:val="21"/>
          <w:b w:val="1"/>
          <w:bCs w:val="1"/>
          <w:i w:val="1"/>
          <w:iCs w:val="1"/>
          <w:color w:val="auto"/>
        </w:rPr>
        <w:t>”).</w:t>
      </w:r>
    </w:p>
    <w:p>
      <w:pPr>
        <w:spacing w:after="0" w:line="1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You also understand that providing the Company with Data is necessary for the performance of the Plan and that your refusal to provide such Data would make it impossible for the Company to perform its contractual obligations and may affect your ability to participate in the Plan. The Controller of personal data processing is Amgen Inc., with registered offices at One Amgen Center Drive, Thousand Oaks, California 91320, U.S.A., and, pursuant to Legislative Decree no. 196/2003, its Representative in Italy for privacy purposes is Amgen Dompe S.p.A., with registered offices at Via Tazzoli, 6 - 20154 Milan, Italy.</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b w:val="1"/>
          <w:bCs w:val="1"/>
          <w:i w:val="1"/>
          <w:iCs w:val="1"/>
          <w:color w:val="auto"/>
        </w:rPr>
        <w:t>You understand that Data will not be publicized, but it may be transferred to banks, other financial institutions, or brokers involved in the management and administration of the Plan. You understand that Data may also be transferred to the independent registered public accounting firm engaged by the Company. You further understand that the Company and/or any Affiliate will transfer Data among themselves as necessary for the purposes of implementing, administering and managing your participation in the Plan, and that the Company and/or any Affiliate may each further transfer Data to third parties assisting the Company in the implementation, administration, and management of the Plan, including any requisite transfer of Data to a broker or other third party with whom you may elect to deposit any Shares acquired at vesting of the Units. Such recipients may receive, possess, use, retain, and transfer Data in electronic or other form, for the purposes of implementing, administering, and managing your participation in the Plan. You understand that these recipients may be located in or outside the European Economic Area, such as in the United States or elsewhere. Should the Company exercise its discretion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A-10</w:t>
      </w:r>
    </w:p>
    <w:p>
      <w:pPr>
        <w:sectPr>
          <w:pgSz w:w="11900" w:h="16838" w:orient="portrait"/>
          <w:cols w:equalWidth="0" w:num="1">
            <w:col w:w="11420"/>
          </w:cols>
          <w:pgMar w:left="240" w:top="365" w:right="239" w:bottom="1440" w:gutter="0" w:footer="0" w:header="0"/>
        </w:sectPr>
      </w:pPr>
    </w:p>
    <w:bookmarkStart w:id="68" w:name="page69"/>
    <w:bookmarkEnd w:id="68"/>
    <w:p>
      <w:pPr>
        <w:jc w:val="both"/>
        <w:spacing w:after="0" w:line="301" w:lineRule="auto"/>
        <w:rPr>
          <w:sz w:val="20"/>
          <w:szCs w:val="20"/>
          <w:color w:val="auto"/>
        </w:rPr>
      </w:pPr>
      <w:r>
        <w:rPr>
          <w:rFonts w:ascii="Times New Roman" w:cs="Times New Roman" w:eastAsia="Times New Roman" w:hAnsi="Times New Roman"/>
          <w:sz w:val="21"/>
          <w:szCs w:val="21"/>
          <w:b w:val="1"/>
          <w:bCs w:val="1"/>
          <w:i w:val="1"/>
          <w:iCs w:val="1"/>
          <w:color w:val="auto"/>
        </w:rPr>
        <w:t>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The processing activity, including communication, the transfer of Data abroad, including outside of the European Economic Area, as herein specified and pursuant to applicable laws and regulations, does not require your consent thereto, as the processing is necessary to performance of contractual obligations related to implementation, administration, and management of the Plan. You understand that, pursuant to Section 7 of the Legislative Decree no. 196/2003, you have the right to, including but not limited to, access, delete, update, correct, or terminate, for legitimate reason, the Data processing.</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b w:val="1"/>
          <w:bCs w:val="1"/>
          <w:i w:val="1"/>
          <w:iCs w:val="1"/>
          <w:color w:val="auto"/>
        </w:rPr>
        <w:t>Furthermore, you are aware that Data will not be used for direct-marketing purposes. In addition, Data provided can be reviewed and questions or complaints can be addressed by contacting your local human resources representative.</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Acknowledgement of Nature of Agreement. </w:t>
      </w:r>
      <w:r>
        <w:rPr>
          <w:rFonts w:ascii="Times New Roman" w:cs="Times New Roman" w:eastAsia="Times New Roman" w:hAnsi="Times New Roman"/>
          <w:sz w:val="22"/>
          <w:szCs w:val="22"/>
          <w:color w:val="auto"/>
        </w:rPr>
        <w:t>By accepting any Units granted hereunder, you acknowledge that (1) you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received a copy of the Plan, the Agreement and this Appendix; (2) you have reviewed the applicable documents in their entirety and fully understand the contents thereof; and (3) you accept all provisions of the Plan, the Agreement and this Appendix.</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any Units granted, you further acknowledge that you have read and specifically and explicitly approve, without limitation, the following sections of the Agreement: Section I; Section II; Section III; Section VIII; Section X; Section XI; Section XIV (as replaced by the above consent); Section XVI; and Section XVII.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Italian residents who, at any time during the fiscal year, hold foreign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Financial Assets Tax. </w:t>
      </w:r>
      <w:r>
        <w:rPr>
          <w:rFonts w:ascii="Times New Roman" w:cs="Times New Roman" w:eastAsia="Times New Roman" w:hAnsi="Times New Roman"/>
          <w:sz w:val="22"/>
          <w:szCs w:val="22"/>
          <w:color w:val="auto"/>
        </w:rPr>
        <w:t>The fair market value of any Shares held outside of Italy is subject to a foreign assets tax. The fair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market value is considered to be the value of the Shares on the NASDAQ Global Select Market on December 31 of each year or on the last day in the applicable year on which you held the Shares (or when the Shares are acquired during the course of the year, the tax is levied in proportion to the actual days of holding over the calendar year). You should consult with your personal tax advisor about the foreign financial assets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JAPAN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You will be required to report to the Japanese tax authorities details of any assets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outside of Japan as of December 31st (including any Shares acquired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APPENDIX A-11</w:t>
      </w:r>
    </w:p>
    <w:p>
      <w:pPr>
        <w:sectPr>
          <w:pgSz w:w="11900" w:h="16838" w:orient="portrait"/>
          <w:cols w:equalWidth="0" w:num="1">
            <w:col w:w="11420"/>
          </w:cols>
          <w:pgMar w:left="240" w:top="363" w:right="239" w:bottom="1440" w:gutter="0" w:footer="0" w:header="0"/>
        </w:sectPr>
      </w:pPr>
    </w:p>
    <w:bookmarkStart w:id="69" w:name="page70"/>
    <w:bookmarkEnd w:id="69"/>
    <w:p>
      <w:pPr>
        <w:jc w:val="both"/>
        <w:spacing w:after="0" w:line="257" w:lineRule="auto"/>
        <w:rPr>
          <w:sz w:val="20"/>
          <w:szCs w:val="20"/>
          <w:color w:val="auto"/>
        </w:rPr>
      </w:pPr>
      <w:r>
        <w:rPr>
          <w:rFonts w:ascii="Times New Roman" w:cs="Times New Roman" w:eastAsia="Times New Roman" w:hAnsi="Times New Roman"/>
          <w:sz w:val="22"/>
          <w:szCs w:val="22"/>
          <w:color w:val="auto"/>
        </w:rPr>
        <w:t>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JORDAN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KOREA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are required to repatriate any proceeds in excess of US$500,000 realized in a single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from the sale of Shares or the receipt of dividends or Dividend Equivalents to Korea within 18 months of receipt.</w:t>
      </w:r>
    </w:p>
    <w:p>
      <w:pPr>
        <w:spacing w:after="0" w:line="1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You are required to declare all foreign financial accounts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non-Korean bank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accounts, brokerage accounts holding Shares, etc.) to the Korean tax authority and file a report regarding such accounts if the value of such accounts exceeds KRW1,000,000,000 (or an equivalent amount in foreign currency). It is your responsibility to comply with this reporting obligation and you should consult your personal tax advisor to ensure compliance with this requirement.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LEBANON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LITHUANIA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MEXICO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Acknowledgement of the Agreement. </w:t>
      </w:r>
      <w:r>
        <w:rPr>
          <w:rFonts w:ascii="Times New Roman" w:cs="Times New Roman" w:eastAsia="Times New Roman" w:hAnsi="Times New Roman"/>
          <w:sz w:val="22"/>
          <w:szCs w:val="22"/>
          <w:color w:val="auto"/>
        </w:rPr>
        <w:t>In accepting the Award granted hereunder, you acknowledge that you have received a copy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 have reviewed the Plan and the Agreement, including this Appendix, in their entirety and fully understand and accept all provisions of the Plan and the Agreement, including this Appendix. You further acknowledge that you have read and specifically and expressly approve the terms and conditions of Section XI of the Agreement, in which the following is clearly described and established:</w:t>
      </w:r>
    </w:p>
    <w:p>
      <w:pPr>
        <w:spacing w:after="0" w:line="221"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participation in the Plan does not constitute an acquired right.</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your participation in the Plan are offered by Amgen Inc. on a wholly discretionary basis.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participation in the Plan is voluntary.</w:t>
      </w:r>
    </w:p>
    <w:p>
      <w:pPr>
        <w:spacing w:after="0" w:line="219"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Amgen Inc. and its Affiliates are not responsible for any decrease in the value of the Units granted and/or Shares issued under the Plan.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A-12</w:t>
      </w:r>
    </w:p>
    <w:p>
      <w:pPr>
        <w:sectPr>
          <w:pgSz w:w="11900" w:h="16838" w:orient="portrait"/>
          <w:cols w:equalWidth="0" w:num="1">
            <w:col w:w="11420"/>
          </w:cols>
          <w:pgMar w:left="240" w:top="369" w:right="239" w:bottom="1440" w:gutter="0" w:footer="0" w:header="0"/>
        </w:sectPr>
      </w:pPr>
    </w:p>
    <w:bookmarkStart w:id="70" w:name="page71"/>
    <w:bookmarkEnd w:id="70"/>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Labor Law Acknowledgement and Policy Statement. </w:t>
      </w:r>
      <w:r>
        <w:rPr>
          <w:rFonts w:ascii="Times New Roman" w:cs="Times New Roman" w:eastAsia="Times New Roman" w:hAnsi="Times New Roman"/>
          <w:sz w:val="22"/>
          <w:szCs w:val="22"/>
          <w:color w:val="auto"/>
        </w:rPr>
        <w:t>In accepting any Award granted hereunder, you expressly recognize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Latin America Services, S.A. de C.V. (“</w:t>
      </w:r>
      <w:r>
        <w:rPr>
          <w:rFonts w:ascii="Times New Roman" w:cs="Times New Roman" w:eastAsia="Times New Roman" w:hAnsi="Times New Roman"/>
          <w:sz w:val="22"/>
          <w:szCs w:val="22"/>
          <w:u w:val="single" w:color="auto"/>
          <w:color w:val="auto"/>
        </w:rPr>
        <w:t>Amgen-Mexico</w:t>
      </w:r>
      <w:r>
        <w:rPr>
          <w:rFonts w:ascii="Times New Roman" w:cs="Times New Roman" w:eastAsia="Times New Roman" w:hAnsi="Times New Roman"/>
          <w:sz w:val="22"/>
          <w:szCs w:val="22"/>
          <w:color w:val="auto"/>
        </w:rPr>
        <w:t>”). Based on the foregoing, you expressly recognize that the Plan and the benefits that you may derive from participation in the Plan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 further understand that your participation in the Plan is as a result of a unilateral and discretionary decision of Amgen Inc.; therefore, Amgen Inc. reserves the absolute right to amend and/or discontinue your participation in the Plan at any time without any liability to you.</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shareholders, officers, agents or legal representatives with respect to any claim that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Spanish Translation</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Reconocimiento del Otorgamiento. </w:t>
      </w:r>
      <w:r>
        <w:rPr>
          <w:rFonts w:ascii="Times New Roman" w:cs="Times New Roman" w:eastAsia="Times New Roman" w:hAnsi="Times New Roman"/>
          <w:sz w:val="21"/>
          <w:szCs w:val="21"/>
          <w:color w:val="auto"/>
        </w:rPr>
        <w:t>Al aceptar cualquier Otorgamiento bajo el presente documento, usted reconoce que ha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recibido una copia del Plan, que ha revisado el mismo en su totalidad, así como también el Acuerdo de Opción, el Acuerdo, incluyendo este Apéndice, además que comprende y está de acuerdo con todas las disposiciones tanto del Plan y del Otorgamiento, incluyendo este Apéndice. Asimismo, usted reconoce que ha leído y manifiesta específicamente y expresamente la conformidad con los términos y condiciones establecidos en la Sección X del Acuerdo, en los que se establece y describe claramente que:</w:t>
      </w:r>
    </w:p>
    <w:p>
      <w:pPr>
        <w:spacing w:after="0" w:line="165"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 participación en el Plan de ninguna manera constituye un derecho adquirido.</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 Plan y su participación en el mismo son ofrecidos por Amgen Inc. de forma completamente discrecional.</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 participación en el Plan es voluntaria.</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Amgen Inc. y sus Afiliados no son responsables de ninguna disminución en el valor de Unidades o de las Acciones Comunes emitidas mediante el Plan.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Reconocimiento de la Ley Laboral y Declaración de Política. </w:t>
      </w:r>
      <w:r>
        <w:rPr>
          <w:rFonts w:ascii="Times New Roman" w:cs="Times New Roman" w:eastAsia="Times New Roman" w:hAnsi="Times New Roman"/>
          <w:sz w:val="21"/>
          <w:szCs w:val="21"/>
          <w:color w:val="auto"/>
        </w:rPr>
        <w:t>Al aceptar cualquier Otorgamiento de Acciones bajo el presente,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usted 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Latin America Services, S.A. de C.V. (“</w:t>
      </w:r>
      <w:r>
        <w:rPr>
          <w:rFonts w:ascii="Times New Roman" w:cs="Times New Roman" w:eastAsia="Times New Roman" w:hAnsi="Times New Roman"/>
          <w:sz w:val="21"/>
          <w:szCs w:val="21"/>
          <w:u w:val="single" w:color="auto"/>
          <w:color w:val="auto"/>
        </w:rPr>
        <w:t>Amgen-México</w:t>
      </w:r>
      <w:r>
        <w:rPr>
          <w:rFonts w:ascii="Times New Roman" w:cs="Times New Roman" w:eastAsia="Times New Roman" w:hAnsi="Times New Roman"/>
          <w:sz w:val="21"/>
          <w:szCs w:val="21"/>
          <w:color w:val="auto"/>
        </w:rPr>
        <w:t>”). Derivado de lo anterior, usted reconoce expresamente que el Plan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A-13</w:t>
      </w:r>
    </w:p>
    <w:p>
      <w:pPr>
        <w:sectPr>
          <w:pgSz w:w="11900" w:h="16838" w:orient="portrait"/>
          <w:cols w:equalWidth="0" w:num="1">
            <w:col w:w="11420"/>
          </w:cols>
          <w:pgMar w:left="240" w:top="365" w:right="239" w:bottom="1440" w:gutter="0" w:footer="0" w:header="0"/>
        </w:sectPr>
      </w:pPr>
    </w:p>
    <w:bookmarkStart w:id="71" w:name="page72"/>
    <w:bookmarkEnd w:id="71"/>
    <w:p>
      <w:pPr>
        <w:jc w:val="both"/>
        <w:spacing w:after="0" w:line="257" w:lineRule="auto"/>
        <w:rPr>
          <w:sz w:val="20"/>
          <w:szCs w:val="20"/>
          <w:color w:val="auto"/>
        </w:rPr>
      </w:pPr>
      <w:r>
        <w:rPr>
          <w:rFonts w:ascii="Times New Roman" w:cs="Times New Roman" w:eastAsia="Times New Roman" w:hAnsi="Times New Roman"/>
          <w:sz w:val="22"/>
          <w:szCs w:val="22"/>
          <w:color w:val="auto"/>
        </w:rPr>
        <w:t>Asimismo, usted entiende que su participación en el Plan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MOROCCO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Sale Requirement. </w:t>
      </w:r>
      <w:r>
        <w:rPr>
          <w:rFonts w:ascii="Times New Roman" w:cs="Times New Roman" w:eastAsia="Times New Roman" w:hAnsi="Times New Roman"/>
          <w:sz w:val="22"/>
          <w:szCs w:val="22"/>
          <w:color w:val="auto"/>
        </w:rPr>
        <w:t>Notwithstanding anything to the contrary in the Agreement, due to exchange control laws in Morocco,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that the Company reserves the right to require the immediate sale of any Shares acquired upon settlement of the Units. Alternatively, if the Shares are not immediately sold upon settlement of the Units, the Company may require the sale of any Shares at a later date, including upon termination of your employment.</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You agree that the Company is authorized to instruct Merrill Lynch Bank and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You acknowledge that Merrill Lynch Bank and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Designated Broker Account. </w:t>
      </w:r>
      <w:r>
        <w:rPr>
          <w:rFonts w:ascii="Times New Roman" w:cs="Times New Roman" w:eastAsia="Times New Roman" w:hAnsi="Times New Roman"/>
          <w:sz w:val="22"/>
          <w:szCs w:val="22"/>
          <w:color w:val="auto"/>
        </w:rPr>
        <w:t>If Shares issued upon the settlement of the Units are not immediately sold, you acknowledge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are required to maintain the Shares in an account with Merrill Lynch Bank and Trust Co., FSB or such other designated broker as may be selected by the Company until the Shares are sold through such Company-designated broker.</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Requirements. </w:t>
      </w:r>
      <w:r>
        <w:rPr>
          <w:rFonts w:ascii="Times New Roman" w:cs="Times New Roman" w:eastAsia="Times New Roman" w:hAnsi="Times New Roman"/>
          <w:sz w:val="22"/>
          <w:szCs w:val="22"/>
          <w:color w:val="auto"/>
        </w:rPr>
        <w:t>You understand and agree that, pursuant to local exchange control requirements, you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repatriate the cash proceeds from the sale of the Shares issued upon settlement of the Units to Morocco. You further understand that such repatriation of your cash proceeds may be effectuated through a bank account established by the Company or any Affiliate, including the Employer,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A-14</w:t>
      </w:r>
    </w:p>
    <w:p>
      <w:pPr>
        <w:sectPr>
          <w:pgSz w:w="11900" w:h="16838" w:orient="portrait"/>
          <w:cols w:equalWidth="0" w:num="1">
            <w:col w:w="11420"/>
          </w:cols>
          <w:pgMar w:left="240" w:top="585" w:right="239" w:bottom="1440" w:gutter="0" w:footer="0" w:header="0"/>
        </w:sectPr>
      </w:pPr>
    </w:p>
    <w:bookmarkStart w:id="72" w:name="page73"/>
    <w:bookmarkEnd w:id="72"/>
    <w:p>
      <w:pPr>
        <w:jc w:val="both"/>
        <w:spacing w:after="0" w:line="245" w:lineRule="auto"/>
        <w:rPr>
          <w:sz w:val="20"/>
          <w:szCs w:val="20"/>
          <w:color w:val="auto"/>
        </w:rPr>
      </w:pPr>
      <w:r>
        <w:rPr>
          <w:rFonts w:ascii="Times New Roman" w:cs="Times New Roman" w:eastAsia="Times New Roman" w:hAnsi="Times New Roman"/>
          <w:sz w:val="22"/>
          <w:szCs w:val="22"/>
          <w:color w:val="auto"/>
        </w:rPr>
        <w:t>and you hereby consent and agree that any proceeds from the sale of the Shares may be transferred to such bank account prior to being delivered to you. If repatriation of your cash proceeds is not effectuated through a bank account established by the Company or any Affiliate, including the Employer, you hereby agree to maintain your own records proving repatriation and to provide copies of these records upon request by the Company or any Affiliate, including the Employer, or the Moroccan Exchange Control Office (Office des Changes). Further, you acknowledge and understand that the net proceeds that you realize from your participation in the Plan must be converted from U.S. dollars to Dirham, and that neither the Company nor any Affiliate, including the Employer, have any obligation to, but may nonetheless, convert the net proceeds on your behalf using any exchange rate chosen by the Company; if funds are so converted, they will be converted as soon as practicable after sale, which may not be immediately after the sale date. Further, if such currency conversion occurs, you will bear the risk of any fluctuation in the U.S. dollar/Dirham exchange rate between the date you realize U.S. dollar proceeds from your participation in the Plan and the date that you receive cash proceeds converted to Dirham. You further agree to comply with any other requirements that may be imposed by the Company in the future in order to facilitate compliance with exchange control requirements in Morocco.</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NETHERLANDS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NEW ZEALAND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NORWAY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PERU</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The grant of Units is considered a private offering in Peru; therefore, it is not subject to registration.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Polish residents holding foreign securities (including Shares) and maintaining accounts abroad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must report information to the National Bank of Poland. Specifically, if the aggregate value of shares and cash held in such foreign accounts exceeds PLN 7 million, Polish residents must file reports on the transactions and balances of the accounts on a quarterly basis. If required, the reports are due on a quarterly basis by the 20th day following the end of each quarter and must be filed on special forms available on the website of the National Bank of Poland. In addition, Polish residents are required to transfer funds through a bank account in Poland if the transferred amount in any single transaction exceeds a specified threshold (currently €15,000). You must store all documents connected with any foreign exchange transactions you engage in for a period of five years.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PORTUGAL</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A-15</w:t>
      </w:r>
    </w:p>
    <w:p>
      <w:pPr>
        <w:sectPr>
          <w:pgSz w:w="11900" w:h="16838" w:orient="portrait"/>
          <w:cols w:equalWidth="0" w:num="1">
            <w:col w:w="11420"/>
          </w:cols>
          <w:pgMar w:left="240" w:top="369"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Consent to Receive Information in English. </w:t>
      </w:r>
      <w:r>
        <w:rPr>
          <w:rFonts w:ascii="Times New Roman" w:cs="Times New Roman" w:eastAsia="Times New Roman" w:hAnsi="Times New Roman"/>
          <w:sz w:val="21"/>
          <w:szCs w:val="21"/>
          <w:color w:val="auto"/>
        </w:rPr>
        <w:t>You hereby expressly declare that you have full knowledge of the English language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have read, understood and fully accepted and agreed with the terms and conditions established in the Plan and Agreement.</w:t>
      </w:r>
    </w:p>
    <w:p>
      <w:pPr>
        <w:spacing w:after="0" w:line="34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Conhecimento da Lingua. </w:t>
      </w:r>
      <w:r>
        <w:rPr>
          <w:rFonts w:ascii="Times New Roman" w:cs="Times New Roman" w:eastAsia="Times New Roman" w:hAnsi="Times New Roman"/>
          <w:sz w:val="22"/>
          <w:szCs w:val="22"/>
          <w:i w:val="1"/>
          <w:iCs w:val="1"/>
          <w:color w:val="auto"/>
        </w:rPr>
        <w:t>Por meio do presente, eu declaro expressamente que tem pleno conhecimento da língua inglesa e que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li, compreendi e livremente aceitei e concordei com os termos e condições estabelecidas no Plano e no Acordo.</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do not hold the Shares acquired under the Plan with a Portuguese financial intermediary,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will need to file a report with the Portuguese Central Bank. If the Shares are held by a Portuguese financial intermediary, it will file the report for you.</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PUERTO RICO</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ROMANIA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deposit proceeds from the sale of Shares or the receipt of dividends or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RUSSIA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Exchange Control Requirements. </w:t>
      </w:r>
      <w:r>
        <w:rPr>
          <w:rFonts w:ascii="Times New Roman" w:cs="Times New Roman" w:eastAsia="Times New Roman" w:hAnsi="Times New Roman"/>
          <w:sz w:val="22"/>
          <w:szCs w:val="22"/>
          <w:color w:val="auto"/>
        </w:rPr>
        <w:t>You understand and agree that, pursuant to Russian exchange control requirements, you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repatriate to Russia the cash proceeds from the sale of the Shares issued to you upon settlement of the Units and from the receipt of any dividends paid on such Shares or Dividend Equivalents. You further understand that, under applicable laws, such proceeds must be initially credited to you through a foreign currency account opened in your name at an authorized bank in Russia. You further agree to comply with any other requirements that may be imposed by the Company in the future in order to facilitate compliance with exchange control requirements in Russia. Without limiting the generality of the foregoing, you acknowledge that the Company reserves the right, in its sole discretion depending on developments in Russian exchange control laws and regulations, to force the immediate sale of any Shares to be issued upon vesting of the Units. You further agree that, if applicable, the Company is authorized to instruct Merrill Lynch Bank &amp; Trust Co., FSB (or such other broker as may be designated by the Company) to assist with the mandatory sale of such Shares (on your behalf pursuant to this authorization) and you expressly authorize Merrill Lynch Bank &amp; Trust Co., FSB (or such other broker as may be designated by the Company) to complete the sale of such Shares. You further acknowledge that Merrill Lynch Bank &amp; Trust Co., FSB (or such other broker as may be designated by the Company) is under no obligation to arrange for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A-16</w:t>
      </w:r>
    </w:p>
    <w:p>
      <w:pPr>
        <w:sectPr>
          <w:pgSz w:w="11900" w:h="16838" w:orient="portrait"/>
          <w:cols w:equalWidth="0" w:num="1">
            <w:col w:w="11420"/>
          </w:cols>
          <w:pgMar w:left="240" w:top="579" w:right="239" w:bottom="1440" w:gutter="0" w:footer="0" w:header="0"/>
        </w:sectPr>
      </w:pPr>
    </w:p>
    <w:bookmarkStart w:id="74" w:name="page75"/>
    <w:bookmarkEnd w:id="74"/>
    <w:p>
      <w:pPr>
        <w:jc w:val="both"/>
        <w:spacing w:after="0" w:line="271" w:lineRule="auto"/>
        <w:rPr>
          <w:sz w:val="20"/>
          <w:szCs w:val="20"/>
          <w:color w:val="auto"/>
        </w:rPr>
      </w:pPr>
      <w:r>
        <w:rPr>
          <w:rFonts w:ascii="Times New Roman" w:cs="Times New Roman" w:eastAsia="Times New Roman" w:hAnsi="Times New Roman"/>
          <w:sz w:val="22"/>
          <w:szCs w:val="22"/>
          <w:color w:val="auto"/>
        </w:rPr>
        <w:t>the sale of the Shares at any particular trading price. Upon the sale of Shares, you will receive the cash proceeds from the sale of Shares, less any brokerage fees or commissions and subject to your obligations in connection with the Tax Obligations.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Securities Law Requirements. </w:t>
      </w:r>
      <w:r>
        <w:rPr>
          <w:rFonts w:ascii="Times New Roman" w:cs="Times New Roman" w:eastAsia="Times New Roman" w:hAnsi="Times New Roman"/>
          <w:sz w:val="22"/>
          <w:szCs w:val="22"/>
          <w:color w:val="auto"/>
        </w:rPr>
        <w:t>Any Units granted hereunder, the Agreement, including this Appendix, the Plan and all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materials you may receive regarding your participation in the Plan or any Units granted hereunder do not constitute advertising or an offering of securities in Russia. The issuance of Shares under the Plan has not and will not be registered in Russia; therefore, Shares may not be offered or placed in public circulation in Russia.</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no event will Shares acquired under the Plan be delivered to you in Russia; all Shares will be maintained on your behalf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are not permitted to sell any Shares acquired under the Plan directly to a Russian legal entity or resident.</w:t>
      </w:r>
    </w:p>
    <w:p>
      <w:pPr>
        <w:spacing w:after="0" w:line="21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Labor Law Information. </w:t>
      </w:r>
      <w:r>
        <w:rPr>
          <w:rFonts w:ascii="Times New Roman" w:cs="Times New Roman" w:eastAsia="Times New Roman" w:hAnsi="Times New Roman"/>
          <w:sz w:val="22"/>
          <w:szCs w:val="22"/>
          <w:color w:val="auto"/>
        </w:rPr>
        <w:t>You acknowledge that if you continue to hold Shares acquired under the Plan after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your employment, you will not be eligible to receive unemployment benefits in Russia.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Notice. </w:t>
      </w:r>
      <w:r>
        <w:rPr>
          <w:rFonts w:ascii="Times New Roman" w:cs="Times New Roman" w:eastAsia="Times New Roman" w:hAnsi="Times New Roman"/>
          <w:sz w:val="22"/>
          <w:szCs w:val="22"/>
          <w:color w:val="auto"/>
        </w:rPr>
        <w:t>The following provision supplements Section XIV of the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You understand and agree that you must complete and return a Consent to Processing of Personal Data (the “</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form to the Company. Further, you understand and agree that if you do not complete and return a Consent form to the Company, the Company will not be able to administer or maintain the Units. Therefore, you understand that refusing to complete a Consent form or withdrawing your consent may affect your ability to participate in the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After funds from the sale of Shares are initially received in Russia pursuant to your repatriation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 they may be further remitted to a foreign bank subject to the following limitations: (i) the foreign account may be opened only for individuals; (ii) the foreign account may not be used for business activities; (iii) the Russian tax authorities must be given notice about the opening/closing of each foreign account within one month of the account opening/closing; (iv) the Russian tax authorities must be given notice of the account balances of such foreign accounts as of the beginning of each calendar year; and</w:t>
      </w:r>
    </w:p>
    <w:p>
      <w:pPr>
        <w:spacing w:after="0" w:line="3" w:lineRule="exact"/>
        <w:rPr>
          <w:sz w:val="20"/>
          <w:szCs w:val="20"/>
          <w:color w:val="auto"/>
        </w:rPr>
      </w:pPr>
    </w:p>
    <w:p>
      <w:pPr>
        <w:jc w:val="both"/>
        <w:ind w:firstLine="8"/>
        <w:spacing w:after="0" w:line="244" w:lineRule="auto"/>
        <w:tabs>
          <w:tab w:leader="none" w:pos="34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beginning January 1, 2015 (or such later date as may be established by the Russian tax authorities), quarterly cash flow statements must be filed for each foreign account held by you. According to recent amendments to the law, dividends received on Shares acquired under the Plan can be remitted directly to your bank account opened with a foreign bank located in Organisation for Economic Co-operation and Development (“</w:t>
      </w:r>
      <w:r>
        <w:rPr>
          <w:rFonts w:ascii="Times New Roman" w:cs="Times New Roman" w:eastAsia="Times New Roman" w:hAnsi="Times New Roman"/>
          <w:sz w:val="22"/>
          <w:szCs w:val="22"/>
          <w:u w:val="single" w:color="auto"/>
          <w:color w:val="auto"/>
        </w:rPr>
        <w:t>OECD</w:t>
      </w:r>
      <w:r>
        <w:rPr>
          <w:rFonts w:ascii="Times New Roman" w:cs="Times New Roman" w:eastAsia="Times New Roman" w:hAnsi="Times New Roman"/>
          <w:sz w:val="22"/>
          <w:szCs w:val="22"/>
          <w:color w:val="auto"/>
        </w:rPr>
        <w:t>”) or Financial Action Task Force (“</w:t>
      </w:r>
      <w:r>
        <w:rPr>
          <w:rFonts w:ascii="Times New Roman" w:cs="Times New Roman" w:eastAsia="Times New Roman" w:hAnsi="Times New Roman"/>
          <w:sz w:val="22"/>
          <w:szCs w:val="22"/>
          <w:u w:val="single" w:color="auto"/>
          <w:color w:val="auto"/>
        </w:rPr>
        <w:t>FATF</w:t>
      </w:r>
      <w:r>
        <w:rPr>
          <w:rFonts w:ascii="Times New Roman" w:cs="Times New Roman" w:eastAsia="Times New Roman" w:hAnsi="Times New Roman"/>
          <w:sz w:val="22"/>
          <w:szCs w:val="22"/>
          <w:color w:val="auto"/>
        </w:rPr>
        <w:t>”) countries, without first remitting them to your bank account in Russia. You are encouraged to contact your personal advisor before remitting your proceeds from participation in the Plan to Russia as exchange control requirements may change.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Anti-Corruption Legislation Information. </w:t>
      </w:r>
      <w:r>
        <w:rPr>
          <w:rFonts w:ascii="Times New Roman" w:cs="Times New Roman" w:eastAsia="Times New Roman" w:hAnsi="Times New Roman"/>
          <w:sz w:val="22"/>
          <w:szCs w:val="22"/>
          <w:color w:val="auto"/>
        </w:rPr>
        <w:t>Individuals holding public office in Russia, as well as their spouses and dependent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children, may be prohibited from opening or maintaining a foreign brokerage or bank account and holding any securities, whether acquired directly or indirectly, in a foreign company (including Shares acquired under the Plan). You should consult with your personal legal advisor to determine whether this restriction applies to your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SAUDI ARABIA</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A-17</w:t>
      </w:r>
    </w:p>
    <w:p>
      <w:pPr>
        <w:sectPr>
          <w:pgSz w:w="11900" w:h="16838" w:orient="portrait"/>
          <w:cols w:equalWidth="0" w:num="1">
            <w:col w:w="11420"/>
          </w:cols>
          <w:pgMar w:left="240" w:top="369"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This document may not be distributed in the Kingdom of Saudi Arabia except to such persons as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under the Offers of Securities Regulations issued by the Capital Market Authority.</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Capital Market Authority does not make any representation as to the accuracy or completeness of this document, and expressly disclaims any liability whatsoever for any loss arising from, or incurred in reliance upon, any part of this document. You are hereby advised to conduct your own due diligence on the accuracy of the information relating to the Shares. If you do not understand the contents of this document, you should consult an authorized financial adviser.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SINGAPORE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grant of the Units is being made pursuant to the “Qualifying Person” exemption under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273(1)(f) of the Securities and Futures Act (Chapter 289, 2006 Ed.) (“</w:t>
      </w:r>
      <w:r>
        <w:rPr>
          <w:rFonts w:ascii="Times New Roman" w:cs="Times New Roman" w:eastAsia="Times New Roman" w:hAnsi="Times New Roman"/>
          <w:sz w:val="22"/>
          <w:szCs w:val="22"/>
          <w:u w:val="single" w:color="auto"/>
          <w:color w:val="auto"/>
        </w:rPr>
        <w:t>SFA</w:t>
      </w:r>
      <w:r>
        <w:rPr>
          <w:rFonts w:ascii="Times New Roman" w:cs="Times New Roman" w:eastAsia="Times New Roman" w:hAnsi="Times New Roman"/>
          <w:sz w:val="22"/>
          <w:szCs w:val="22"/>
          <w:color w:val="auto"/>
        </w:rPr>
        <w:t>”) and is not made with a view to the Units being subsequently offered for sale to any other party. The Plan has not been lodged or registered as a prospectus with the Monetary Authority of Singapore. You should note that the Units are subject to section 257 of the SFA and you will not be able to make (i) any subsequent sale of Shares in Singapore or (ii) any offer of such subsequent sale of Shares subject to the Units in Singapore, unless such sale or offer is made pursuant to the exemptions under Part XIII Division (1) Subdivision (4) (other than section 280) of the SFA.</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Director Notification Requirement. </w:t>
      </w:r>
      <w:r>
        <w:rPr>
          <w:rFonts w:ascii="Times New Roman" w:cs="Times New Roman" w:eastAsia="Times New Roman" w:hAnsi="Times New Roman"/>
          <w:sz w:val="21"/>
          <w:szCs w:val="21"/>
          <w:color w:val="auto"/>
        </w:rPr>
        <w:t>Directors, associate directors and shadow directors of a Singapore Affiliate are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certain notification requirements under the Singapore Companies Act. Directors, associate directors and shadow directors must notify the Singapore Affiliate in writing of an interest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Units, Shares, etc.) in the Company or any related company within two</w:t>
      </w:r>
    </w:p>
    <w:p>
      <w:pPr>
        <w:spacing w:after="0" w:line="1" w:lineRule="exact"/>
        <w:rPr>
          <w:sz w:val="20"/>
          <w:szCs w:val="20"/>
          <w:color w:val="auto"/>
        </w:rPr>
      </w:pPr>
    </w:p>
    <w:p>
      <w:pPr>
        <w:ind w:right="20" w:firstLine="8"/>
        <w:spacing w:after="0" w:line="248" w:lineRule="auto"/>
        <w:tabs>
          <w:tab w:leader="none" w:pos="30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of (i) its acquisition or disposal, (ii) any change in a previously disclosed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when the Shares are sold), or (iii) becoming a director, associate director or shadow director.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SLOVAK REPUBLIC</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If you permanently reside in the Slovak Republic and, apart from being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employed, carry on business activities as an independent entrepreneur (in Slovakian, podnikatel), you will be obligated to report your foreign assets (including any foreign securities such as the Shares) to the National Bank of Slovakia (provided that the value of the foreign assets exceeds an amount of €2,000,000). These reports must be submitted on a monthly basis by the 15th day of the respective calendar month, as well as on a quarterly basis by the 15th day of the calendar month following the respective calendar quarter, using notification form DEV (NBS) 1-12, which may be found at the National Bank of Slovakia’s website at </w:t>
      </w:r>
      <w:r>
        <w:rPr>
          <w:rFonts w:ascii="Times New Roman" w:cs="Times New Roman" w:eastAsia="Times New Roman" w:hAnsi="Times New Roman"/>
          <w:sz w:val="21"/>
          <w:szCs w:val="21"/>
          <w:u w:val="single" w:color="auto"/>
          <w:color w:val="auto"/>
        </w:rPr>
        <w:t>www.nbs.sk</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SLOVENIA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SOUTH AFRICA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A-18</w:t>
      </w:r>
    </w:p>
    <w:p>
      <w:pPr>
        <w:sectPr>
          <w:pgSz w:w="11900" w:h="16838" w:orient="portrait"/>
          <w:cols w:equalWidth="0" w:num="1">
            <w:col w:w="11420"/>
          </w:cols>
          <w:pgMar w:left="240" w:top="579"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b w:val="1"/>
          <w:bCs w:val="1"/>
          <w:color w:val="auto"/>
        </w:rPr>
        <w:t xml:space="preserve">Responsibility for Taxes. </w:t>
      </w:r>
      <w:r>
        <w:rPr>
          <w:rFonts w:ascii="Times New Roman" w:cs="Times New Roman" w:eastAsia="Times New Roman" w:hAnsi="Times New Roman"/>
          <w:sz w:val="22"/>
          <w:szCs w:val="22"/>
          <w:color w:val="auto"/>
        </w:rPr>
        <w:t>The following provision supplements Section III of the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By accepting the Units, you agree that, immediately upon vesting and settlement of the Units, you will notify your Employer of the amount of any gain realized. If you fail to advise your Employer of the gain realized upon vesting and settlement, you may be liable for a fine. You will be solely responsible for paying any difference between your actual tax liability and the amount withheld by your Employer.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Because no transfer of funds from South Africa is required under the Units, no filing or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should apply when the Units are granted or when Shares are issued upon vesting and settlement of the Units. However, because the exchange control regulations are subject to change, you should consult your personal advisor prior to vesting and settlement of the Units to ensure compliance with current regulations. You are responsible for ensuring compliance with all exchange control laws in South Africa.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SPAIN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Labor Law Acknowledgement. </w:t>
      </w:r>
      <w:r>
        <w:rPr>
          <w:rFonts w:ascii="Times New Roman" w:cs="Times New Roman" w:eastAsia="Times New Roman" w:hAnsi="Times New Roman"/>
          <w:sz w:val="22"/>
          <w:szCs w:val="22"/>
          <w:color w:val="auto"/>
        </w:rPr>
        <w:t>The following provision supplements Section XI of the Agreement:</w:t>
      </w:r>
    </w:p>
    <w:p>
      <w:pPr>
        <w:spacing w:after="0" w:line="26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By accepting the Units granted hereunder, you consent to participation in the Plan and acknowledge that you have received a copy of the Plan.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You understand that the Company has unilaterally, gratuitously and in its sole discretion decided to grant any Units under the Plan to individuals who may be members of the Board or Employees of the Company or its Affiliates throughout the world. The decision is a limited decision, which is entered into upon the express assumption and condition that any Units granted will not economically or otherwise bind the Company or any of its Affiliates on an ongoing basis, other than as expressly set forth in the Agreement, including this Appendix. Consequently, you understand that the Units granted hereunder are given on the assumption and condition that they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Units since the future value of the Units and the underlying Shares is unknown and unpredictable. In addition, you understand that any Units granted hereunder would not be made but for the assumptions and conditions referred to above; thus, you understand, acknowledge and freely accept that, should any or all of the assumptions be mistaken or should any of the conditions not be met for any reason, then any grant of Units or right to Units shall be null and void.</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Further, the vesting of the Units is expressly conditioned on your continued and active rendering of service, such that if your employment terminates for any reason whatsoever, the Units may cease vesting immediately, in whole or in part, effective on the date of your termination of employment (unless otherwise specifically provided in Section I of the Agreement). This will be the case, for example, even if (1) you are considered to be unfairly dismissed without good cause;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A-19</w:t>
      </w:r>
    </w:p>
    <w:p>
      <w:pPr>
        <w:sectPr>
          <w:pgSz w:w="11900" w:h="16838" w:orient="portrait"/>
          <w:cols w:equalWidth="0" w:num="1">
            <w:col w:w="11420"/>
          </w:cols>
          <w:pgMar w:left="240" w:top="581" w:right="239" w:bottom="1440" w:gutter="0" w:footer="0" w:header="0"/>
        </w:sectPr>
      </w:pPr>
    </w:p>
    <w:bookmarkStart w:id="77" w:name="page78"/>
    <w:bookmarkEnd w:id="77"/>
    <w:p>
      <w:pPr>
        <w:jc w:val="both"/>
        <w:spacing w:after="0" w:line="271" w:lineRule="auto"/>
        <w:rPr>
          <w:sz w:val="20"/>
          <w:szCs w:val="20"/>
          <w:color w:val="auto"/>
        </w:rPr>
      </w:pPr>
      <w:r>
        <w:rPr>
          <w:rFonts w:ascii="Times New Roman" w:cs="Times New Roman" w:eastAsia="Times New Roman" w:hAnsi="Times New Roman"/>
          <w:sz w:val="22"/>
          <w:szCs w:val="22"/>
          <w:color w:val="auto"/>
        </w:rPr>
        <w:t>upon termination of your employment for any of the above reasons, you may automatically lose any rights to Units that were not vested on the date of your termination of employment, as described in the Plan and the Agreement.</w:t>
      </w:r>
    </w:p>
    <w:p>
      <w:pPr>
        <w:spacing w:after="0" w:line="158" w:lineRule="exact"/>
        <w:rPr>
          <w:sz w:val="20"/>
          <w:szCs w:val="20"/>
          <w:color w:val="auto"/>
        </w:rPr>
      </w:pPr>
    </w:p>
    <w:p>
      <w:pPr>
        <w:ind w:right="1300"/>
        <w:spacing w:after="0" w:line="446" w:lineRule="auto"/>
        <w:rPr>
          <w:sz w:val="20"/>
          <w:szCs w:val="20"/>
          <w:color w:val="auto"/>
        </w:rPr>
      </w:pPr>
      <w:r>
        <w:rPr>
          <w:rFonts w:ascii="Times New Roman" w:cs="Times New Roman" w:eastAsia="Times New Roman" w:hAnsi="Times New Roman"/>
          <w:sz w:val="22"/>
          <w:szCs w:val="22"/>
          <w:color w:val="auto"/>
        </w:rPr>
        <w:t xml:space="preserve">You acknowledge that you have read and specifically accept the conditions referred to in Section I of the Agreement. </w:t>
      </w:r>
      <w:r>
        <w:rPr>
          <w:rFonts w:ascii="Times New Roman" w:cs="Times New Roman" w:eastAsia="Times New Roman" w:hAnsi="Times New Roman"/>
          <w:sz w:val="22"/>
          <w:szCs w:val="22"/>
          <w:b w:val="1"/>
          <w:bCs w:val="1"/>
          <w:i w:val="1"/>
          <w:iCs w:val="1"/>
          <w:color w:val="auto"/>
        </w:rPr>
        <w:t>NOTIFICATIONS</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No “offer of securities to the public,” as defined under Spanish law, has taken place or will take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place in the Spanish territory. The Agreement (including this Appendix) has not been nor will it be registered with the </w:t>
      </w:r>
      <w:r>
        <w:rPr>
          <w:rFonts w:ascii="Times New Roman" w:cs="Times New Roman" w:eastAsia="Times New Roman" w:hAnsi="Times New Roman"/>
          <w:sz w:val="22"/>
          <w:szCs w:val="22"/>
          <w:i w:val="1"/>
          <w:iCs w:val="1"/>
          <w:color w:val="auto"/>
        </w:rPr>
        <w:t>Comisión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Nacional del Mercado de Valores</w:t>
      </w:r>
      <w:r>
        <w:rPr>
          <w:rFonts w:ascii="Times New Roman" w:cs="Times New Roman" w:eastAsia="Times New Roman" w:hAnsi="Times New Roman"/>
          <w:sz w:val="22"/>
          <w:szCs w:val="22"/>
          <w:color w:val="auto"/>
        </w:rPr>
        <w:t>, and does not constitute a public offering prospectus.</w:t>
      </w:r>
    </w:p>
    <w:p>
      <w:pPr>
        <w:spacing w:after="0" w:line="1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acquire Shares under the Plan, you must declare the acquisition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Direccion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de Comercio e Inversiones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DGCI</w:t>
      </w:r>
      <w:r>
        <w:rPr>
          <w:rFonts w:ascii="Times New Roman" w:cs="Times New Roman" w:eastAsia="Times New Roman" w:hAnsi="Times New Roman"/>
          <w:sz w:val="22"/>
          <w:szCs w:val="22"/>
          <w:color w:val="auto"/>
        </w:rPr>
        <w:t>”). If you acquire the Shares through the use of a Spanish financial institution,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institution 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month of the sale.</w:t>
      </w:r>
    </w:p>
    <w:p>
      <w:pPr>
        <w:spacing w:after="0" w:line="18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You are required to declare electronically to the Bank of Spain any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Further, effective January 1, 2013, to the extent that you hold Shares and/or have bank accounts outside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If the value of such Shares and/or accounts as of December 31 does not exceed €50,000, a summarized form of declaration may be presented.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SWEDEN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Notification. </w:t>
      </w:r>
      <w:r>
        <w:rPr>
          <w:rFonts w:ascii="Times New Roman" w:cs="Times New Roman" w:eastAsia="Times New Roman" w:hAnsi="Times New Roman"/>
          <w:sz w:val="22"/>
          <w:szCs w:val="22"/>
          <w:color w:val="auto"/>
        </w:rPr>
        <w:t>The Units offered hereunder are considered a private offering in Switzerland and are, therefore,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registration in Switzerland.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A-20</w:t>
      </w:r>
    </w:p>
    <w:p>
      <w:pPr>
        <w:sectPr>
          <w:pgSz w:w="11900" w:h="16838" w:orient="portrait"/>
          <w:cols w:equalWidth="0" w:num="1">
            <w:col w:w="11420"/>
          </w:cols>
          <w:pgMar w:left="240" w:top="369"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b w:val="1"/>
          <w:bCs w:val="1"/>
          <w:u w:val="single" w:color="auto"/>
          <w:color w:val="auto"/>
        </w:rPr>
        <w:t>TAIWAN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may acquire and remit foreign currency (including proceeds from the sale of Shares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THAILAND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proceeds from the sale of Shares or the receipt of any dividends or Dividend Equivalents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exceed US$50,000, you must (i) immediately repatriate such funds to Thailand and (ii) report the inward remittance to the Bank of Thailand on a Foreign Exchange Transaction Form. In addition, within 360 days of repatriation, you must either convert any funds repatriated to Thailand to Thai Baht or deposit the funds in a foreign exchange account with a Thai bank.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TUNISIA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hold assets (including Shares acquired under the Plan) outside Tunisia and the value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assets exceeds a certain threshold (currently TDN 500), you must declare the assets to the Central Bank of Tunisia within six</w:t>
      </w:r>
    </w:p>
    <w:p>
      <w:pPr>
        <w:spacing w:after="0" w:line="2" w:lineRule="exact"/>
        <w:rPr>
          <w:sz w:val="20"/>
          <w:szCs w:val="20"/>
          <w:color w:val="auto"/>
        </w:rPr>
      </w:pPr>
    </w:p>
    <w:p>
      <w:pPr>
        <w:jc w:val="both"/>
        <w:ind w:right="20" w:firstLine="8"/>
        <w:spacing w:after="0" w:line="246" w:lineRule="auto"/>
        <w:tabs>
          <w:tab w:leader="none" w:pos="32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of their acquisition. In addition, if you sell the Shares acquired under the Plan or receive cash dividends or Dividend Equivalents paid in cash, you are required to repatriate the proceeds to Tunisia. You are solely responsible for complying with all exchange control laws in Tunisia and are advised to consult with your personal legal advisor in this regard.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TURKEY</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Under Turkish law, you are not permitted to sell Shares acquired under the Plan in Turkey. You must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 the Shares acquired under the Plan outside of Turkey. The Shares are currently traded on the NASDAQ in the U.S. under the ticker symbol “AMGN” and Shares may be sold on this exchange, which is located outside of Turkey.</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Pursuant to Decree No. 32 on the Protection of the Value of the Turkish Currency (“</w:t>
      </w:r>
      <w:r>
        <w:rPr>
          <w:rFonts w:ascii="Times New Roman" w:cs="Times New Roman" w:eastAsia="Times New Roman" w:hAnsi="Times New Roman"/>
          <w:sz w:val="22"/>
          <w:szCs w:val="22"/>
          <w:u w:val="single" w:color="auto"/>
          <w:color w:val="auto"/>
        </w:rPr>
        <w:t>Decree 32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Communique No. 2008-32/34 on Decree No. 32, any activity related to investments in foreign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sale of Shares under the Plan, the receipt of cash dividends or Dividend Equivalents paid in cash) must be conducted through a bank or financial intermediary institution licensed by the Turkish Capital Markets Board and should be reported to the Turkish Capital Markets Board. You are advised to contact a personal legal advisor for further information regarding these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ARAB EMIRATES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A-21</w:t>
      </w:r>
    </w:p>
    <w:p>
      <w:pPr>
        <w:sectPr>
          <w:pgSz w:w="11900" w:h="16838" w:orient="portrait"/>
          <w:cols w:equalWidth="0" w:num="1">
            <w:col w:w="11420"/>
          </w:cols>
          <w:pgMar w:left="240" w:top="365" w:right="239" w:bottom="1440" w:gutter="0" w:footer="0" w:header="0"/>
        </w:sectPr>
      </w:pPr>
    </w:p>
    <w:bookmarkStart w:id="79" w:name="page80"/>
    <w:bookmarkEnd w:id="79"/>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Securities Law Notice. </w:t>
      </w:r>
      <w:r>
        <w:rPr>
          <w:rFonts w:ascii="Times New Roman" w:cs="Times New Roman" w:eastAsia="Times New Roman" w:hAnsi="Times New Roman"/>
          <w:sz w:val="22"/>
          <w:szCs w:val="22"/>
          <w:color w:val="auto"/>
        </w:rPr>
        <w:t>Units under the Plan are granted only to select Board members and Employees of the Company and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and are for the purpose of providing equity incentives. The Plan and the Agreement are intended for distribution only to such Board members and Employees and must not be delivered to, or relied on by, any other person. You should conduct your own due diligence on the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Tax Withholding. </w:t>
      </w:r>
      <w:r>
        <w:rPr>
          <w:rFonts w:ascii="Times New Roman" w:cs="Times New Roman" w:eastAsia="Times New Roman" w:hAnsi="Times New Roman"/>
          <w:sz w:val="22"/>
          <w:szCs w:val="22"/>
          <w:color w:val="auto"/>
        </w:rPr>
        <w:t>This provision supplements Section III of the Agreement:</w:t>
      </w:r>
    </w:p>
    <w:p>
      <w:pPr>
        <w:spacing w:after="0" w:line="2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You agree that if you do not pay or your Employer or the Company does not withhold from you the full amount of income tax that you owe at issuance of Shares in respect of the Units, or the release or assignment of the Units for consideration, or the receipt of any other benefit in connection with the Units (the “</w:t>
      </w:r>
      <w:r>
        <w:rPr>
          <w:rFonts w:ascii="Times New Roman" w:cs="Times New Roman" w:eastAsia="Times New Roman" w:hAnsi="Times New Roman"/>
          <w:sz w:val="22"/>
          <w:szCs w:val="22"/>
          <w:u w:val="single" w:color="auto"/>
          <w:color w:val="auto"/>
        </w:rPr>
        <w:t>Taxable Event</w:t>
      </w:r>
      <w:r>
        <w:rPr>
          <w:rFonts w:ascii="Times New Roman" w:cs="Times New Roman" w:eastAsia="Times New Roman" w:hAnsi="Times New Roman"/>
          <w:sz w:val="22"/>
          <w:szCs w:val="22"/>
          <w:color w:val="auto"/>
        </w:rPr>
        <w:t>”) within 90 days after the end of the tax year in which the Taxable Event occurs, or such other period specified in Section 222(1)(c) of the U.K. Income Tax (Earnings and Pensions) Act 2003 (the “</w:t>
      </w:r>
      <w:r>
        <w:rPr>
          <w:rFonts w:ascii="Times New Roman" w:cs="Times New Roman" w:eastAsia="Times New Roman" w:hAnsi="Times New Roman"/>
          <w:sz w:val="22"/>
          <w:szCs w:val="22"/>
          <w:u w:val="single" w:color="auto"/>
          <w:color w:val="auto"/>
        </w:rPr>
        <w:t>Due Date</w:t>
      </w:r>
      <w:r>
        <w:rPr>
          <w:rFonts w:ascii="Times New Roman" w:cs="Times New Roman" w:eastAsia="Times New Roman" w:hAnsi="Times New Roman"/>
          <w:sz w:val="22"/>
          <w:szCs w:val="22"/>
          <w:color w:val="auto"/>
        </w:rPr>
        <w:t>”), then the amount that should have been withheld and/or paid shall constitute a loan owed by you to your Employer, effective on the Due Date. You agree that the loan will bear interest at the official rate of HM Revenue and Customs (“</w:t>
      </w:r>
      <w:r>
        <w:rPr>
          <w:rFonts w:ascii="Times New Roman" w:cs="Times New Roman" w:eastAsia="Times New Roman" w:hAnsi="Times New Roman"/>
          <w:sz w:val="22"/>
          <w:szCs w:val="22"/>
          <w:u w:val="single" w:color="auto"/>
          <w:color w:val="auto"/>
        </w:rPr>
        <w:t>HMRC</w:t>
      </w:r>
      <w:r>
        <w:rPr>
          <w:rFonts w:ascii="Times New Roman" w:cs="Times New Roman" w:eastAsia="Times New Roman" w:hAnsi="Times New Roman"/>
          <w:sz w:val="22"/>
          <w:szCs w:val="22"/>
          <w:color w:val="auto"/>
        </w:rPr>
        <w:t>”) and will be immediately due and repayable by you, and the Company and/or your Employer may recover it at any time thereafter (subject to Section III of the Agreement) by any of the means described in Section III of the Agreement. You also authorize the Company to delay the issuance of any Shares to you unless and until the loan is repaid in full.</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Notwithstanding the foregoing, if you are an executive officer or director within the meaning of Section 13(k) of the Exchange Act, as amended from time to time, the terms of the immediately foregoing provision will not apply. In the event that you are an officer or executive director and income tax is not collected from you by the Due Date, the amount of any uncollected income tax may constitute a benefit to you on which additional income tax and national insurance contributions (“</w:t>
      </w:r>
      <w:r>
        <w:rPr>
          <w:rFonts w:ascii="Times New Roman" w:cs="Times New Roman" w:eastAsia="Times New Roman" w:hAnsi="Times New Roman"/>
          <w:sz w:val="21"/>
          <w:szCs w:val="21"/>
          <w:u w:val="single" w:color="auto"/>
          <w:color w:val="auto"/>
        </w:rPr>
        <w:t>NICs</w:t>
      </w:r>
      <w:r>
        <w:rPr>
          <w:rFonts w:ascii="Times New Roman" w:cs="Times New Roman" w:eastAsia="Times New Roman" w:hAnsi="Times New Roman"/>
          <w:sz w:val="21"/>
          <w:szCs w:val="21"/>
          <w:color w:val="auto"/>
        </w:rPr>
        <w:t>”) may be payable. You acknowledge that you are responsible for reporting and paying any income tax due on this additional benefit directly to HMRC under the self-assessment regime and for reimbursing your Employer for the value of any NICs due on this additional benefit, which the Company or your Employer may recover from you by any of the means set forth in Section III of the Agreement.</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Joint Election. </w:t>
      </w:r>
      <w:r>
        <w:rPr>
          <w:rFonts w:ascii="Times New Roman" w:cs="Times New Roman" w:eastAsia="Times New Roman" w:hAnsi="Times New Roman"/>
          <w:sz w:val="22"/>
          <w:szCs w:val="22"/>
          <w:color w:val="auto"/>
        </w:rPr>
        <w:t>As a condition of the Units granted hereunder, you agree to accept any liability for secondary Class 1 National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Insurance Contributions (the “</w:t>
      </w:r>
      <w:r>
        <w:rPr>
          <w:rFonts w:ascii="Times New Roman" w:cs="Times New Roman" w:eastAsia="Times New Roman" w:hAnsi="Times New Roman"/>
          <w:sz w:val="22"/>
          <w:szCs w:val="22"/>
          <w:u w:val="single" w:color="auto"/>
          <w:color w:val="auto"/>
        </w:rPr>
        <w:t>Employer NICs</w:t>
      </w:r>
      <w:r>
        <w:rPr>
          <w:rFonts w:ascii="Times New Roman" w:cs="Times New Roman" w:eastAsia="Times New Roman" w:hAnsi="Times New Roman"/>
          <w:sz w:val="22"/>
          <w:szCs w:val="22"/>
          <w:color w:val="auto"/>
        </w:rPr>
        <w:t>”), which may be payable by the Company or your Employer with respect to the Units and/or payment of the Units and issuance of Shares pursuant to the Units, the assignment or release of the Units for consideration, or the receipt of any other benefit in connection with the Units.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Without limitation to the foregoing, you agree to make an election (the “</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A-22</w:t>
      </w:r>
    </w:p>
    <w:p>
      <w:pPr>
        <w:sectPr>
          <w:pgSz w:w="11900" w:h="16838" w:orient="portrait"/>
          <w:cols w:equalWidth="0" w:num="1">
            <w:col w:w="11420"/>
          </w:cols>
          <w:pgMar w:left="240" w:top="365" w:right="239" w:bottom="1440" w:gutter="0" w:footer="0" w:header="0"/>
        </w:sectPr>
      </w:pPr>
    </w:p>
    <w:bookmarkStart w:id="80" w:name="page81"/>
    <w:bookmarkEnd w:id="80"/>
    <w:p>
      <w:pPr>
        <w:jc w:val="both"/>
        <w:spacing w:after="0" w:line="271" w:lineRule="auto"/>
        <w:rPr>
          <w:sz w:val="20"/>
          <w:szCs w:val="20"/>
          <w:color w:val="auto"/>
        </w:rPr>
      </w:pPr>
      <w:r>
        <w:rPr>
          <w:rFonts w:ascii="Times New Roman" w:cs="Times New Roman" w:eastAsia="Times New Roman" w:hAnsi="Times New Roman"/>
          <w:sz w:val="22"/>
          <w:szCs w:val="22"/>
          <w:color w:val="auto"/>
        </w:rPr>
        <w:t>You hereby authorize the Company and your Employer to withhold such Employer NICs by any of the means set forth in Section III of the Agreement.</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Failure by you to enter into an Election, withdrawal of approval of the Election by HMRC or a joint revocation of the Election by you and the Company or your Employer, as applicable, shall be grounds for the forfeiture and cancellation of the Units, without any liability to the Company or your Employer.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STATES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Termination of Employment. </w:t>
      </w:r>
      <w:r>
        <w:rPr>
          <w:rFonts w:ascii="Times New Roman" w:cs="Times New Roman" w:eastAsia="Times New Roman" w:hAnsi="Times New Roman"/>
          <w:sz w:val="22"/>
          <w:szCs w:val="22"/>
          <w:color w:val="auto"/>
        </w:rPr>
        <w:t>The following provision replaces Section I(i) of the Agreement:</w:t>
      </w:r>
    </w:p>
    <w:p>
      <w:pPr>
        <w:spacing w:after="0" w:line="224" w:lineRule="exact"/>
        <w:rPr>
          <w:sz w:val="20"/>
          <w:szCs w:val="20"/>
          <w:color w:val="auto"/>
        </w:rPr>
      </w:pPr>
    </w:p>
    <w:p>
      <w:pPr>
        <w:jc w:val="both"/>
        <w:ind w:firstLine="8"/>
        <w:spacing w:after="0"/>
        <w:tabs>
          <w:tab w:leader="none" w:pos="39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of your active employment</w:t>
      </w:r>
      <w:r>
        <w:rPr>
          <w:rFonts w:ascii="Times New Roman" w:cs="Times New Roman" w:eastAsia="Times New Roman" w:hAnsi="Times New Roman"/>
          <w:sz w:val="22"/>
          <w:szCs w:val="22"/>
          <w:color w:val="auto"/>
        </w:rPr>
        <w:t xml:space="preserve">” shall mean the last date that you are either an active employee of the Company or an Affiliate or actively engaged as a Director of the Company or an Affiliate; in the event of termination of your employment (whether or not in breach of local labor laws), your right to receive Units and vest under the Plan, if any, will terminate effective as of the date that you are no longer actively employed;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right will be extended by any notice period mandated by law (e.g. the Worker Adjustment and Retraining Notification Act (“</w:t>
      </w:r>
      <w:r>
        <w:rPr>
          <w:rFonts w:ascii="Times New Roman" w:cs="Times New Roman" w:eastAsia="Times New Roman" w:hAnsi="Times New Roman"/>
          <w:sz w:val="22"/>
          <w:szCs w:val="22"/>
          <w:u w:val="single" w:color="auto"/>
          <w:color w:val="auto"/>
        </w:rPr>
        <w:t>WARN Act</w:t>
      </w:r>
      <w:r>
        <w:rPr>
          <w:rFonts w:ascii="Times New Roman" w:cs="Times New Roman" w:eastAsia="Times New Roman" w:hAnsi="Times New Roman"/>
          <w:sz w:val="22"/>
          <w:szCs w:val="22"/>
          <w:color w:val="auto"/>
        </w:rPr>
        <w:t xml:space="preserve">”) notice period or similar periods pursuant to local law) and any paid administrative leave (as applicable), unless the Company shall provide you with written notice otherwise before the commencement of such notice period or leave;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in no event shall payment of the Units be made after the close of your taxable year which includes the applicable Vesting Date or, if later, after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third calendar month following the applicable Vesting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VENEZUELA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Form of Settlement- Units Payable Only in Shares. </w:t>
      </w:r>
      <w:r>
        <w:rPr>
          <w:rFonts w:ascii="Times New Roman" w:cs="Times New Roman" w:eastAsia="Times New Roman" w:hAnsi="Times New Roman"/>
          <w:sz w:val="22"/>
          <w:szCs w:val="22"/>
          <w:color w:val="auto"/>
        </w:rPr>
        <w:t>Notwithstanding any discretion in the Plan or anything to the contrary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Units do not provide any right for you, as a resident of Venezuela, to receive a cash payment and shall be paid in Shares only.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Any Shares acquired under the Plan are intended to be a personal investment and are not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purposes of reselling the Shares and converting the proceeds into foreign currency. You are advised to consult with your personal legal advisor prior to vesting and settlement of the Units to ensure compliance with the applicable exchange control regulations in Venezuela, as such regulations change frequently. You are solely responsible for ensuring compliance with all exchange control laws in Venezuela.</w:t>
      </w:r>
    </w:p>
    <w:p>
      <w:pPr>
        <w:spacing w:after="0" w:line="17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Units granted under the Plan and the Shares issued under the Plan are offered as a personal,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private, exclusive transaction and do not constitute a public offering under local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A-23</w:t>
      </w:r>
    </w:p>
    <w:p>
      <w:pPr>
        <w:sectPr>
          <w:pgSz w:w="11900" w:h="16838" w:orient="portrait"/>
          <w:cols w:equalWidth="0" w:num="1">
            <w:col w:w="11420"/>
          </w:cols>
          <w:pgMar w:left="240" w:top="369" w:right="239" w:bottom="1440" w:gutter="0" w:footer="0" w:header="0"/>
        </w:sectPr>
      </w:pPr>
    </w:p>
    <w:bookmarkStart w:id="81" w:name="page82"/>
    <w:bookmarkEnd w:id="81"/>
    <w:p>
      <w:pPr>
        <w:spacing w:after="0" w:line="213" w:lineRule="auto"/>
        <w:framePr w:w="8900" w:h="449" w:wrap="auto" w:vAnchor="page" w:hAnchor="page" w:x="2800" w:y="5133"/>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Amgen Inc. Amended and Restated 2009 Equity Incentive Plan, as amended and/or restated from time to time</w:t>
      </w:r>
    </w:p>
    <w:p>
      <w:pPr>
        <w:spacing w:after="0" w:line="191" w:lineRule="auto"/>
        <w:framePr w:w="8200" w:h="193" w:wrap="auto" w:vAnchor="page" w:hAnchor="page" w:x="2800" w:y="5647"/>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Inc. 2009 Performance Award Program, as amended and/or restated from time to time</w:t>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rFonts w:ascii="Times New Roman" w:cs="Times New Roman" w:eastAsia="Times New Roman" w:hAnsi="Times New Roman"/>
          <w:sz w:val="21"/>
          <w:szCs w:val="21"/>
          <w:color w:val="auto"/>
        </w:rPr>
      </w:pPr>
    </w:p>
    <w:p>
      <w:pPr>
        <w:spacing w:after="0" w:line="273" w:lineRule="exact"/>
        <w:rPr>
          <w:rFonts w:ascii="Times New Roman" w:cs="Times New Roman" w:eastAsia="Times New Roman" w:hAnsi="Times New Roman"/>
          <w:sz w:val="21"/>
          <w:szCs w:val="21"/>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Award Notice</w:t>
      </w:r>
    </w:p>
    <w:p>
      <w:pPr>
        <w:spacing w:after="0" w:line="218" w:lineRule="exact"/>
        <w:rPr>
          <w:rFonts w:ascii="Times New Roman" w:cs="Times New Roman" w:eastAsia="Times New Roman" w:hAnsi="Times New Roman"/>
          <w:sz w:val="21"/>
          <w:szCs w:val="21"/>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The information set forth in this Award Notice will be contained on the related pages on Merrill Lynch Benefits Website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website of any successor company to Merrill Lynch Bank &amp; Trust Co., FSB). This Award Notice shall be replaced by the equivalent pages on such website. References to Award Notice in this Agreement shall then refer to the equivalent pages on such website</w:t>
      </w:r>
      <w:r>
        <w:rPr>
          <w:rFonts w:ascii="Times New Roman" w:cs="Times New Roman" w:eastAsia="Times New Roman" w:hAnsi="Times New Roman"/>
          <w:sz w:val="22"/>
          <w:szCs w:val="22"/>
          <w:b w:val="1"/>
          <w:bCs w:val="1"/>
          <w:color w:val="auto"/>
        </w:rPr>
        <w:t>]</w:t>
      </w:r>
    </w:p>
    <w:p>
      <w:pPr>
        <w:spacing w:after="0" w:line="178" w:lineRule="exact"/>
        <w:rPr>
          <w:rFonts w:ascii="Times New Roman" w:cs="Times New Roman" w:eastAsia="Times New Roman" w:hAnsi="Times New Roman"/>
          <w:sz w:val="21"/>
          <w:szCs w:val="21"/>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notice of Award (the “</w:t>
      </w:r>
      <w:r>
        <w:rPr>
          <w:rFonts w:ascii="Times New Roman" w:cs="Times New Roman" w:eastAsia="Times New Roman" w:hAnsi="Times New Roman"/>
          <w:sz w:val="22"/>
          <w:szCs w:val="22"/>
          <w:u w:val="single" w:color="auto"/>
          <w:color w:val="auto"/>
        </w:rPr>
        <w:t>Award Notice</w:t>
      </w:r>
      <w:r>
        <w:rPr>
          <w:rFonts w:ascii="Times New Roman" w:cs="Times New Roman" w:eastAsia="Times New Roman" w:hAnsi="Times New Roman"/>
          <w:sz w:val="22"/>
          <w:szCs w:val="22"/>
          <w:color w:val="auto"/>
        </w:rPr>
        <w:t>”) sets forth certain details relating to the grant by the Company to you of the Award identified below, pursuant to the Plan. The terms of this Award Notice are incorporated into the Agreement that accompanies this Award Notice and made part of the Agreement. Capitalized terms used in this Award Notice that are not otherwise defined in this Award Notice have the meanings given to such terms in the Agreement.</w:t>
      </w:r>
    </w:p>
    <w:p>
      <w:pPr>
        <w:spacing w:after="0" w:line="180"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Employee:</w:t>
      </w:r>
    </w:p>
    <w:p>
      <w:pPr>
        <w:spacing w:after="0" w:line="30"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Employee ID:</w:t>
      </w:r>
    </w:p>
    <w:p>
      <w:pPr>
        <w:spacing w:after="0" w:line="17"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17"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Award Type:</w:t>
      </w:r>
    </w:p>
    <w:p>
      <w:pPr>
        <w:spacing w:after="0" w:line="17"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Grant ID:</w:t>
      </w:r>
    </w:p>
    <w:p>
      <w:pPr>
        <w:spacing w:after="0" w:line="17"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40"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Program</w:t>
      </w:r>
    </w:p>
    <w:p>
      <w:pPr>
        <w:spacing w:after="0" w:line="28"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6"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Number of Shares</w:t>
      </w:r>
    </w:p>
    <w:p>
      <w:pPr>
        <w:spacing w:after="0" w:line="15"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Number of Performance Units</w:t>
      </w:r>
    </w:p>
    <w:p>
      <w:pPr>
        <w:spacing w:after="0" w:line="4" w:lineRule="exact"/>
        <w:rPr>
          <w:rFonts w:ascii="Times New Roman" w:cs="Times New Roman" w:eastAsia="Times New Roman" w:hAnsi="Times New Roman"/>
          <w:sz w:val="21"/>
          <w:szCs w:val="21"/>
          <w:color w:val="auto"/>
        </w:rPr>
      </w:pPr>
    </w:p>
    <w:p>
      <w:pPr>
        <w:spacing w:after="0"/>
        <w:tabs>
          <w:tab w:leader="none" w:pos="2580" w:val="left"/>
        </w:tabs>
        <w:rPr>
          <w:sz w:val="20"/>
          <w:szCs w:val="20"/>
          <w:color w:val="auto"/>
        </w:rPr>
      </w:pPr>
      <w:r>
        <w:rPr>
          <w:rFonts w:ascii="Times New Roman" w:cs="Times New Roman" w:eastAsia="Times New Roman" w:hAnsi="Times New Roman"/>
          <w:sz w:val="22"/>
          <w:szCs w:val="22"/>
          <w:color w:val="auto"/>
        </w:rPr>
        <w:t>Resolutions:</w:t>
      </w:r>
      <w:r>
        <w:rPr>
          <w:sz w:val="20"/>
          <w:szCs w:val="20"/>
          <w:color w:val="auto"/>
        </w:rPr>
        <w:tab/>
      </w:r>
      <w:r>
        <w:rPr>
          <w:rFonts w:ascii="Times New Roman" w:cs="Times New Roman" w:eastAsia="Times New Roman" w:hAnsi="Times New Roman"/>
          <w:sz w:val="22"/>
          <w:szCs w:val="22"/>
          <w:color w:val="auto"/>
        </w:rPr>
        <w:t>The Resolutions of the Compensation and Management Development Committee of the Board of</w:t>
      </w:r>
    </w:p>
    <w:p>
      <w:pPr>
        <w:spacing w:after="0" w:line="4" w:lineRule="exact"/>
        <w:rPr>
          <w:rFonts w:ascii="Times New Roman" w:cs="Times New Roman" w:eastAsia="Times New Roman" w:hAnsi="Times New Roman"/>
          <w:sz w:val="21"/>
          <w:szCs w:val="21"/>
          <w:color w:val="auto"/>
        </w:rPr>
      </w:pPr>
    </w:p>
    <w:p>
      <w:pPr>
        <w:ind w:left="2600"/>
        <w:spacing w:after="0"/>
        <w:rPr>
          <w:sz w:val="20"/>
          <w:szCs w:val="20"/>
          <w:color w:val="auto"/>
        </w:rPr>
      </w:pPr>
      <w:r>
        <w:rPr>
          <w:rFonts w:ascii="Times New Roman" w:cs="Times New Roman" w:eastAsia="Times New Roman" w:hAnsi="Times New Roman"/>
          <w:sz w:val="22"/>
          <w:szCs w:val="22"/>
          <w:color w:val="auto"/>
        </w:rPr>
        <w:t>Directors of Amgen Inc., adopted on _____________, regarding the Amgen Inc. 2009 Performance</w:t>
      </w:r>
    </w:p>
    <w:p>
      <w:pPr>
        <w:spacing w:after="0" w:line="4" w:lineRule="exact"/>
        <w:rPr>
          <w:rFonts w:ascii="Times New Roman" w:cs="Times New Roman" w:eastAsia="Times New Roman" w:hAnsi="Times New Roman"/>
          <w:sz w:val="21"/>
          <w:szCs w:val="21"/>
          <w:color w:val="auto"/>
        </w:rPr>
      </w:pPr>
    </w:p>
    <w:p>
      <w:pPr>
        <w:ind w:left="2600"/>
        <w:spacing w:after="0"/>
        <w:rPr>
          <w:sz w:val="20"/>
          <w:szCs w:val="20"/>
          <w:color w:val="auto"/>
        </w:rPr>
      </w:pPr>
      <w:r>
        <w:rPr>
          <w:rFonts w:ascii="Times New Roman" w:cs="Times New Roman" w:eastAsia="Times New Roman" w:hAnsi="Times New Roman"/>
          <w:sz w:val="22"/>
          <w:szCs w:val="22"/>
          <w:color w:val="auto"/>
        </w:rPr>
        <w:t>Award Program, as amended from time to time</w:t>
      </w:r>
    </w:p>
    <w:p>
      <w:pPr>
        <w:spacing w:after="0" w:line="4" w:lineRule="exact"/>
        <w:rPr>
          <w:rFonts w:ascii="Times New Roman" w:cs="Times New Roman" w:eastAsia="Times New Roman" w:hAnsi="Times New Roman"/>
          <w:sz w:val="21"/>
          <w:szCs w:val="21"/>
          <w:color w:val="auto"/>
        </w:rPr>
      </w:pPr>
    </w:p>
    <w:p>
      <w:pPr>
        <w:spacing w:after="0"/>
        <w:tabs>
          <w:tab w:leader="none" w:pos="2580" w:val="left"/>
        </w:tabs>
        <w:rPr>
          <w:sz w:val="20"/>
          <w:szCs w:val="20"/>
          <w:color w:val="auto"/>
        </w:rPr>
      </w:pPr>
      <w:r>
        <w:rPr>
          <w:rFonts w:ascii="Times New Roman" w:cs="Times New Roman" w:eastAsia="Times New Roman" w:hAnsi="Times New Roman"/>
          <w:sz w:val="22"/>
          <w:szCs w:val="22"/>
          <w:color w:val="auto"/>
        </w:rPr>
        <w:t>Performance Period:</w:t>
      </w:r>
      <w:r>
        <w:rPr>
          <w:sz w:val="20"/>
          <w:szCs w:val="20"/>
          <w:color w:val="auto"/>
        </w:rPr>
        <w:tab/>
      </w:r>
      <w:r>
        <w:rPr>
          <w:rFonts w:ascii="Times New Roman" w:cs="Times New Roman" w:eastAsia="Times New Roman" w:hAnsi="Times New Roman"/>
          <w:sz w:val="21"/>
          <w:szCs w:val="21"/>
          <w:color w:val="auto"/>
        </w:rPr>
        <w:t>The Performance Period beginning on ____, 20__ and ending on _______, 20__</w:t>
      </w:r>
    </w:p>
    <w:p>
      <w:pPr>
        <w:spacing w:after="0" w:line="4" w:lineRule="exact"/>
        <w:rPr>
          <w:rFonts w:ascii="Times New Roman" w:cs="Times New Roman" w:eastAsia="Times New Roman" w:hAnsi="Times New Roman"/>
          <w:sz w:val="21"/>
          <w:szCs w:val="21"/>
          <w:color w:val="auto"/>
        </w:rPr>
      </w:pPr>
    </w:p>
    <w:p>
      <w:pPr>
        <w:spacing w:after="0"/>
        <w:tabs>
          <w:tab w:leader="none" w:pos="2580" w:val="left"/>
        </w:tabs>
        <w:rPr>
          <w:sz w:val="20"/>
          <w:szCs w:val="20"/>
          <w:color w:val="auto"/>
        </w:rPr>
      </w:pPr>
      <w:r>
        <w:rPr>
          <w:rFonts w:ascii="Times New Roman" w:cs="Times New Roman" w:eastAsia="Times New Roman" w:hAnsi="Times New Roman"/>
          <w:sz w:val="22"/>
          <w:szCs w:val="22"/>
          <w:color w:val="auto"/>
        </w:rPr>
        <w:t>Vesting Date:</w:t>
      </w:r>
      <w:r>
        <w:rPr>
          <w:sz w:val="20"/>
          <w:szCs w:val="20"/>
          <w:color w:val="auto"/>
        </w:rPr>
        <w:tab/>
      </w:r>
      <w:r>
        <w:rPr>
          <w:rFonts w:ascii="Times New Roman" w:cs="Times New Roman" w:eastAsia="Times New Roman" w:hAnsi="Times New Roman"/>
          <w:sz w:val="21"/>
          <w:szCs w:val="21"/>
          <w:color w:val="auto"/>
        </w:rPr>
        <w:t>Means the vesting date indicated in the Vesting Schedule</w:t>
      </w:r>
    </w:p>
    <w:p>
      <w:pPr>
        <w:spacing w:after="0" w:line="4" w:lineRule="exact"/>
        <w:rPr>
          <w:rFonts w:ascii="Times New Roman" w:cs="Times New Roman" w:eastAsia="Times New Roman" w:hAnsi="Times New Roman"/>
          <w:sz w:val="21"/>
          <w:szCs w:val="21"/>
          <w:color w:val="auto"/>
        </w:rPr>
      </w:pPr>
    </w:p>
    <w:p>
      <w:pPr>
        <w:spacing w:after="0"/>
        <w:tabs>
          <w:tab w:leader="none" w:pos="2580" w:val="left"/>
        </w:tabs>
        <w:rPr>
          <w:sz w:val="20"/>
          <w:szCs w:val="20"/>
          <w:color w:val="auto"/>
        </w:rPr>
      </w:pPr>
      <w:r>
        <w:rPr>
          <w:rFonts w:ascii="Times New Roman" w:cs="Times New Roman" w:eastAsia="Times New Roman" w:hAnsi="Times New Roman"/>
          <w:sz w:val="22"/>
          <w:szCs w:val="22"/>
          <w:color w:val="auto"/>
        </w:rPr>
        <w:t>Vesting Schedule:</w:t>
      </w:r>
      <w:r>
        <w:rPr>
          <w:sz w:val="20"/>
          <w:szCs w:val="20"/>
          <w:color w:val="auto"/>
        </w:rPr>
        <w:tab/>
      </w:r>
      <w:r>
        <w:rPr>
          <w:rFonts w:ascii="Times New Roman" w:cs="Times New Roman" w:eastAsia="Times New Roman" w:hAnsi="Times New Roman"/>
          <w:sz w:val="21"/>
          <w:szCs w:val="21"/>
          <w:color w:val="auto"/>
        </w:rPr>
        <w:t>Means the schedule of vesting set forth under Vesting Details</w:t>
      </w:r>
    </w:p>
    <w:p>
      <w:pPr>
        <w:spacing w:after="0" w:line="4" w:lineRule="exact"/>
        <w:rPr>
          <w:rFonts w:ascii="Times New Roman" w:cs="Times New Roman" w:eastAsia="Times New Roman" w:hAnsi="Times New Roman"/>
          <w:sz w:val="21"/>
          <w:szCs w:val="21"/>
          <w:color w:val="auto"/>
        </w:rPr>
      </w:pPr>
    </w:p>
    <w:p>
      <w:pPr>
        <w:spacing w:after="0"/>
        <w:tabs>
          <w:tab w:leader="none" w:pos="2580" w:val="left"/>
        </w:tabs>
        <w:rPr>
          <w:sz w:val="20"/>
          <w:szCs w:val="20"/>
          <w:color w:val="auto"/>
        </w:rPr>
      </w:pPr>
      <w:r>
        <w:rPr>
          <w:rFonts w:ascii="Times New Roman" w:cs="Times New Roman" w:eastAsia="Times New Roman" w:hAnsi="Times New Roman"/>
          <w:sz w:val="22"/>
          <w:szCs w:val="22"/>
          <w:color w:val="auto"/>
        </w:rPr>
        <w:t>Vesting Details:</w:t>
      </w:r>
      <w:r>
        <w:rPr>
          <w:sz w:val="20"/>
          <w:szCs w:val="20"/>
          <w:color w:val="auto"/>
        </w:rPr>
        <w:tab/>
      </w:r>
      <w:r>
        <w:rPr>
          <w:rFonts w:ascii="Times New Roman" w:cs="Times New Roman" w:eastAsia="Times New Roman" w:hAnsi="Times New Roman"/>
          <w:sz w:val="21"/>
          <w:szCs w:val="21"/>
          <w:color w:val="auto"/>
        </w:rPr>
        <w:t>Means the presentation (tabular or otherwise) of the Vesting Date and the quantity of Shares vesting.</w:t>
      </w:r>
    </w:p>
    <w:p>
      <w:pPr>
        <w:spacing w:after="0" w:line="187"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IMPORTANT NOTICE REGARDING ACCEPTANCE OF THE AWARD</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1"/>
          <w:szCs w:val="21"/>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i w:val="1"/>
          <w:iCs w:val="1"/>
          <w:color w:val="auto"/>
        </w:rPr>
        <w:t>RESIDENTS OF THE U.S. AND PUERTO RICO</w:t>
      </w:r>
      <w:r>
        <w:rPr>
          <w:rFonts w:ascii="Times New Roman" w:cs="Times New Roman" w:eastAsia="Times New Roman" w:hAnsi="Times New Roman"/>
          <w:sz w:val="22"/>
          <w:szCs w:val="22"/>
          <w:color w:val="auto"/>
        </w:rPr>
        <w:t>: Please read this Award Notice, the Plan and the Agreement (collectively,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 Documents</w:t>
      </w:r>
      <w:r>
        <w:rPr>
          <w:rFonts w:ascii="Times New Roman" w:cs="Times New Roman" w:eastAsia="Times New Roman" w:hAnsi="Times New Roman"/>
          <w:sz w:val="22"/>
          <w:szCs w:val="22"/>
          <w:color w:val="auto"/>
        </w:rPr>
        <w:t xml:space="preserve">”) carefully. If you, as a resident of the U.S. or Puerto Rico, do </w:t>
      </w:r>
      <w:r>
        <w:rPr>
          <w:rFonts w:ascii="Times New Roman" w:cs="Times New Roman" w:eastAsia="Times New Roman" w:hAnsi="Times New Roman"/>
          <w:sz w:val="22"/>
          <w:szCs w:val="22"/>
          <w:b w:val="1"/>
          <w:bCs w:val="1"/>
          <w:u w:val="single" w:color="auto"/>
          <w:color w:val="auto"/>
        </w:rPr>
        <w:t>not</w:t>
      </w:r>
      <w:r>
        <w:rPr>
          <w:rFonts w:ascii="Times New Roman" w:cs="Times New Roman" w:eastAsia="Times New Roman" w:hAnsi="Times New Roman"/>
          <w:sz w:val="22"/>
          <w:szCs w:val="22"/>
          <w:color w:val="auto"/>
        </w:rPr>
        <w:t xml:space="preserve"> wish to receive this Award and/or you do </w:t>
      </w:r>
      <w:r>
        <w:rPr>
          <w:rFonts w:ascii="Times New Roman" w:cs="Times New Roman" w:eastAsia="Times New Roman" w:hAnsi="Times New Roman"/>
          <w:sz w:val="22"/>
          <w:szCs w:val="22"/>
          <w:b w:val="1"/>
          <w:bCs w:val="1"/>
          <w:u w:val="single" w:color="auto"/>
          <w:color w:val="auto"/>
        </w:rPr>
        <w:t>not</w:t>
      </w:r>
      <w:r>
        <w:rPr>
          <w:rFonts w:ascii="Times New Roman" w:cs="Times New Roman" w:eastAsia="Times New Roman" w:hAnsi="Times New Roman"/>
          <w:sz w:val="22"/>
          <w:szCs w:val="22"/>
          <w:color w:val="auto"/>
        </w:rPr>
        <w:t xml:space="preserve"> consent and agree to the terms and conditions on which this Award is offered, as set forth in the Grant Documents, then you must reject the Award by contacting the Merrill Lynch call center (800) 97AMGEN (800-972-6436)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immediately following the day on which this Award Notice is made available to you. Your failure</w:t>
      </w:r>
    </w:p>
    <w:p>
      <w:pPr>
        <w:spacing w:after="0" w:line="235" w:lineRule="auto"/>
        <w:rPr>
          <w:sz w:val="20"/>
          <w:szCs w:val="20"/>
          <w:color w:val="auto"/>
        </w:rPr>
      </w:pPr>
      <w:r>
        <w:rPr>
          <w:rFonts w:ascii="Times New Roman" w:cs="Times New Roman" w:eastAsia="Times New Roman" w:hAnsi="Times New Roman"/>
          <w:sz w:val="22"/>
          <w:szCs w:val="22"/>
          <w:color w:val="auto"/>
        </w:rPr>
        <w:t>_________________________</w:t>
      </w:r>
    </w:p>
    <w:p>
      <w:pPr>
        <w:ind w:left="120" w:hanging="112"/>
        <w:spacing w:after="0" w:line="198" w:lineRule="auto"/>
        <w:tabs>
          <w:tab w:leader="none" w:pos="120" w:val="left"/>
        </w:tabs>
        <w:numPr>
          <w:ilvl w:val="0"/>
          <w:numId w:val="43"/>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22"/>
          <w:szCs w:val="22"/>
          <w:i w:val="1"/>
          <w:iCs w:val="1"/>
          <w:color w:val="auto"/>
        </w:rPr>
        <w:t>.This provision is only for use on the form of grant used for the U.S. and Puerto Rico.</w:t>
      </w:r>
    </w:p>
    <w:p>
      <w:pPr>
        <w:sectPr>
          <w:pgSz w:w="11900" w:h="16838" w:orient="portrait"/>
          <w:cols w:equalWidth="0" w:num="1">
            <w:col w:w="11420"/>
          </w:cols>
          <w:pgMar w:left="240" w:top="117" w:right="239" w:bottom="1440" w:gutter="0" w:footer="0" w:header="0"/>
        </w:sectPr>
      </w:pPr>
    </w:p>
    <w:bookmarkStart w:id="82" w:name="page83"/>
    <w:bookmarkEnd w:id="82"/>
    <w:p>
      <w:pPr>
        <w:spacing w:after="0" w:line="271" w:lineRule="auto"/>
        <w:rPr>
          <w:sz w:val="20"/>
          <w:szCs w:val="20"/>
          <w:color w:val="auto"/>
        </w:rPr>
      </w:pPr>
      <w:r>
        <w:rPr>
          <w:rFonts w:ascii="Times New Roman" w:cs="Times New Roman" w:eastAsia="Times New Roman" w:hAnsi="Times New Roman"/>
          <w:sz w:val="22"/>
          <w:szCs w:val="22"/>
          <w:color w:val="auto"/>
        </w:rPr>
        <w:t>to notify the Company of your rejection of the Award within this specified period will constitute your acceptance of the Award and your agreement with all terms and conditions of the Award, as set forth in the Grant Documents.</w:t>
      </w:r>
    </w:p>
    <w:p>
      <w:pPr>
        <w:sectPr>
          <w:pgSz w:w="11900" w:h="16838" w:orient="portrait"/>
          <w:cols w:equalWidth="0" w:num="1">
            <w:col w:w="11420"/>
          </w:cols>
          <w:pgMar w:left="240" w:top="625"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2"/>
          <w:szCs w:val="22"/>
          <w:b w:val="1"/>
          <w:bCs w:val="1"/>
          <w:color w:val="auto"/>
        </w:rPr>
        <w:t>PERFORMANCE UNIT AGREEMENT</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THE SPECIFIC TERMS OF YOUR GRANT OF PERFORMANCE UNITS ARE FOUND IN THE PAGES RELATING TO THE GRANT OF PERFORMANCE UNITS FOUND ON MERRILL LYNCH BENEFITS WEBSITE (OR THE WEBSITE OF ANY SUCCESSOR COMPANY TO MERRILL LYNCH BANK &amp; TRUST CO., FSB) (THE “</w:t>
      </w: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b w:val="1"/>
          <w:bCs w:val="1"/>
          <w:color w:val="auto"/>
        </w:rPr>
        <w:t>”) WHICH ACCOMPANIES THIS DOCUMENT. THE TERMS OF THE AWARD NOTICE ARE INCORPORATED INTO THIS PERFORMANCE UNIT AGREEMENT.</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On the Grant Date specified in the Award Notice, Amgen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granted to you, the grantee named in the Award Notice, under the Amgen Inc. Amended and Restated 2009 Equity Incentive Plan, as amended and/or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the Number of Performance Units (the “</w:t>
      </w:r>
      <w:r>
        <w:rPr>
          <w:rFonts w:ascii="Times New Roman" w:cs="Times New Roman" w:eastAsia="Times New Roman" w:hAnsi="Times New Roman"/>
          <w:sz w:val="21"/>
          <w:szCs w:val="21"/>
          <w:u w:val="single" w:color="auto"/>
          <w:color w:val="auto"/>
        </w:rPr>
        <w:t>Performance Units</w:t>
      </w:r>
      <w:r>
        <w:rPr>
          <w:rFonts w:ascii="Times New Roman" w:cs="Times New Roman" w:eastAsia="Times New Roman" w:hAnsi="Times New Roman"/>
          <w:sz w:val="21"/>
          <w:szCs w:val="21"/>
          <w:color w:val="auto"/>
        </w:rPr>
        <w:t xml:space="preserve">”) specified in the Award Notice on the terms and conditions set forth in this Performance Unit Agreement (and any applicable special terms and conditions for your country set forth in the attached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(as described in greater detail in Section XIV below)) (collectively,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Plan, the Amgen Inc. 2009 Performance Award Program (the “</w:t>
      </w:r>
      <w:r>
        <w:rPr>
          <w:rFonts w:ascii="Times New Roman" w:cs="Times New Roman" w:eastAsia="Times New Roman" w:hAnsi="Times New Roman"/>
          <w:sz w:val="21"/>
          <w:szCs w:val="21"/>
          <w:u w:val="single" w:color="auto"/>
          <w:color w:val="auto"/>
        </w:rPr>
        <w:t>Program</w:t>
      </w:r>
      <w:r>
        <w:rPr>
          <w:rFonts w:ascii="Times New Roman" w:cs="Times New Roman" w:eastAsia="Times New Roman" w:hAnsi="Times New Roman"/>
          <w:sz w:val="21"/>
          <w:szCs w:val="21"/>
          <w:color w:val="auto"/>
        </w:rPr>
        <w:t>”) and the Resolutions (as defined below). Capitalized terms not defined herein shall have the meanings assigned to such terms in the Program.</w:t>
      </w:r>
    </w:p>
    <w:p>
      <w:pPr>
        <w:spacing w:after="0" w:line="215" w:lineRule="exact"/>
        <w:rPr>
          <w:sz w:val="20"/>
          <w:szCs w:val="20"/>
          <w:color w:val="auto"/>
        </w:rPr>
      </w:pPr>
    </w:p>
    <w:p>
      <w:pPr>
        <w:ind w:left="1440" w:hanging="784"/>
        <w:spacing w:after="0"/>
        <w:tabs>
          <w:tab w:leader="none" w:pos="14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The Performance Period shall have the meaning set forth in the Award Notice.</w:t>
      </w:r>
    </w:p>
    <w:p>
      <w:pPr>
        <w:spacing w:after="0" w:line="260" w:lineRule="exact"/>
        <w:rPr>
          <w:sz w:val="20"/>
          <w:szCs w:val="20"/>
          <w:color w:val="auto"/>
        </w:rPr>
      </w:pPr>
    </w:p>
    <w:p>
      <w:pPr>
        <w:ind w:left="1500" w:hanging="844"/>
        <w:spacing w:after="0"/>
        <w:tabs>
          <w:tab w:leader="none" w:pos="15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 of Performance Units</w:t>
      </w:r>
      <w:r>
        <w:rPr>
          <w:rFonts w:ascii="Times New Roman" w:cs="Times New Roman" w:eastAsia="Times New Roman" w:hAnsi="Times New Roman"/>
          <w:sz w:val="22"/>
          <w:szCs w:val="22"/>
          <w:color w:val="auto"/>
        </w:rPr>
        <w:t>. The value of each Performance Unit is equal to a share of Common Stock.</w:t>
      </w:r>
    </w:p>
    <w:p>
      <w:pPr>
        <w:spacing w:after="0" w:line="260" w:lineRule="exact"/>
        <w:rPr>
          <w:sz w:val="20"/>
          <w:szCs w:val="20"/>
          <w:color w:val="auto"/>
        </w:rPr>
      </w:pPr>
    </w:p>
    <w:p>
      <w:pPr>
        <w:jc w:val="both"/>
        <w:ind w:firstLine="656"/>
        <w:spacing w:after="0" w:line="252" w:lineRule="auto"/>
        <w:tabs>
          <w:tab w:leader="none" w:pos="156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Goals</w:t>
      </w:r>
      <w:r>
        <w:rPr>
          <w:rFonts w:ascii="Times New Roman" w:cs="Times New Roman" w:eastAsia="Times New Roman" w:hAnsi="Times New Roman"/>
          <w:sz w:val="22"/>
          <w:szCs w:val="22"/>
          <w:color w:val="auto"/>
        </w:rPr>
        <w:t xml:space="preserve">. An amount of the Performance Units up to the maximum amount specified in the Resolutions shall be earned, depending on the extent to which the Company </w:t>
      </w:r>
      <w:r>
        <w:rPr>
          <w:rFonts w:ascii="Times New Roman" w:cs="Times New Roman" w:eastAsia="Times New Roman" w:hAnsi="Times New Roman"/>
          <w:sz w:val="22"/>
          <w:szCs w:val="22"/>
          <w:u w:val="single" w:color="auto"/>
          <w:color w:val="auto"/>
        </w:rPr>
        <w:t>achieves</w:t>
      </w:r>
      <w:r>
        <w:rPr>
          <w:rFonts w:ascii="Times New Roman" w:cs="Times New Roman" w:eastAsia="Times New Roman" w:hAnsi="Times New Roman"/>
          <w:sz w:val="22"/>
          <w:szCs w:val="22"/>
          <w:color w:val="auto"/>
        </w:rPr>
        <w:t xml:space="preserve"> objectively determinable Performance Goals established by the Committee pursuant to the Resolutions. The Performance Units earned shall be calculated in accordance with the Resolutions and the Program.</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IV. </w:t>
      </w:r>
      <w:r>
        <w:rPr>
          <w:rFonts w:ascii="Times New Roman" w:cs="Times New Roman" w:eastAsia="Times New Roman" w:hAnsi="Times New Roman"/>
          <w:sz w:val="22"/>
          <w:szCs w:val="22"/>
          <w:u w:val="single" w:color="auto"/>
          <w:color w:val="auto"/>
        </w:rPr>
        <w:t>Form and Timing of Payment</w:t>
      </w:r>
      <w:r>
        <w:rPr>
          <w:rFonts w:ascii="Times New Roman" w:cs="Times New Roman" w:eastAsia="Times New Roman" w:hAnsi="Times New Roman"/>
          <w:sz w:val="22"/>
          <w:szCs w:val="22"/>
          <w:color w:val="auto"/>
        </w:rPr>
        <w:t>. Subject to Section XIII and except as set forth in the Program, for any Performance Units earned pursuant to Section III above, the specified payment date applicable to such Performance Units shall be the year immediately following the end of the Performance Period. Shares issued in respect of a Performance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spacing w:after="0" w:line="221" w:lineRule="exact"/>
        <w:rPr>
          <w:sz w:val="20"/>
          <w:szCs w:val="20"/>
          <w:color w:val="auto"/>
        </w:rPr>
      </w:pPr>
    </w:p>
    <w:p>
      <w:pPr>
        <w:jc w:val="both"/>
        <w:ind w:firstLine="656"/>
        <w:spacing w:after="0" w:line="246" w:lineRule="auto"/>
        <w:tabs>
          <w:tab w:leader="none" w:pos="147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Certificates; Tax Withholding</w:t>
      </w:r>
      <w:r>
        <w:rPr>
          <w:rFonts w:ascii="Times New Roman" w:cs="Times New Roman" w:eastAsia="Times New Roman" w:hAnsi="Times New Roman"/>
          <w:sz w:val="22"/>
          <w:szCs w:val="22"/>
          <w:color w:val="auto"/>
        </w:rPr>
        <w:t>. Regardless of any action the Company or your actual employer (the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takes with respect to any or all income tax (including federal, state and local taxes), social insurance, payroll tax, fringe benefit tax, payment on account or other tax-related items related to your participation in the Plan and the Program and legally applicable to you (the “</w:t>
      </w: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you acknowledge that the ultimate liability for all Tax Obligations is and remains your responsibility and may exceed the amount actually withheld by the Company and/or your Employer. You further acknowledge that the Company and/or your Employer (i) make no representations or undertakings regarding the treatment of any Tax Obligations in connection with any aspect of the Performance Units, including the grant of the Performance Units, the vesting of the Performance Units, the conversion of the Performance Units into shares or the receipt of an equivalent cash payment, the subsequent sale of any shares acquired at settlement and the receipt of any dividends; and (ii) do not commit to and are under no obligation to structure the terms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5" w:right="239" w:bottom="1440" w:gutter="0" w:footer="0" w:header="0"/>
        </w:sectPr>
      </w:pPr>
    </w:p>
    <w:bookmarkStart w:id="84" w:name="page85"/>
    <w:bookmarkEnd w:id="84"/>
    <w:p>
      <w:pPr>
        <w:jc w:val="both"/>
        <w:spacing w:after="0" w:line="252" w:lineRule="auto"/>
        <w:rPr>
          <w:sz w:val="20"/>
          <w:szCs w:val="20"/>
          <w:color w:val="auto"/>
        </w:rPr>
      </w:pPr>
      <w:r>
        <w:rPr>
          <w:rFonts w:ascii="Times New Roman" w:cs="Times New Roman" w:eastAsia="Times New Roman" w:hAnsi="Times New Roman"/>
          <w:sz w:val="22"/>
          <w:szCs w:val="22"/>
          <w:color w:val="auto"/>
        </w:rPr>
        <w:t>the grant or any aspect of the Performance Units to reduce or eliminate your liability for Tax Obligations or to achieve any particular tax result. Furthermore, if you become subject to tax in more than one jurisdiction between the Grant Date and the date of any relevant taxable event, you acknowledge that the Company and/or your Employer (or former employer, as applicable) may be required to withhold or account for Tax Obligations in more than one jurisdiction.</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Prior to any relevant taxable or tax withholding event, as applicable, you shall pay or make adequate arrangements satisfactory to the Company or to your Employer (in their sole discretion) to satisfy all Tax Obligations. In this regard, you authorize the Company and/ or your Employer, or their respective agents, at their discretion, to satisfy all applicable Tax Obligations by one or a combination of the following:</w:t>
      </w:r>
    </w:p>
    <w:p>
      <w:pPr>
        <w:spacing w:after="0" w:line="180" w:lineRule="exact"/>
        <w:rPr>
          <w:sz w:val="20"/>
          <w:szCs w:val="20"/>
          <w:color w:val="auto"/>
        </w:rPr>
      </w:pPr>
    </w:p>
    <w:p>
      <w:pPr>
        <w:ind w:left="1840" w:hanging="535"/>
        <w:spacing w:after="0"/>
        <w:tabs>
          <w:tab w:leader="none" w:pos="184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your wages or other cash compensation paid to you by the Company and/or your Employer;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196" w:lineRule="exact"/>
        <w:rPr>
          <w:sz w:val="20"/>
          <w:szCs w:val="20"/>
          <w:color w:val="auto"/>
        </w:rPr>
      </w:pPr>
    </w:p>
    <w:p>
      <w:pPr>
        <w:ind w:right="20" w:firstLine="1305"/>
        <w:spacing w:after="0" w:line="295" w:lineRule="auto"/>
        <w:tabs>
          <w:tab w:leader="none" w:pos="189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proceeds of the sale of Shares issued upon settlement of the Performance Units, either through a voluntary sale or through a mandatory sale arranged by the Company (on your behalf pursuant to this authorization); or</w:t>
      </w:r>
    </w:p>
    <w:p>
      <w:pPr>
        <w:spacing w:after="0" w:line="135" w:lineRule="exact"/>
        <w:rPr>
          <w:rFonts w:ascii="Times New Roman" w:cs="Times New Roman" w:eastAsia="Times New Roman" w:hAnsi="Times New Roman"/>
          <w:sz w:val="21"/>
          <w:szCs w:val="21"/>
          <w:color w:val="auto"/>
        </w:rPr>
      </w:pPr>
    </w:p>
    <w:p>
      <w:pPr>
        <w:ind w:firstLine="1305"/>
        <w:spacing w:after="0" w:line="271" w:lineRule="auto"/>
        <w:tabs>
          <w:tab w:leader="none" w:pos="180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in Shares to be issued upon settlement of the Performance Units provided that the Company and your Employer shall only withhold an amount of Shares with a fair market value equal to the Tax Obligations.</w:t>
      </w:r>
    </w:p>
    <w:p>
      <w:pPr>
        <w:spacing w:after="0" w:line="158"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To avoid adverse accounting treatment, the Company may withhold or account for Tax Obligations not to exceed the applicable minimum statutory withholding rates or other applicable withholding rates. If the Tax Obligations are satisfied by withholding in Shares, for tax purposes, you are deemed to have been issued the full number of shares subject to the earned Performance Units, notwithstanding that a number of Shares is held back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spacing w:after="0" w:line="181"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Finally, you shall pay to the Company or your Employer any amount of Tax Obligations that the Company or your Employer may be required to withhold or account for as a result of your participation in the Plan and the Program that cannot be satisfied by the means previously described. You agree to take any further actions and to execute any additional documents as may be necessary to effectuate the provisions of this Section V. Notwithstanding Section IV above, the Company may refuse to issue or deliver the Shares or the proceeds of the sale of Shares if you fail to comply with your obligations in connection with the Tax Obligations.</w:t>
      </w:r>
    </w:p>
    <w:p>
      <w:pPr>
        <w:spacing w:after="0" w:line="221"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22"/>
          <w:szCs w:val="22"/>
          <w:color w:val="auto"/>
        </w:rPr>
        <w:t>VI.</w:t>
      </w:r>
      <w:r>
        <w:rPr>
          <w:sz w:val="20"/>
          <w:szCs w:val="20"/>
          <w:color w:val="auto"/>
        </w:rPr>
        <w:tab/>
      </w:r>
      <w:r>
        <w:rPr>
          <w:rFonts w:ascii="Times New Roman" w:cs="Times New Roman" w:eastAsia="Times New Roman" w:hAnsi="Times New Roman"/>
          <w:sz w:val="22"/>
          <w:szCs w:val="22"/>
          <w:u w:val="single" w:color="auto"/>
          <w:color w:val="auto"/>
        </w:rPr>
        <w:t>Dividend Equivalents</w:t>
      </w:r>
    </w:p>
    <w:p>
      <w:pPr>
        <w:spacing w:after="0" w:line="260" w:lineRule="exact"/>
        <w:rPr>
          <w:sz w:val="20"/>
          <w:szCs w:val="20"/>
          <w:color w:val="auto"/>
        </w:rPr>
      </w:pPr>
    </w:p>
    <w:p>
      <w:pPr>
        <w:jc w:val="both"/>
        <w:ind w:firstLine="1305"/>
        <w:spacing w:after="0" w:line="247" w:lineRule="auto"/>
        <w:tabs>
          <w:tab w:leader="none" w:pos="183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of Dividend Equivalents</w:t>
      </w:r>
      <w:r>
        <w:rPr>
          <w:rFonts w:ascii="Times New Roman" w:cs="Times New Roman" w:eastAsia="Times New Roman" w:hAnsi="Times New Roman"/>
          <w:sz w:val="22"/>
          <w:szCs w:val="22"/>
          <w:color w:val="auto"/>
        </w:rPr>
        <w:t>. Subject to this Section VI, Dividend Equivalents shall be credited on each Performance Unit granted to you under this Agreement in the manner set forth in the remainder of this Section VI. If the Company declares one or more dividends or distributions (each, a “</w:t>
      </w:r>
      <w:r>
        <w:rPr>
          <w:rFonts w:ascii="Times New Roman" w:cs="Times New Roman" w:eastAsia="Times New Roman" w:hAnsi="Times New Roman"/>
          <w:sz w:val="22"/>
          <w:szCs w:val="22"/>
          <w:u w:val="single" w:color="auto"/>
          <w:color w:val="auto"/>
        </w:rPr>
        <w:t>Dividend</w:t>
      </w:r>
      <w:r>
        <w:rPr>
          <w:rFonts w:ascii="Times New Roman" w:cs="Times New Roman" w:eastAsia="Times New Roman" w:hAnsi="Times New Roman"/>
          <w:sz w:val="22"/>
          <w:szCs w:val="22"/>
          <w:color w:val="auto"/>
        </w:rPr>
        <w:t>”) on its Common Stock with a record date which occurs during the period commencing on the Grant Date through and including the day immediately preceding the day the Shares subject to the Performance Units are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number of Shares equal to the number of Performance Units granted to you on the Grant Date (including any previously credited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9" w:right="239" w:bottom="1440" w:gutter="0" w:footer="0" w:header="0"/>
        </w:sectPr>
      </w:pPr>
    </w:p>
    <w:bookmarkStart w:id="85" w:name="page86"/>
    <w:bookmarkEnd w:id="85"/>
    <w:p>
      <w:pPr>
        <w:jc w:val="both"/>
        <w:spacing w:after="0" w:line="248" w:lineRule="auto"/>
        <w:rPr>
          <w:sz w:val="20"/>
          <w:szCs w:val="20"/>
          <w:color w:val="auto"/>
        </w:rPr>
      </w:pPr>
      <w:r>
        <w:rPr>
          <w:rFonts w:ascii="Times New Roman" w:cs="Times New Roman" w:eastAsia="Times New Roman" w:hAnsi="Times New Roman"/>
          <w:sz w:val="22"/>
          <w:szCs w:val="22"/>
          <w:color w:val="auto"/>
        </w:rPr>
        <w:t>Dividends which have been deemed to have been reinvested in Common Stock as provided by the next succeeding sentence), as of each such record date for each such Dividend (not including on any Performance Units which were previously paid or forfeited) as if each such amount had been reinvested in Common Stock as of the date of the payment of such Dividend (such accumulated dividends, the “</w:t>
      </w:r>
      <w:r>
        <w:rPr>
          <w:rFonts w:ascii="Times New Roman" w:cs="Times New Roman" w:eastAsia="Times New Roman" w:hAnsi="Times New Roman"/>
          <w:sz w:val="22"/>
          <w:szCs w:val="22"/>
          <w:u w:val="single" w:color="auto"/>
          <w:color w:val="auto"/>
        </w:rPr>
        <w:t>Target Accumulated Dividends</w:t>
      </w:r>
      <w:r>
        <w:rPr>
          <w:rFonts w:ascii="Times New Roman" w:cs="Times New Roman" w:eastAsia="Times New Roman" w:hAnsi="Times New Roman"/>
          <w:sz w:val="22"/>
          <w:szCs w:val="22"/>
          <w:color w:val="auto"/>
        </w:rPr>
        <w:t>”). Each such Dividend Equivalent shall be deemed to have been reinvested in Common Stock as of the Dividend payment date. Dividend Equivalents shall be payable in full Shares, unless the Administrator determines, at any time prior to payment and in its discretion, that they shall be payable in cash. Dividend Equivalents payable with respect to fractional Shares shall be paid in cash.</w:t>
      </w:r>
    </w:p>
    <w:p>
      <w:pPr>
        <w:spacing w:after="0" w:line="223" w:lineRule="exact"/>
        <w:rPr>
          <w:sz w:val="20"/>
          <w:szCs w:val="20"/>
          <w:color w:val="auto"/>
        </w:rPr>
      </w:pPr>
    </w:p>
    <w:p>
      <w:pPr>
        <w:jc w:val="both"/>
        <w:ind w:firstLine="1305"/>
        <w:spacing w:after="0" w:line="250" w:lineRule="auto"/>
        <w:tabs>
          <w:tab w:leader="none" w:pos="181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Dividend Equivalents.</w:t>
      </w:r>
      <w:r>
        <w:rPr>
          <w:rFonts w:ascii="Times New Roman" w:cs="Times New Roman" w:eastAsia="Times New Roman" w:hAnsi="Times New Roman"/>
          <w:sz w:val="22"/>
          <w:szCs w:val="22"/>
          <w:color w:val="auto"/>
        </w:rPr>
        <w:t xml:space="preserve"> Except as otherwise expressly provided in this Section VI any Dividend Equivalents credited to you shall be subject to all of the provisions of this Agreement which apply to the Performance Units with respect to which they have been credited and shall be payable, if at all, at the time and to the extent that the underlying Performance Unit becomes payable. Dividend Equivalents shall not be payable on any Performance Units that do not vest, or are forfeited, pursuant to the terms of this Agreement.</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VII. </w:t>
      </w: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xml:space="preserve">. No benefit payable under, or interest in, this Agreement or in the Shares that may become issuable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nothing in this Section VII shall prevent transfer (i) by will or (ii) by applicable laws of descent and distribution.</w:t>
      </w:r>
    </w:p>
    <w:p>
      <w:pPr>
        <w:spacing w:after="0" w:line="22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VIII. </w:t>
      </w:r>
      <w:r>
        <w:rPr>
          <w:rFonts w:ascii="Times New Roman" w:cs="Times New Roman" w:eastAsia="Times New Roman" w:hAnsi="Times New Roman"/>
          <w:sz w:val="22"/>
          <w:szCs w:val="22"/>
          <w:u w:val="single" w:color="auto"/>
          <w:color w:val="auto"/>
        </w:rPr>
        <w:t>No Contract for Employment</w:t>
      </w:r>
      <w:r>
        <w:rPr>
          <w:rFonts w:ascii="Times New Roman" w:cs="Times New Roman" w:eastAsia="Times New Roman" w:hAnsi="Times New Roman"/>
          <w:sz w:val="22"/>
          <w:szCs w:val="22"/>
          <w:color w:val="auto"/>
        </w:rPr>
        <w:t>. This Agreement is not an employment or service contract with the Company or an Affiliate and nothing in this Agreement shall be deemed to create in any way whatsoever any obligation on your part to continue in the employ or service of the Company or an Affiliate, or of the Company or an Affiliate to continue your employment or service with the Company or an Affiliate.</w:t>
      </w:r>
    </w:p>
    <w:p>
      <w:pPr>
        <w:spacing w:after="0" w:line="220"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22"/>
          <w:szCs w:val="22"/>
          <w:color w:val="auto"/>
        </w:rPr>
        <w:t>IX.</w:t>
      </w:r>
      <w:r>
        <w:rPr>
          <w:sz w:val="20"/>
          <w:szCs w:val="20"/>
          <w:color w:val="auto"/>
        </w:rPr>
        <w:tab/>
      </w: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grant of Performance Units, you acknowledge that:</w:t>
      </w:r>
    </w:p>
    <w:p>
      <w:pPr>
        <w:spacing w:after="0" w:line="260" w:lineRule="exact"/>
        <w:rPr>
          <w:sz w:val="20"/>
          <w:szCs w:val="20"/>
          <w:color w:val="auto"/>
        </w:rPr>
      </w:pPr>
    </w:p>
    <w:p>
      <w:pPr>
        <w:ind w:firstLine="1305"/>
        <w:spacing w:after="0" w:line="271" w:lineRule="auto"/>
        <w:tabs>
          <w:tab w:leader="none" w:pos="179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the Program are established voluntarily by the Company, are discretionary in nature and may be modified, amended, suspended or terminated by the Company at any time, as provided in the Plan and in the Program;</w:t>
      </w:r>
    </w:p>
    <w:p>
      <w:pPr>
        <w:spacing w:after="0" w:line="198"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4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Performance Units is voluntary and occasional and does not create any contractual or other right to receive future awards of Performance Units, or benefits in lieu of Performance Units, even if Performance Units have been awarded in the past;</w:t>
      </w:r>
    </w:p>
    <w:p>
      <w:pPr>
        <w:spacing w:after="0" w:line="213"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awards, if any, will be at the sole discretion of the Company;</w:t>
      </w:r>
    </w:p>
    <w:p>
      <w:pPr>
        <w:spacing w:after="0" w:line="260" w:lineRule="exact"/>
        <w:rPr>
          <w:rFonts w:ascii="Times New Roman" w:cs="Times New Roman" w:eastAsia="Times New Roman" w:hAnsi="Times New Roman"/>
          <w:sz w:val="22"/>
          <w:szCs w:val="22"/>
          <w:color w:val="auto"/>
        </w:rPr>
      </w:pPr>
    </w:p>
    <w:p>
      <w:pPr>
        <w:ind w:firstLine="1305"/>
        <w:spacing w:after="0" w:line="295" w:lineRule="auto"/>
        <w:tabs>
          <w:tab w:leader="none" w:pos="1765"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participation in the Plan and the Program shall not create a right to further employment with the Employer and shall not interfere with the ability of the Employer to terminate your employment or service relationship (if any) at any time;</w:t>
      </w:r>
    </w:p>
    <w:p>
      <w:pPr>
        <w:spacing w:after="0" w:line="176" w:lineRule="exact"/>
        <w:rPr>
          <w:rFonts w:ascii="Times New Roman" w:cs="Times New Roman" w:eastAsia="Times New Roman" w:hAnsi="Times New Roman"/>
          <w:sz w:val="21"/>
          <w:szCs w:val="21"/>
          <w:color w:val="auto"/>
        </w:rPr>
      </w:pPr>
    </w:p>
    <w:p>
      <w:pPr>
        <w:ind w:left="1760" w:hanging="455"/>
        <w:spacing w:after="0"/>
        <w:tabs>
          <w:tab w:leader="none" w:pos="17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participation in the Plan and the Program is voluntary;</w:t>
      </w:r>
    </w:p>
    <w:p>
      <w:pPr>
        <w:spacing w:after="0" w:line="260" w:lineRule="exact"/>
        <w:rPr>
          <w:rFonts w:ascii="Times New Roman" w:cs="Times New Roman" w:eastAsia="Times New Roman" w:hAnsi="Times New Roman"/>
          <w:sz w:val="22"/>
          <w:szCs w:val="22"/>
          <w:color w:val="auto"/>
        </w:rPr>
      </w:pPr>
    </w:p>
    <w:p>
      <w:pPr>
        <w:ind w:firstLine="1305"/>
        <w:spacing w:after="0" w:line="271" w:lineRule="auto"/>
        <w:tabs>
          <w:tab w:leader="none" w:pos="174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Performance Units and the Shares subject to the Performance Units are not intended to replace any pension rights or compensation;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9" w:right="239" w:bottom="1440" w:gutter="0" w:footer="0" w:header="0"/>
        </w:sectPr>
      </w:pPr>
    </w:p>
    <w:bookmarkStart w:id="86" w:name="page87"/>
    <w:bookmarkEnd w:id="86"/>
    <w:p>
      <w:pPr>
        <w:jc w:val="both"/>
        <w:ind w:firstLine="1305"/>
        <w:spacing w:after="0" w:line="252" w:lineRule="auto"/>
        <w:tabs>
          <w:tab w:leader="none" w:pos="1875"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grant of Performance Units nor any provision of this Agreement, the Plan, the Program or the policies adopted pursuant to the Plan or Program confer upon you any right with respect to employment or continuation of current employment and shall not be interpreted to form an employment contract or relationship with the Company or any Affiliate of the Company;</w:t>
      </w:r>
    </w:p>
    <w:p>
      <w:pPr>
        <w:spacing w:after="0" w:line="220" w:lineRule="exact"/>
        <w:rPr>
          <w:rFonts w:ascii="Times New Roman" w:cs="Times New Roman" w:eastAsia="Times New Roman" w:hAnsi="Times New Roman"/>
          <w:sz w:val="22"/>
          <w:szCs w:val="22"/>
          <w:color w:val="auto"/>
        </w:rPr>
      </w:pPr>
    </w:p>
    <w:p>
      <w:pPr>
        <w:ind w:right="20" w:firstLine="1305"/>
        <w:spacing w:after="0" w:line="271" w:lineRule="auto"/>
        <w:tabs>
          <w:tab w:leader="none" w:pos="184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that may be earned upon the end of the Performance Period is unknown and cannot be predicted with certainty;</w:t>
      </w:r>
    </w:p>
    <w:p>
      <w:pPr>
        <w:spacing w:after="0" w:line="198" w:lineRule="exact"/>
        <w:rPr>
          <w:rFonts w:ascii="Times New Roman" w:cs="Times New Roman" w:eastAsia="Times New Roman" w:hAnsi="Times New Roman"/>
          <w:sz w:val="22"/>
          <w:szCs w:val="22"/>
          <w:color w:val="auto"/>
        </w:rPr>
      </w:pPr>
    </w:p>
    <w:p>
      <w:pPr>
        <w:jc w:val="both"/>
        <w:ind w:firstLine="1305"/>
        <w:spacing w:after="0" w:line="249" w:lineRule="auto"/>
        <w:tabs>
          <w:tab w:leader="none" w:pos="184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Performance Units hereunder, no claim or entitlement to compensation or damages shall arise from forfeiture of the Performance Units resulting from termination of your employment by the Company or an Affiliate of the Company (for any reason whatsoever and whether or not in breach of local labor laws)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221" w:lineRule="exact"/>
        <w:rPr>
          <w:rFonts w:ascii="Times New Roman" w:cs="Times New Roman" w:eastAsia="Times New Roman" w:hAnsi="Times New Roman"/>
          <w:sz w:val="22"/>
          <w:szCs w:val="22"/>
          <w:color w:val="auto"/>
        </w:rPr>
      </w:pPr>
    </w:p>
    <w:p>
      <w:pPr>
        <w:jc w:val="both"/>
        <w:ind w:firstLine="1305"/>
        <w:spacing w:after="0" w:line="252" w:lineRule="auto"/>
        <w:tabs>
          <w:tab w:leader="none" w:pos="178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termination of your employment (whether or not in breach of local labor laws), your right to receive Performance Units and receive shares under the Plan and the Program, if any, will terminate effective as of the date that you are no longer actively employed and will not be extended by any notice period mandated under local law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active employment would not include a period of “garden leave” or similar period pursuant to local law);</w:t>
      </w:r>
    </w:p>
    <w:p>
      <w:pPr>
        <w:spacing w:after="0" w:line="220" w:lineRule="exact"/>
        <w:rPr>
          <w:rFonts w:ascii="Times New Roman" w:cs="Times New Roman" w:eastAsia="Times New Roman" w:hAnsi="Times New Roman"/>
          <w:sz w:val="22"/>
          <w:szCs w:val="22"/>
          <w:color w:val="auto"/>
        </w:rPr>
      </w:pPr>
    </w:p>
    <w:p>
      <w:pPr>
        <w:jc w:val="both"/>
        <w:ind w:firstLine="1305"/>
        <w:spacing w:after="0" w:line="252" w:lineRule="auto"/>
        <w:tabs>
          <w:tab w:leader="none" w:pos="179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or the Plan, the Performance Units and the benefits evidenced by this Agreement do not create any entitlement to have the Performance Units or any such benefits transferred to, or assumed by, another company nor to be exchanged, cashed out or substituted for, in connection with any corporate transaction affecting the shares of the Company; and</w:t>
      </w:r>
    </w:p>
    <w:p>
      <w:pPr>
        <w:spacing w:after="0" w:line="220"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you are providing services outside the United States:</w:t>
      </w:r>
    </w:p>
    <w:p>
      <w:pPr>
        <w:spacing w:after="0" w:line="260" w:lineRule="exact"/>
        <w:rPr>
          <w:rFonts w:ascii="Times New Roman" w:cs="Times New Roman" w:eastAsia="Times New Roman" w:hAnsi="Times New Roman"/>
          <w:sz w:val="22"/>
          <w:szCs w:val="22"/>
          <w:color w:val="auto"/>
        </w:rPr>
      </w:pPr>
    </w:p>
    <w:p>
      <w:pPr>
        <w:jc w:val="both"/>
        <w:ind w:firstLine="1953"/>
        <w:spacing w:after="0" w:line="252" w:lineRule="auto"/>
        <w:tabs>
          <w:tab w:leader="none" w:pos="2489"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employment law purposes outside the United States, the Performance Units and underlying Shares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payments; and</w:t>
      </w:r>
    </w:p>
    <w:p>
      <w:pPr>
        <w:spacing w:after="0" w:line="220" w:lineRule="exact"/>
        <w:rPr>
          <w:rFonts w:ascii="Times New Roman" w:cs="Times New Roman" w:eastAsia="Times New Roman" w:hAnsi="Times New Roman"/>
          <w:sz w:val="22"/>
          <w:szCs w:val="22"/>
          <w:color w:val="auto"/>
        </w:rPr>
      </w:pPr>
    </w:p>
    <w:p>
      <w:pPr>
        <w:jc w:val="both"/>
        <w:ind w:firstLine="1953"/>
        <w:spacing w:after="0" w:line="252" w:lineRule="auto"/>
        <w:tabs>
          <w:tab w:leader="none" w:pos="2516"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the Employer nor any Affiliate of the Company shall be liable for any foreign exchange rate fluctuation between your local currency and the United States Dollar that may affect the value of the Performance Units or of any amounts due to you pursuant to the settlement of the Performance Units or the subsequent sale of any Shares acquired upon settlement.</w:t>
      </w:r>
    </w:p>
    <w:p>
      <w:pPr>
        <w:spacing w:after="0" w:line="220" w:lineRule="exact"/>
        <w:rPr>
          <w:rFonts w:ascii="Times New Roman" w:cs="Times New Roman" w:eastAsia="Times New Roman" w:hAnsi="Times New Roman"/>
          <w:sz w:val="22"/>
          <w:szCs w:val="22"/>
          <w:color w:val="auto"/>
        </w:rPr>
      </w:pPr>
    </w:p>
    <w:p>
      <w:pPr>
        <w:jc w:val="both"/>
        <w:ind w:firstLine="656"/>
        <w:spacing w:after="0" w:line="252" w:lineRule="auto"/>
        <w:tabs>
          <w:tab w:leader="none" w:pos="150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your participation in the Plan and the Program, or your acquisition or sale of the underlying Shares. You are hereby advised to consult with your personal tax, legal and financial advisors regarding your participation in the Plan and the Program before taking any action related thereto.</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625" w:right="239" w:bottom="1440" w:gutter="0" w:footer="0" w:header="0"/>
        </w:sectPr>
      </w:pPr>
    </w:p>
    <w:bookmarkStart w:id="87" w:name="page88"/>
    <w:bookmarkEnd w:id="87"/>
    <w:p>
      <w:pPr>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XI.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provided for in this Agreement, the Plan or the Program shall be given in writing or electronically and shall be deemed effectively given upon receipt or, in the case of notices delivered by the Company to you, five</w:t>
      </w:r>
    </w:p>
    <w:p>
      <w:pPr>
        <w:spacing w:after="0" w:line="2" w:lineRule="exact"/>
        <w:rPr>
          <w:sz w:val="20"/>
          <w:szCs w:val="20"/>
          <w:color w:val="auto"/>
        </w:rPr>
      </w:pPr>
    </w:p>
    <w:p>
      <w:pPr>
        <w:jc w:val="both"/>
        <w:ind w:firstLine="8"/>
        <w:spacing w:after="0" w:line="245" w:lineRule="auto"/>
        <w:tabs>
          <w:tab w:leader="none" w:pos="33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exercise of Awards, such as a system using an internet website or interactive voice response, as approved by the Company.</w:t>
      </w:r>
    </w:p>
    <w:p>
      <w:pPr>
        <w:spacing w:after="0" w:line="226" w:lineRule="exact"/>
        <w:rPr>
          <w:sz w:val="20"/>
          <w:szCs w:val="20"/>
          <w:color w:val="auto"/>
        </w:rPr>
      </w:pPr>
    </w:p>
    <w:p>
      <w:pPr>
        <w:jc w:val="both"/>
        <w:ind w:left="80" w:firstLine="648"/>
        <w:spacing w:after="0" w:line="246" w:lineRule="auto"/>
        <w:rPr>
          <w:sz w:val="20"/>
          <w:szCs w:val="20"/>
          <w:color w:val="auto"/>
        </w:rPr>
      </w:pPr>
      <w:r>
        <w:rPr>
          <w:rFonts w:ascii="Times New Roman" w:cs="Times New Roman" w:eastAsia="Times New Roman" w:hAnsi="Times New Roman"/>
          <w:sz w:val="22"/>
          <w:szCs w:val="22"/>
          <w:color w:val="auto"/>
        </w:rPr>
        <w:t xml:space="preserve">XII. </w:t>
      </w:r>
      <w:r>
        <w:rPr>
          <w:rFonts w:ascii="Times New Roman" w:cs="Times New Roman" w:eastAsia="Times New Roman" w:hAnsi="Times New Roman"/>
          <w:sz w:val="22"/>
          <w:szCs w:val="22"/>
          <w:u w:val="single" w:color="auto"/>
          <w:color w:val="auto"/>
        </w:rPr>
        <w:t>Resolutions, Plan and Program</w:t>
      </w:r>
      <w:r>
        <w:rPr>
          <w:rFonts w:ascii="Times New Roman" w:cs="Times New Roman" w:eastAsia="Times New Roman" w:hAnsi="Times New Roman"/>
          <w:sz w:val="22"/>
          <w:szCs w:val="22"/>
          <w:color w:val="auto"/>
        </w:rPr>
        <w:t>. This Agreement is subject to all the provisions of the Resolutions, the Plan and the Program and their provisions are hereby made a part of this Agreement and incorporated herein by reference, including, without limitation, the provisions of Articles 5 and 9 of the Plan (relating to Performance-Based Compensation and Performance Awards, respectively) and Section 13.2 of the Plan (relating to adjustments upon changes in the Common Stock), and is further subject to all interpretations, amendments, rules and regulations which may from time to time be promulgated and adopted pursuant to the Plan. In the event of any conflict between the provisions of this Agreement and those of the Resolutions, the Plan and the Program, the provisions of the Plan shall control. Notwithstanding any provision of this Agreement or the Program to the contrary, any earned Performance Units paid in cash rather than Shares shall not be deemed to have been issued by the Company for any purpose under the Plan.</w:t>
      </w:r>
    </w:p>
    <w:p>
      <w:pPr>
        <w:spacing w:after="0" w:line="23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XIII. </w:t>
      </w:r>
      <w:r>
        <w:rPr>
          <w:rFonts w:ascii="Times New Roman" w:cs="Times New Roman" w:eastAsia="Times New Roman" w:hAnsi="Times New Roman"/>
          <w:sz w:val="22"/>
          <w:szCs w:val="22"/>
          <w:u w:val="single" w:color="auto"/>
          <w:color w:val="auto"/>
        </w:rPr>
        <w:t>No Compensation Deferral</w:t>
      </w:r>
      <w:r>
        <w:rPr>
          <w:rFonts w:ascii="Times New Roman" w:cs="Times New Roman" w:eastAsia="Times New Roman" w:hAnsi="Times New Roman"/>
          <w:sz w:val="22"/>
          <w:szCs w:val="22"/>
          <w:color w:val="auto"/>
        </w:rPr>
        <w:t>. The Performance Units are not intended to constitute “nonqualified deferred compensation” within the meaning of Section 409A of the U.S. Internal Revenue Code of 1986, as amended from time to time (together with the regulations and official guidance promulgated thereunder,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However, if at any time the Committee determines that the Performance Units may be subject to Section 409A of the Code, the Committee shall have the right, in its sole discretion, and without your prior consent to amend the Program as it may determine is necessary or desirable either for the Performance Units to be exempt from the application of Section 409A of the Code or to satisfy the requirements of Section 409A of the Code, including by adding conditions with respect to the vesting and/or the payment of the Performance Units, provided that no such amendment may change the Program’s “performance goals,” within the meaning of Section 162(m) of the Code, with respect to any person who is a “covered employee,” within the meaning of Section 162(m) of the Code. Any such amendment to the Program may in the Committee’s sole discretion apply retroactively to this award of Performance Units.</w:t>
      </w:r>
    </w:p>
    <w:p>
      <w:pPr>
        <w:spacing w:after="0" w:line="230"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1"/>
          <w:szCs w:val="21"/>
          <w:color w:val="auto"/>
        </w:rPr>
        <w:t>XIV.</w:t>
      </w:r>
      <w:r>
        <w:rPr>
          <w:sz w:val="20"/>
          <w:szCs w:val="20"/>
          <w:color w:val="auto"/>
        </w:rPr>
        <w:tab/>
      </w:r>
      <w:r>
        <w:rPr>
          <w:rFonts w:ascii="Times New Roman" w:cs="Times New Roman" w:eastAsia="Times New Roman" w:hAnsi="Times New Roman"/>
          <w:sz w:val="21"/>
          <w:szCs w:val="21"/>
          <w:u w:val="single" w:color="auto"/>
          <w:color w:val="auto"/>
        </w:rPr>
        <w:t>Provisions Applicable to Participants in Foreign Jurisdictions</w:t>
      </w:r>
      <w:r>
        <w:rPr>
          <w:rFonts w:ascii="Times New Roman" w:cs="Times New Roman" w:eastAsia="Times New Roman" w:hAnsi="Times New Roman"/>
          <w:sz w:val="21"/>
          <w:szCs w:val="21"/>
          <w:color w:val="auto"/>
        </w:rPr>
        <w:t>. Notwithstanding any provision of this Agreement</w:t>
      </w:r>
    </w:p>
    <w:p>
      <w:pPr>
        <w:spacing w:after="0" w:line="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or the Program to the contrary, if you are employed by the Company or an Affiliate in any of the countries identified in the attached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(which constitutes a part of this Agreement), are subject to the laws of any foreign jurisdiction, or relocate to one of the countries included in the attached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 your award of Performance Units shall be subject to any special terms and conditions for such country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and to the following additional terms and conditions:</w:t>
      </w:r>
    </w:p>
    <w:p>
      <w:pPr>
        <w:spacing w:after="0" w:line="226" w:lineRule="exact"/>
        <w:rPr>
          <w:sz w:val="20"/>
          <w:szCs w:val="20"/>
          <w:color w:val="auto"/>
        </w:rPr>
      </w:pPr>
    </w:p>
    <w:p>
      <w:pPr>
        <w:ind w:firstLine="1305"/>
        <w:spacing w:after="0" w:line="271" w:lineRule="auto"/>
        <w:tabs>
          <w:tab w:leader="none" w:pos="192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and conditions of this Agreement, including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are deemed modified to the extent necessary or advisable to comply with applicable foreign laws or facilitate the administration of the Plan and the Program;</w:t>
      </w:r>
    </w:p>
    <w:p>
      <w:pPr>
        <w:spacing w:after="0" w:line="198"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1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the effectiveness of your Award is conditioned upon its compliance with any applicable foreign laws, regulations, rules or local governmental regulatory exemption and subject to receipt of any required foreign regulatory approvals;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9" w:right="239" w:bottom="1440" w:gutter="0" w:footer="0" w:header="0"/>
        </w:sectPr>
      </w:pPr>
    </w:p>
    <w:bookmarkStart w:id="88" w:name="page89"/>
    <w:bookmarkEnd w:id="88"/>
    <w:p>
      <w:pPr>
        <w:ind w:firstLine="1305"/>
        <w:spacing w:after="0" w:line="271" w:lineRule="auto"/>
        <w:tabs>
          <w:tab w:leader="none" w:pos="178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necessary to comply with applicable foreign laws, the payment of any earned Performance Units shall be made in cash or Common Stock, at the Company’s election; and</w:t>
      </w:r>
    </w:p>
    <w:p>
      <w:pPr>
        <w:spacing w:after="0" w:line="157" w:lineRule="exact"/>
        <w:rPr>
          <w:rFonts w:ascii="Times New Roman" w:cs="Times New Roman" w:eastAsia="Times New Roman" w:hAnsi="Times New Roman"/>
          <w:sz w:val="22"/>
          <w:szCs w:val="22"/>
          <w:color w:val="auto"/>
        </w:rPr>
      </w:pPr>
    </w:p>
    <w:p>
      <w:pPr>
        <w:ind w:right="20" w:firstLine="1305"/>
        <w:spacing w:after="0" w:line="295" w:lineRule="auto"/>
        <w:tabs>
          <w:tab w:leader="none" w:pos="1772"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may take any other action, before or after an award of Performance Units is made, that it deems necessary or advisable to obtain approval or comply with any necessary local governmental regulatory exemptions or approvals.</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Notwithstanding anything to the contrary contained herein, the Company shall not take any actions hereunder, and no Award of Performance Units shall be granted, and no Shares payable with respect to an Award shall be issued, that would violate the Securities Act, the Exchange Act, the Code, or any other securities or tax or other applicable law or regulation, or the rules of any Securities Exchange. Notwithstanding anything to the contrary contained herein, no Shares issuable with respect to an Award shall be issued unless such shares are then registered under the Securities Act, or, if such shares are not then so registered, the Company has determined that such issuance would be exempt from the registration requirements of the Securities Act and that the issuance satisfied all other applicable legal requirements.</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XV. </w:t>
      </w:r>
      <w:r>
        <w:rPr>
          <w:rFonts w:ascii="Times New Roman" w:cs="Times New Roman" w:eastAsia="Times New Roman" w:hAnsi="Times New Roman"/>
          <w:sz w:val="22"/>
          <w:szCs w:val="22"/>
          <w:b w:val="1"/>
          <w:bCs w:val="1"/>
          <w:i w:val="1"/>
          <w:iCs w:val="1"/>
          <w:u w:val="single" w:color="auto"/>
          <w:color w:val="auto"/>
        </w:rPr>
        <w:t>Data Privacy and Notice of Consent</w:t>
      </w:r>
      <w:r>
        <w:rPr>
          <w:rFonts w:ascii="Times New Roman" w:cs="Times New Roman" w:eastAsia="Times New Roman" w:hAnsi="Times New Roman"/>
          <w:sz w:val="22"/>
          <w:szCs w:val="22"/>
          <w:b w:val="1"/>
          <w:bCs w:val="1"/>
          <w:i w:val="1"/>
          <w:iCs w:val="1"/>
          <w:color w:val="auto"/>
        </w:rPr>
        <w:t>. You hereby explicitly and unambiguously consent to the collection, 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and transfer, in electronic or other form, of your personal data as described in this Agreement by and among, as applicable, the Employer, the Company, and any Affiliates of the Company for the exclusive purpose of implementing, administering and managing your participation in the Plan and the Program.</w:t>
      </w:r>
    </w:p>
    <w:p>
      <w:pPr>
        <w:spacing w:after="0" w:line="172"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the Company and the Employer may hold certain personal information about you, including, but not limited to, your name, home address and telephone number, date of birth, social insurance number (to the extent permitted under applicable local law) or other identification number, salary, nationality, job title, residency status, any shares of stock or directorships held in the Company, details of all equity compensation or any other entitlement to shares awarded, canceled, vested, unvested or outstanding in your favor, for the purpose of implementing, administering and managing the Plan and the Program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w:t>
      </w:r>
    </w:p>
    <w:p>
      <w:pPr>
        <w:spacing w:after="0" w:line="175"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Data may be transferred to Merrill Lynch Bank &amp; Trust Co., FSB (or any successor thereto), any third parties assisting in the implementation, administration and management of the Plan and the Program, that these recipients may be located in your country, or elsewhere, including outside the European Economic Area and that the recipient’s country (e.g., the United States) may have different data privacy laws and protections than your country. You understand that if you reside outside the United States, you may request a list with the names and addresses of any potential recipients of the Data by contacting your local human resources representative. You authorize the Employer, the Company, Affiliates of the Company, Merrill Lynch Bank &amp; Trust Co., FSB (or any successor thereto), and any other possible recipients which may assist the Company (presently or in the future) with implementing, administering and managing your participation in the Plan and the Program to receive, possess, use, retain and transfer the Data, in electronic or other form, for the purposes of implementing, administering and managing your participation in the Plan and the Program, including any requisite transfer of such Data as may be required to a broker, escrow agent or other third party with whom the shares received upon vesting of the Performance Units may be deposited. You understand that Data will be held only as long as is necessary to implement, administer and manage your participation in the Plan and the Program. You understand that if you reside outside the United States,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8" w:right="239" w:bottom="1440" w:gutter="0" w:footer="0" w:header="0"/>
        </w:sectPr>
      </w:pPr>
    </w:p>
    <w:bookmarkStart w:id="89" w:name="page90"/>
    <w:bookmarkEnd w:id="89"/>
    <w:p>
      <w:pPr>
        <w:jc w:val="both"/>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employment status or service and career with the Employer will not be adversely affected; the only adverse consequence of refusing or withdrawing your consent is that the Company would not be able to grant you Performance Units or other equity awards or administer or maintain such awards. Therefore, you understand that refusing or withdrawing your consent may affect your ability to participate in the Plan and the Program. For more information on the consequences of your refusal to consent or withdrawal of consent, you understand that you may contact your local human resources representative.</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XVI. </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you have received this Agreement or any other document related to the Plan and/or the Program translated into a language other than English and if the meaning of the translated version is different than the English version, the English version will control.</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XVII.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XVIII.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22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XIX. </w:t>
      </w: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and/or the Program by electronic means. You hereby consent to receive such documents by electronic delivery and agree to participate in the Plan through an on-line or electronic system established and maintained by the Company or another third party designated by the Company.</w:t>
      </w:r>
    </w:p>
    <w:p>
      <w:pPr>
        <w:spacing w:after="0" w:line="220" w:lineRule="exact"/>
        <w:rPr>
          <w:sz w:val="20"/>
          <w:szCs w:val="20"/>
          <w:color w:val="auto"/>
        </w:rPr>
      </w:pPr>
    </w:p>
    <w:p>
      <w:pPr>
        <w:jc w:val="both"/>
        <w:ind w:firstLine="656"/>
        <w:spacing w:after="0" w:line="252" w:lineRule="auto"/>
        <w:tabs>
          <w:tab w:leader="none" w:pos="166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your participation in the Plan and the Program, on the Performance Units and on any Shares acquired under the Plan and the Program, to the extent the Company determines it is necessary or advisable for legal or administrative reasons, and to require you to sign any additional agreements or undertakings that may be necessary to accomplish the foregoing.</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XXI.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9" w:right="239" w:bottom="1440" w:gutter="0" w:footer="0" w:header="0"/>
        </w:sectPr>
      </w:pPr>
    </w:p>
    <w:bookmarkStart w:id="90" w:name="page91"/>
    <w:bookmarkEnd w:id="90"/>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AMGEN INC.</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By:___________________________</w:t>
      </w:r>
    </w:p>
    <w:p>
      <w:pPr>
        <w:spacing w:after="0" w:line="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___ day of ______________, 20__.</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__________________________</w:t>
      </w:r>
    </w:p>
    <w:p>
      <w:pPr>
        <w:spacing w:after="0" w:line="200" w:lineRule="exact"/>
        <w:rPr>
          <w:sz w:val="20"/>
          <w:szCs w:val="20"/>
          <w:color w:val="auto"/>
        </w:rPr>
      </w:pPr>
    </w:p>
    <w:p>
      <w:pPr>
        <w:spacing w:after="0" w:line="23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19"/>
          </w:cols>
          <w:pgMar w:left="240" w:top="882" w:right="1440" w:bottom="1440" w:gutter="0" w:footer="0" w:header="0"/>
        </w:sectPr>
      </w:pPr>
    </w:p>
    <w:bookmarkStart w:id="91" w:name="page92"/>
    <w:bookmarkEnd w:id="91"/>
    <w:p>
      <w:pPr>
        <w:ind w:left="5060"/>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2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ADDITIONAL TERMS AND CONDITIONS OF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AMGEN INC. 2009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AND/OR RESTATED FROM TIME TO TIME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OF PERFORMANCE UNITS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COUNTRY)</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Certain capitalized terms used but not defined in this Appendix A shall have the meanings set forth in the Plan and/or the Agreement to which this Appendix is attached.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Appendix includes additional terms and conditions that govern any Performance Units granted under the Plan if, under applicable law, you are a resident of, are deemed to be a resident of or are working in one of the countries listed below. Furthermore, the additional terms and conditions that govern the Performance Units granted hereunder may apply to you if you relocate to one of the countries listed below and the Company shall, in its discretion, determine to what extent the terms and conditions contained herein shall apply to you.</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2014.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acquire Shares under the Plan, or when you subsequently sell Shares acquired under the Plan.</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addition, the notifications are general in nature and may not apply to your particular situation, and the Company is not in a position to assure you of any particular result. Accordingly, you are advised to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ALL NON-U.S. JURISDICTIONS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Insider Trading Restrictions/Market Abuse Laws. </w:t>
      </w:r>
      <w:r>
        <w:rPr>
          <w:rFonts w:ascii="Times New Roman" w:cs="Times New Roman" w:eastAsia="Times New Roman" w:hAnsi="Times New Roman"/>
          <w:sz w:val="21"/>
          <w:szCs w:val="21"/>
          <w:color w:val="auto"/>
        </w:rPr>
        <w:t>You acknowledge that, depending on your country, you may be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insider trading restrictions and/or market abuse laws, which may affect your ability to acquire or sell Shares or rights to Shares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Performance Units) under the Plan during such times as you are considered to have “inside information” regarding the Company (as defined by the laws in your country). Any restrictions under these laws or regulations are separate from and in addition to any restrictions that may be imposed under any applicable Company insider trading policy. You are responsible for ensuring your compliance with any applicable restrictions and are advised to speak with your personal legal advisor on this matter.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w:t>
      </w:r>
    </w:p>
    <w:p>
      <w:pPr>
        <w:sectPr>
          <w:pgSz w:w="11900" w:h="16838" w:orient="portrait"/>
          <w:cols w:equalWidth="0" w:num="1">
            <w:col w:w="11420"/>
          </w:cols>
          <w:pgMar w:left="240" w:top="365" w:right="239" w:bottom="1440" w:gutter="0" w:footer="0" w:header="0"/>
        </w:sectPr>
      </w:pPr>
    </w:p>
    <w:bookmarkStart w:id="92" w:name="page93"/>
    <w:bookmarkEnd w:id="92"/>
    <w:p>
      <w:pPr>
        <w:jc w:val="both"/>
        <w:spacing w:after="0" w:line="251" w:lineRule="auto"/>
        <w:rPr>
          <w:sz w:val="20"/>
          <w:szCs w:val="20"/>
          <w:color w:val="auto"/>
        </w:rPr>
      </w:pPr>
      <w:r>
        <w:rPr>
          <w:rFonts w:ascii="Times New Roman" w:cs="Times New Roman" w:eastAsia="Times New Roman" w:hAnsi="Times New Roman"/>
          <w:sz w:val="22"/>
          <w:szCs w:val="22"/>
          <w:b w:val="1"/>
          <w:bCs w:val="1"/>
          <w:u w:val="single" w:color="auto"/>
          <w:color w:val="auto"/>
        </w:rPr>
        <w:t>ALGERIA</w:t>
      </w:r>
      <w:r>
        <w:rPr>
          <w:rFonts w:ascii="Times New Roman" w:cs="Times New Roman" w:eastAsia="Times New Roman" w:hAnsi="Times New Roman"/>
          <w:sz w:val="22"/>
          <w:szCs w:val="22"/>
          <w:color w:val="auto"/>
        </w:rPr>
        <w:t>: This Award shall not be payable in shares of Common Stock, represents a right, subject to the other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applicable to this Award, to receive payment in cash payable only through the payroll of the applicable local employer of the recipient of this Award and funded solely by such applicable local employer, and does not represent an asset, or a right to receive an asset, outside Algeria. Neither the applicable local employer nor the recipient of this Award have provided or will provide consideration for this Award.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AUSTRALIA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Exchange control reporting is required for cash transactions exceeding AUD10,000 and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international fund transfers. If an Australian bank is assisting with the transaction, the bank will file the report on your behalf.</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If you acquire Shares under the Plan and offer the Shares for sale to a person or entity resident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Australia, the offer may be subject to disclosure requirements under Australian law. You should consult with your own legal advisor before making any such offer in Australia.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AUSTRIA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hold Shares acquired under the Plan outside of Austria, you must submit a report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Austrian National Bank. An exemption applies if the value of the shares as of any given quarter does not meet or exceed €30,000,000 or if the value of the shares in any given year as of December 31 does not meet or exceed €5,000,000. If the former threshold is exceeded, quarterly obligations are imposed, whereas if the latter threshold is exceeded, annual reports must be given. The quarterly reporting date is as of the last day of the respective quarter and the deadline for filing the quarterly report is the 15th day of the month following the end of the respective quarter. The annual reporting date is December 31 and the deadline for filing the annual report is January 31 of the following year.</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 separate reporting requirement applies when you sell Shares acquired under the Plan, receive a cash dividend paid on such shares or Dividend Equivalents paid in cash. In that case, there may be exchange control obligations if the cash proceeds are held outside of Austria. If the transaction volume of all accounts abroad exceeds €3,000,000, the movements and balances of all accounts must be reported monthly, as of the last day of the month, on or before the 15th day of the following month, on the prescribed form (</w:t>
      </w:r>
      <w:r>
        <w:rPr>
          <w:rFonts w:ascii="Times New Roman" w:cs="Times New Roman" w:eastAsia="Times New Roman" w:hAnsi="Times New Roman"/>
          <w:sz w:val="22"/>
          <w:szCs w:val="22"/>
          <w:i w:val="1"/>
          <w:iCs w:val="1"/>
          <w:color w:val="auto"/>
        </w:rPr>
        <w:t>Meldungen SI-Forderungen und/oder SI-Verpflichtungen</w:t>
      </w:r>
      <w:r>
        <w:rPr>
          <w:rFonts w:ascii="Times New Roman" w:cs="Times New Roman" w:eastAsia="Times New Roman" w:hAnsi="Times New Roman"/>
          <w:sz w:val="22"/>
          <w:szCs w:val="22"/>
          <w:color w:val="auto"/>
        </w:rPr>
        <w: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BELGIUM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Tax Reporting; Foreign Asset/Account Reporting Information. </w:t>
      </w:r>
      <w:r>
        <w:rPr>
          <w:rFonts w:ascii="Times New Roman" w:cs="Times New Roman" w:eastAsia="Times New Roman" w:hAnsi="Times New Roman"/>
          <w:sz w:val="22"/>
          <w:szCs w:val="22"/>
          <w:color w:val="auto"/>
        </w:rPr>
        <w:t>You are required to report any taxable income attributable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Award granted hereunder on your annual tax return. You are also required to report any security and bank accounts opened and maintained outside Belgium on your annual tax return. In a separate report, you are required to provide the National Bank of Belgium with the account details of any such foreign accounts.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- 2</w:t>
      </w:r>
    </w:p>
    <w:p>
      <w:pPr>
        <w:sectPr>
          <w:pgSz w:w="11900" w:h="16838" w:orient="portrait"/>
          <w:cols w:equalWidth="0" w:num="1">
            <w:col w:w="11420"/>
          </w:cols>
          <w:pgMar w:left="240" w:top="581"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2"/>
          <w:szCs w:val="22"/>
          <w:b w:val="1"/>
          <w:bCs w:val="1"/>
          <w:u w:val="single" w:color="auto"/>
          <w:color w:val="auto"/>
        </w:rPr>
        <w:t>BRAZIL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Compliance with Law</w:t>
      </w:r>
      <w:r>
        <w:rPr>
          <w:rFonts w:ascii="Times New Roman" w:cs="Times New Roman" w:eastAsia="Times New Roman" w:hAnsi="Times New Roman"/>
          <w:sz w:val="22"/>
          <w:szCs w:val="22"/>
          <w:color w:val="auto"/>
        </w:rPr>
        <w:t>. By accepting the Performance Units, you acknowledge that you agree to comply with applicable Brazilian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and pay any and all applicable taxes associated with the vesting of the Performance Units, the sale of Shares acquired under the Plan, the payment of dividends on such shares and the receipt of any Dividend Equivalent paid in cash.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Acknowledgement of Nature of Plan and Performance Units. </w:t>
      </w:r>
      <w:r>
        <w:rPr>
          <w:rFonts w:ascii="Times New Roman" w:cs="Times New Roman" w:eastAsia="Times New Roman" w:hAnsi="Times New Roman"/>
          <w:sz w:val="22"/>
          <w:szCs w:val="22"/>
          <w:color w:val="auto"/>
        </w:rPr>
        <w:t>This provision supplements Section IX of the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By accepting the Performance Units,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are resident or domiciled in Brazil, you will be required to submit annually a declaration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and rights held outside of Brazil to the Central Bank of Brazil if the aggregate value of such assets and rights equals or exceeds US$100,000. Assets and rights that must be reported include the following: (i) bank deposits; (ii) loans; (iii) financing transactions; (iv) leases; (v) direct investments; (vi) portfolio investments, including Shares acquired under the Plan; (vii) financial derivatives investments; and (viii) other investments, including real estate and other assets.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Brazil valued at less than US$100,000 are not required to submit a declaration.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BULGARIA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Termination of Service. </w:t>
      </w:r>
      <w:r>
        <w:rPr>
          <w:rFonts w:ascii="Times New Roman" w:cs="Times New Roman" w:eastAsia="Times New Roman" w:hAnsi="Times New Roman"/>
          <w:sz w:val="22"/>
          <w:szCs w:val="22"/>
          <w:color w:val="auto"/>
        </w:rPr>
        <w:t>This provision supplements Section IX(j) of the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the event of involuntary termination of your employment (whether or not in breach of local labor laws), your right to receive an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Award and vest in such Award under the Plan and the Program, if any, will terminate effective as of the date that is the earlier of:</w:t>
      </w:r>
    </w:p>
    <w:p>
      <w:pPr>
        <w:spacing w:after="0" w:line="4" w:lineRule="exact"/>
        <w:rPr>
          <w:sz w:val="20"/>
          <w:szCs w:val="20"/>
          <w:color w:val="auto"/>
        </w:rPr>
      </w:pPr>
    </w:p>
    <w:p>
      <w:pPr>
        <w:jc w:val="both"/>
        <w:ind w:firstLine="8"/>
        <w:spacing w:after="0" w:line="244" w:lineRule="auto"/>
        <w:tabs>
          <w:tab w:leader="none" w:pos="33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you receive notice of termination of employment from the Company or your Employer, or (2) the date you are no longer actively employed by the Company or your Employer regardless of any notice period or period of pay in lieu of such notice required under local law (including, but not limited to statutory law, regulatory law and/or common law). Your right, if any, to acquire Shares pursuant to an Award after termination of employment will be measured by the date of termination of your active employment and will not be extended by any notice period mandated under local law;</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- 3</w:t>
      </w:r>
    </w:p>
    <w:p>
      <w:pPr>
        <w:sectPr>
          <w:pgSz w:w="11900" w:h="16838" w:orient="portrait"/>
          <w:cols w:equalWidth="0" w:num="1">
            <w:col w:w="11420"/>
          </w:cols>
          <w:pgMar w:left="240" w:top="365" w:right="239" w:bottom="1440" w:gutter="0" w:footer="0" w:header="0"/>
        </w:sectPr>
      </w:pPr>
    </w:p>
    <w:bookmarkStart w:id="94" w:name="page95"/>
    <w:bookmarkEnd w:id="94"/>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Form of Settlement -- Performance Units Payable Only in Shares. </w:t>
      </w:r>
      <w:r>
        <w:rPr>
          <w:rFonts w:ascii="Times New Roman" w:cs="Times New Roman" w:eastAsia="Times New Roman" w:hAnsi="Times New Roman"/>
          <w:sz w:val="22"/>
          <w:szCs w:val="22"/>
          <w:color w:val="auto"/>
        </w:rPr>
        <w:t>Notwithstanding any discretion in the Plan or the Program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anything to the contrary in the Agreement, the Award does not provide any right for you, as a resident of Canada, to receive a cash payment and shall be paid in Shares only.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following provisions will apply to you if you are a resident of Quebec:</w:t>
      </w:r>
    </w:p>
    <w:p>
      <w:pPr>
        <w:spacing w:after="0" w:line="22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The parties acknowledge that it is their express wish that the Agreement, as well as all documents, 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legal proceedings entered into, given or instituted pursuant hereto or relating directly or indirectly hereto, be drawn up in English.</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Les parties reconnaissent avoir exigé la rédaction en anglais de cette convention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ainsi que de tous documents exécutés, avis donnés et procédures judiciaries intentées, directement ou indirectement, relativement à ou suite à la présente convention.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Notice and Consent. </w:t>
      </w:r>
      <w:r>
        <w:rPr>
          <w:rFonts w:ascii="Times New Roman" w:cs="Times New Roman" w:eastAsia="Times New Roman" w:hAnsi="Times New Roman"/>
          <w:sz w:val="22"/>
          <w:szCs w:val="22"/>
          <w:color w:val="auto"/>
        </w:rPr>
        <w:t>This provision supplements Section XV of the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You hereby authorize the Company and the Company’s representative to discuss with and obtain all relevant information from all personnel (professional or not) involved in the administration and operation of the Plan and the Program. You further authorize the Company and your Employer to disclose and discuss your participation in the Plan with their advisors. You also authorize the Company and your Employer to record such information and keep it in your employee file.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You are permitted to sell Shares acquired through the Plan through the designated broker appointed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Plan, if any, provided that the resale of such shares takes place outside of Canada through the facilities of a stock exchange on which the shares are listed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NASDAQ Global Select Market).</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You are required to report any foreign property (including Shares acquired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on form T1135 (Foreign Income Verification Statement) if the total value of the foreign property exceeds C$100,000 at any time in the year. It is not certain if Performance Units qualify as foreign property for purposes of this reporting obligation. The form must be filed by April 30 of the following year. It is your responsibility to comply with this reporting obligation and you should consult your personal tax advisor in this regard.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CHILE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Pursuant to Ruling No. 99 of 2001 issued by the Chilean Superintendence of Securities (“</w:t>
      </w:r>
      <w:r>
        <w:rPr>
          <w:rFonts w:ascii="Times New Roman" w:cs="Times New Roman" w:eastAsia="Times New Roman" w:hAnsi="Times New Roman"/>
          <w:sz w:val="22"/>
          <w:szCs w:val="22"/>
          <w:u w:val="single" w:color="auto"/>
          <w:color w:val="auto"/>
        </w:rPr>
        <w:t>CSS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neither the Performance Units nor any Shares acquired under the Plan will be registered under the Registry of Securities held by the CSS nor are they under the control or supervision of the CSS.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are not required to repatriate funds obtained from the sale of shares or the receipt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dividends or Dividend Equivalents. However, if you decide to repatriate such funds, you must do so through the Formal Exchange Market if the amount of funds exceeds US$10,000. In such case, you must report the payment to a commercial bank or registered foreign exchange office receiving the funds.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- 4</w:t>
      </w:r>
    </w:p>
    <w:p>
      <w:pPr>
        <w:sectPr>
          <w:pgSz w:w="11900" w:h="16838" w:orient="portrait"/>
          <w:cols w:equalWidth="0" w:num="1">
            <w:col w:w="11420"/>
          </w:cols>
          <w:pgMar w:left="240" w:top="365" w:right="239" w:bottom="1440" w:gutter="0" w:footer="0" w:header="0"/>
        </w:sectPr>
      </w:pPr>
    </w:p>
    <w:bookmarkStart w:id="95" w:name="page96"/>
    <w:bookmarkEnd w:id="95"/>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Tax Reporting and Registration Information. </w:t>
      </w:r>
      <w:r>
        <w:rPr>
          <w:rFonts w:ascii="Times New Roman" w:cs="Times New Roman" w:eastAsia="Times New Roman" w:hAnsi="Times New Roman"/>
          <w:sz w:val="22"/>
          <w:szCs w:val="22"/>
          <w:color w:val="auto"/>
        </w:rPr>
        <w:t>You must file Tax Form 1851 in relation to any Shares acquired under the Plan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held abroad and to any taxes paid abroad (if you will be seeking a credit against Chilean income tax owed) with the Chilean Internal Revenue Service (the “</w:t>
      </w:r>
      <w:r>
        <w:rPr>
          <w:rFonts w:ascii="Times New Roman" w:cs="Times New Roman" w:eastAsia="Times New Roman" w:hAnsi="Times New Roman"/>
          <w:sz w:val="22"/>
          <w:szCs w:val="22"/>
          <w:u w:val="single" w:color="auto"/>
          <w:color w:val="auto"/>
        </w:rPr>
        <w:t>CIRS</w:t>
      </w:r>
      <w:r>
        <w:rPr>
          <w:rFonts w:ascii="Times New Roman" w:cs="Times New Roman" w:eastAsia="Times New Roman" w:hAnsi="Times New Roman"/>
          <w:sz w:val="22"/>
          <w:szCs w:val="22"/>
          <w:color w:val="auto"/>
        </w:rPr>
        <w:t>”), The form must be submitted through the CIRS web page at www.sii.cl before March 15 of each year.</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Investments abroad must also be registered with the CIRS for you to be entitled to a foreign tax credit for any tax withheld on dividends abroad, if applicable, and such registration also provides evidence of the acquisition price of the shares (which will be zero) which you will need when the shares are sold. You are advised to consult with your personal legal advisor regarding how to register with the CIRS.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CHINA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The following terms apply only to individuals who are subject to exchange control restrictions in the People’s Republic of China (the “PRC”), as determined by the Company in its sole discretion</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Vesting of the Performance Units. </w:t>
      </w:r>
      <w:r>
        <w:rPr>
          <w:rFonts w:ascii="Times New Roman" w:cs="Times New Roman" w:eastAsia="Times New Roman" w:hAnsi="Times New Roman"/>
          <w:sz w:val="22"/>
          <w:szCs w:val="22"/>
          <w:color w:val="auto"/>
        </w:rPr>
        <w:t>Notwithstanding anything to the contrary in the Form of Award Notice or Award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Performance Units shall not vest or be considered earned until all necessary exchange control and other approvals from the PRC State Administration of Foreign Exchange or its local counterpart (“</w:t>
      </w:r>
      <w:r>
        <w:rPr>
          <w:rFonts w:ascii="Times New Roman" w:cs="Times New Roman" w:eastAsia="Times New Roman" w:hAnsi="Times New Roman"/>
          <w:sz w:val="22"/>
          <w:szCs w:val="22"/>
          <w:u w:val="single" w:color="auto"/>
          <w:color w:val="auto"/>
        </w:rPr>
        <w:t>SAFE</w:t>
      </w:r>
      <w:r>
        <w:rPr>
          <w:rFonts w:ascii="Times New Roman" w:cs="Times New Roman" w:eastAsia="Times New Roman" w:hAnsi="Times New Roman"/>
          <w:sz w:val="22"/>
          <w:szCs w:val="22"/>
          <w:color w:val="auto"/>
        </w:rPr>
        <w:t>”) have been received for Performance Units granted under the Plan. Once SAFE approval has been received, and provided you are then employed by the Company or an Affiliate, any portion of the Performance Units that was deemed earned prior to obtaining SAFE approval will then vest and Shares will be issuable to you in settlement of such Performance Units. If you terminate employment with the Company and its Affiliates prior to the receipt of SAFE approval, any Performance Units that are unvested pursuant to the preceding provision will be forfeited.</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Further, notwithstanding anything to the contrary in Article 7.1 of the Program, if your employment with the Company or an Affiliate terminates at any time during the Performance Period, you shall forfeit all Performance Units.</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Sale Requirement. </w:t>
      </w:r>
      <w:r>
        <w:rPr>
          <w:rFonts w:ascii="Times New Roman" w:cs="Times New Roman" w:eastAsia="Times New Roman" w:hAnsi="Times New Roman"/>
          <w:sz w:val="22"/>
          <w:szCs w:val="22"/>
          <w:color w:val="auto"/>
        </w:rPr>
        <w:t>Notwithstanding anything to the contrary in the Agreement, due to exchange control laws in the PRC,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that the Company reserves the right to require the immediate sale of any Shares acquired upon settlement of the Performance Units. You understand and agree that any such immediate sale of shares will occur as soon as is practical following settlement of the Performance Units. Alternatively, if the Shares are not immediately sold upon settlement of the Performance Units, the Company will require the sale of any shares you may then hold within six (6) months (or such other period as may be required under applicable legal or exchange control requirements) following the termination of your employment with the Company, including its Affiliates.</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You agree that the Company is authorized to instruct Merrill Lynch Bank and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- 5</w:t>
      </w:r>
    </w:p>
    <w:p>
      <w:pPr>
        <w:sectPr>
          <w:pgSz w:w="11900" w:h="16838" w:orient="portrait"/>
          <w:cols w:equalWidth="0" w:num="1">
            <w:col w:w="11420"/>
          </w:cols>
          <w:pgMar w:left="240" w:top="365" w:right="239" w:bottom="1440" w:gutter="0" w:footer="0" w:header="0"/>
        </w:sectPr>
      </w:pPr>
    </w:p>
    <w:bookmarkStart w:id="96" w:name="page97"/>
    <w:bookmarkEnd w:id="96"/>
    <w:p>
      <w:pPr>
        <w:jc w:val="both"/>
        <w:spacing w:after="0" w:line="248" w:lineRule="auto"/>
        <w:rPr>
          <w:sz w:val="20"/>
          <w:szCs w:val="20"/>
          <w:color w:val="auto"/>
        </w:rPr>
      </w:pPr>
      <w:r>
        <w:rPr>
          <w:rFonts w:ascii="Times New Roman" w:cs="Times New Roman" w:eastAsia="Times New Roman" w:hAnsi="Times New Roman"/>
          <w:sz w:val="22"/>
          <w:szCs w:val="22"/>
          <w:color w:val="auto"/>
        </w:rPr>
        <w:t>You acknowledge that Merrill Lynch Bank and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Designated Broker Account. </w:t>
      </w:r>
      <w:r>
        <w:rPr>
          <w:rFonts w:ascii="Times New Roman" w:cs="Times New Roman" w:eastAsia="Times New Roman" w:hAnsi="Times New Roman"/>
          <w:sz w:val="22"/>
          <w:szCs w:val="22"/>
          <w:color w:val="auto"/>
        </w:rPr>
        <w:t>If Shares issued upon the settlement of the Performance Units are not immediately sold,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 that you are required to maintain the shares in an account with Merrill Lynch Bank and Trust Co., FSB or such other designated broker as may be selected by the Company until the shares are sold through such Company-designated broker.</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Exchange Control Requirements. </w:t>
      </w:r>
      <w:r>
        <w:rPr>
          <w:rFonts w:ascii="Times New Roman" w:cs="Times New Roman" w:eastAsia="Times New Roman" w:hAnsi="Times New Roman"/>
          <w:sz w:val="22"/>
          <w:szCs w:val="22"/>
          <w:color w:val="auto"/>
        </w:rPr>
        <w:t>You understand and agree that, pursuant to local exchange control requirements, you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repatriate the cash proceeds from the sale of the Shares issued upon settlement of the Performance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the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Effective January 1, 2014, PRC residents are required to report to SAFE details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their foreign financial assets and liabilities, as well as details of any economic transactions conducted with non-PRC residents, either directly or through financial institutions. Shares or Performance Units acquired under the Plan and Plan-related transactions may be subject to reporting under these new rules. It is your responsibility to comply with this reporting obligation and you should consult your personal tax advisor in this regard.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COLOMBIA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Investment in assets located abroad (such as Shares acquired under the Plan) does not require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approval from the Central Bank (Banco de la República). However, if the value of your aggregate investments held abroad (including shares) equals or exceeds US$500,000 as of December 31 of the applicable calendar year, these investments must be registered with the Central Bank. Upon sale or other disposition of investments (including shares) which have been registered with the Central Bank,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- 6</w:t>
      </w:r>
    </w:p>
    <w:p>
      <w:pPr>
        <w:sectPr>
          <w:pgSz w:w="11900" w:h="16838" w:orient="portrait"/>
          <w:cols w:equalWidth="0" w:num="1">
            <w:col w:w="11420"/>
          </w:cols>
          <w:pgMar w:left="240" w:top="585" w:right="239" w:bottom="1440" w:gutter="0" w:footer="0" w:header="0"/>
        </w:sectPr>
      </w:pPr>
    </w:p>
    <w:bookmarkStart w:id="97" w:name="page98"/>
    <w:bookmarkEnd w:id="97"/>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registration with the Central Bank must be cancelled no later than March 31 of the year following the year of the sale or disposition (or a fine of up to 200% of the value of the infringing payment will apply).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CROATIA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Croatian residents must report any foreign investments (including Shares acquired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to the Croatian National Bank for statistical purposes and obtain prior approval of the Croatian National Bank for bank accounts opened abroad. You should be aware that exchange control regulations in Croatia are subject to frequent change and you are solely responsible for ensuring your continued compliance with current Croatian exchange control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CZECH REPUBLIC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Proceeds from the sale of Shares, any dividends paid on such shares or Dividend Equivalents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held in a cash account abroad and you are no longer required to report the opening and maintenance of a foreign account to the Czech National Bank (the “CNB”), unless the CNB notifies you specifically that such reporting is required. Upon request of the CNB, you may need to file a notification within 15 days of the end of the calendar quarter in which you acquire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DENMARK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Danish Stock Option Act. </w:t>
      </w:r>
      <w:r>
        <w:rPr>
          <w:rFonts w:ascii="Times New Roman" w:cs="Times New Roman" w:eastAsia="Times New Roman" w:hAnsi="Times New Roman"/>
          <w:sz w:val="22"/>
          <w:szCs w:val="22"/>
          <w:color w:val="auto"/>
        </w:rPr>
        <w:t>In accepting the Performance Units, you acknowledge that you have received an Employer 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translated into Danish, which is being provided to comply with the Danish Stock Option Act. To the extent more favorable to you and required to comply with the Stock Option Act, the terms set forth in the Employer Statement will apply to your participation in the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If you establish an account holding shares or an account holding cash outside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Denmark, you must report the account to the Danish Tax Administration. The form which should be used in this respect can be obtained from a local bank. (These obligations are separate from and in addition to the obligations described below.)</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Securities/Tax Reporting Information. </w:t>
      </w:r>
      <w:r>
        <w:rPr>
          <w:rFonts w:ascii="Times New Roman" w:cs="Times New Roman" w:eastAsia="Times New Roman" w:hAnsi="Times New Roman"/>
          <w:sz w:val="21"/>
          <w:szCs w:val="21"/>
          <w:color w:val="auto"/>
        </w:rPr>
        <w:t>If you hold Shares acquired under the Plan in a brokerage account with a broker or bank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outside Denmark, you are required to inform the Danish Tax Administration about the account. For this purpose, you must sign and file a Form V (</w:t>
      </w:r>
      <w:r>
        <w:rPr>
          <w:rFonts w:ascii="Times New Roman" w:cs="Times New Roman" w:eastAsia="Times New Roman" w:hAnsi="Times New Roman"/>
          <w:sz w:val="21"/>
          <w:szCs w:val="21"/>
          <w:i w:val="1"/>
          <w:iCs w:val="1"/>
          <w:color w:val="auto"/>
        </w:rPr>
        <w:t>Erklaering V</w:t>
      </w:r>
      <w:r>
        <w:rPr>
          <w:rFonts w:ascii="Times New Roman" w:cs="Times New Roman" w:eastAsia="Times New Roman" w:hAnsi="Times New Roman"/>
          <w:sz w:val="21"/>
          <w:szCs w:val="21"/>
          <w:color w:val="auto"/>
        </w:rPr>
        <w:t>) with the Danish Tax Administration. Both you and the broker or bank must sign the Form V. By signing the Form V, the broker or bank undertakes an obligation, without further request each year and not later than February 1 of the year following the calendar year to which the information relates, to forward information to the Danish Tax Administration concerning the shares in the account. In the event that the applicable broker or bank with which the account is held does not also sign the Form V, you acknowledge that you are solely responsible for providing certain details regarding the foreign brokerage or bank account and any Shares acquired under the Plan and held in such account to the Danish Tax Administration as part of your annual income tax return. By signing the Form V, you authorize the Danish Tax Administration to examine the account.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- 7</w:t>
      </w:r>
    </w:p>
    <w:p>
      <w:pPr>
        <w:sectPr>
          <w:pgSz w:w="11900" w:h="16838" w:orient="portrait"/>
          <w:cols w:equalWidth="0" w:num="1">
            <w:col w:w="11420"/>
          </w:cols>
          <w:pgMar w:left="240" w:top="369" w:right="239" w:bottom="1440" w:gutter="0" w:footer="0" w:header="0"/>
        </w:sectPr>
      </w:pPr>
    </w:p>
    <w:bookmarkStart w:id="98" w:name="page99"/>
    <w:bookmarkEnd w:id="98"/>
    <w:p>
      <w:pPr>
        <w:jc w:val="both"/>
        <w:spacing w:after="0" w:line="260" w:lineRule="auto"/>
        <w:rPr>
          <w:sz w:val="20"/>
          <w:szCs w:val="20"/>
          <w:color w:val="auto"/>
        </w:rPr>
      </w:pPr>
      <w:r>
        <w:rPr>
          <w:rFonts w:ascii="Times New Roman" w:cs="Times New Roman" w:eastAsia="Times New Roman" w:hAnsi="Times New Roman"/>
          <w:sz w:val="21"/>
          <w:szCs w:val="21"/>
          <w:color w:val="auto"/>
        </w:rPr>
        <w:t>In addition, if you open a brokerage account or a bank account with a U.S. bank, the account will be treated as a “deposit account” because cash can be held in the account. Therefore, you likely must also file a Form K (</w:t>
      </w:r>
      <w:r>
        <w:rPr>
          <w:rFonts w:ascii="Times New Roman" w:cs="Times New Roman" w:eastAsia="Times New Roman" w:hAnsi="Times New Roman"/>
          <w:sz w:val="21"/>
          <w:szCs w:val="21"/>
          <w:i w:val="1"/>
          <w:iCs w:val="1"/>
          <w:color w:val="auto"/>
        </w:rPr>
        <w:t>Erklaering K</w:t>
      </w:r>
      <w:r>
        <w:rPr>
          <w:rFonts w:ascii="Times New Roman" w:cs="Times New Roman" w:eastAsia="Times New Roman" w:hAnsi="Times New Roman"/>
          <w:sz w:val="21"/>
          <w:szCs w:val="21"/>
          <w:color w:val="auto"/>
        </w:rPr>
        <w:t xml:space="preserve">) with the Danish Tax Administration. The Form K must be signed by you and by the applicable broker or bank where the account is held, unless an exemption from the broker/bank signature requirement is obtained from the Danish Tax Administration (which exemption may be sought on the Form K itself). By signing the Form K, you (and the broker/bank to the extent the exemption is not obtained) undertake an obligation, without further request each year, to forward information to the Danish Tax Administration concerning the content of the account. If the applicable broker or bank does not sign the Form K for any reason, you are solely responsible for providing the necessary information to the Danish Tax Administration. By signing the Form K, you authorize the Danish Tax Administration to examine the account. A sample of Declaration K can be found at the following website: </w:t>
      </w:r>
      <w:r>
        <w:rPr>
          <w:rFonts w:ascii="Times New Roman" w:cs="Times New Roman" w:eastAsia="Times New Roman" w:hAnsi="Times New Roman"/>
          <w:sz w:val="21"/>
          <w:szCs w:val="21"/>
          <w:u w:val="single" w:color="auto"/>
          <w:color w:val="auto"/>
        </w:rPr>
        <w:t>www.skat.dk</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EGYPT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transfer funds into Egypt in connection with the Performance Units, you are required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the funds through a registered bank in Egypt.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FINLAND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By accepting the Award, you confirm having read and understood the Plan and Agreement which were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in the English language. You accept the terms of those documents accordingly.</w:t>
      </w:r>
    </w:p>
    <w:p>
      <w:pPr>
        <w:spacing w:after="0" w:line="1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En acceptant l’prix, vous confirmez avoir lu et compris le Plan et le Contrat, qui ont été communiqués en langue anglaise. Vous acceptez les termes de ces documents en connaissance de cause.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Further, if you hold Shares outside of France or maintain a foreign bank account,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are required to report such to the French tax authorities when filing your annual tax return. Failure to comply could trigger significant penalties.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Cross-border payments in excess of €12,500 must be reported monthly to the German Federal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In case of payments in connection with securities (including proceeds realized upon the sale of Shares or the receipt of dividends or Dividend Equivalents), the report must be made by the 5th day of the month following the month in which the payment was received and must be filed electronically. The form of report (</w:t>
      </w:r>
      <w:r>
        <w:rPr>
          <w:rFonts w:ascii="Times New Roman" w:cs="Times New Roman" w:eastAsia="Times New Roman" w:hAnsi="Times New Roman"/>
          <w:sz w:val="22"/>
          <w:szCs w:val="22"/>
          <w:i w:val="1"/>
          <w:iCs w:val="1"/>
          <w:color w:val="auto"/>
        </w:rPr>
        <w:t>Allgemeine Meldeportal Statistik</w:t>
      </w:r>
      <w:r>
        <w:rPr>
          <w:rFonts w:ascii="Times New Roman" w:cs="Times New Roman" w:eastAsia="Times New Roman" w:hAnsi="Times New Roman"/>
          <w:sz w:val="22"/>
          <w:szCs w:val="22"/>
          <w:color w:val="auto"/>
        </w:rPr>
        <w:t>) can be accessed via the Bundesbank’s website (www.bundesbank.de) and is available in both German and English. You are responsible for satisfying the reporting obligation..</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Appendix - 8</w:t>
      </w:r>
    </w:p>
    <w:p>
      <w:pPr>
        <w:sectPr>
          <w:pgSz w:w="11900" w:h="16838" w:orient="portrait"/>
          <w:cols w:equalWidth="0" w:num="1">
            <w:col w:w="11420"/>
          </w:cols>
          <w:pgMar w:left="240" w:top="369"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b w:val="1"/>
          <w:bCs w:val="1"/>
          <w:u w:val="single" w:color="auto"/>
          <w:color w:val="auto"/>
        </w:rPr>
        <w:t>GREECE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HONG KONG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i w:val="1"/>
          <w:iCs w:val="1"/>
          <w:color w:val="auto"/>
        </w:rPr>
        <w:t>SECURITIES WARNING: The Performance Units and any Shares issued in respect of Performance Units do not constitute a public offering of securities under Hong Kong law and are available only to Participants under the Program. The Agreement, including this Appendix, the Program,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Performance Units and any documentation related thereto are intended solely for the personal use of each Participant under the Program and may not be distributed to any other person. If you are in doubt about any of the contents of the Agreement, including this Appendix, the Program or the Plan, you should obtain independent professional advice.</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Form of Settlement- Performance Units Payable Only in Shares. </w:t>
      </w:r>
      <w:r>
        <w:rPr>
          <w:rFonts w:ascii="Times New Roman" w:cs="Times New Roman" w:eastAsia="Times New Roman" w:hAnsi="Times New Roman"/>
          <w:sz w:val="22"/>
          <w:szCs w:val="22"/>
          <w:color w:val="auto"/>
        </w:rPr>
        <w:t>Notwithstanding any discretion in the Plan or the Program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anything to the contrary in the Agreement, the Award does not provide any right for you, as a resident of Hong Kong, to receive a cash payment and shall be paid in Shares only.</w:t>
      </w:r>
    </w:p>
    <w:p>
      <w:pPr>
        <w:spacing w:after="0" w:line="1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Sale of Shares. </w:t>
      </w:r>
      <w:r>
        <w:rPr>
          <w:rFonts w:ascii="Times New Roman" w:cs="Times New Roman" w:eastAsia="Times New Roman" w:hAnsi="Times New Roman"/>
          <w:sz w:val="22"/>
          <w:szCs w:val="22"/>
          <w:color w:val="auto"/>
        </w:rPr>
        <w:t>In the event that Shares are issued in respect of Performance Units within six (6) months of the Grant Date,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that you will not dispose of such shares prior to the six (6)-month anniversary of the Grant Date.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HUNGARY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ICELAND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should consult with your personal advisor to ensure compliance with applicable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regulations in Iceland as such regulations are subject to frequent change. You are responsible for ensuring compliance with all exchange control laws in Iceland.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INDIA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understand that you must repatriate any cash dividends paid on Shares acquired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to India or any Dividend Equivalents paid in cash within 180 days of receipt, and the Program and any proceeds from the sale of shares acquired under the Plan and the Program to India within 90 days of receipt. You will receive a foreign inward remittance certificate (“FIRC”) from the bank where you deposit the foreign currency, and you must maintain the FIRC as proof of repatriation of funds in the event that the Reserve Bank of India or the Employer requests proof of repatriation. It is your responsibility to comply with these requirements.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- 9</w:t>
      </w:r>
    </w:p>
    <w:p>
      <w:pPr>
        <w:sectPr>
          <w:pgSz w:w="11900" w:h="16838" w:orient="portrait"/>
          <w:cols w:equalWidth="0" w:num="1">
            <w:col w:w="11420"/>
          </w:cols>
          <w:pgMar w:left="240" w:top="581" w:right="239" w:bottom="1440" w:gutter="0" w:footer="0" w:header="0"/>
        </w:sectPr>
      </w:pPr>
    </w:p>
    <w:bookmarkStart w:id="100" w:name="page101"/>
    <w:bookmarkEnd w:id="100"/>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Foreign Asset/Account Reporting Information</w:t>
      </w:r>
      <w:r>
        <w:rPr>
          <w:rFonts w:ascii="Times New Roman" w:cs="Times New Roman" w:eastAsia="Times New Roman" w:hAnsi="Times New Roman"/>
          <w:sz w:val="22"/>
          <w:szCs w:val="22"/>
          <w:color w:val="auto"/>
        </w:rPr>
        <w:t>. You are required to declare foreign bank accounts and any foreign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(including Shares held outside India) in your annual tax return. It is your responsibility to comply with this reporting obligation and you should consult your personal tax advisor in this regard.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IRELAND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Nature of Grant. </w:t>
      </w:r>
      <w:r>
        <w:rPr>
          <w:rFonts w:ascii="Times New Roman" w:cs="Times New Roman" w:eastAsia="Times New Roman" w:hAnsi="Times New Roman"/>
          <w:sz w:val="22"/>
          <w:szCs w:val="22"/>
          <w:color w:val="auto"/>
        </w:rPr>
        <w:t>This provision supplements Section IX of the Agreement:</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accepting the Award granted hereunder, you acknowledge your understanding and agreement that the benefits received under the Plan will not be taken into account for any redundancy or unfair dismissal claim.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Director Notification Requirements. </w:t>
      </w:r>
      <w:r>
        <w:rPr>
          <w:rFonts w:ascii="Times New Roman" w:cs="Times New Roman" w:eastAsia="Times New Roman" w:hAnsi="Times New Roman"/>
          <w:sz w:val="22"/>
          <w:szCs w:val="22"/>
          <w:color w:val="auto"/>
        </w:rPr>
        <w:t>If you are a director, shadow director or secretary of an Irish Affiliate, you must notify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Irish Affiliate in writing within five (5) business days of receiving or disposing of an interest in the Company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an Award or Shares), or within five (5) business days of becoming aware of the event giving rise to the notification requirement, or within five</w:t>
      </w:r>
    </w:p>
    <w:p>
      <w:pPr>
        <w:spacing w:after="0" w:line="1" w:lineRule="exact"/>
        <w:rPr>
          <w:sz w:val="20"/>
          <w:szCs w:val="20"/>
          <w:color w:val="auto"/>
        </w:rPr>
      </w:pPr>
    </w:p>
    <w:p>
      <w:pPr>
        <w:jc w:val="both"/>
        <w:ind w:firstLine="8"/>
        <w:spacing w:after="0" w:line="246" w:lineRule="auto"/>
        <w:tabs>
          <w:tab w:leader="none" w:pos="30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of becoming a director or secretary if such an interest exists at the time. This notification requirement also applies with respect to the interests of a spouse or minor children (whose interests, if any, will be attributed to the director, shadow director or secretary).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ITALY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Notice. </w:t>
      </w:r>
      <w:r>
        <w:rPr>
          <w:rFonts w:ascii="Times New Roman" w:cs="Times New Roman" w:eastAsia="Times New Roman" w:hAnsi="Times New Roman"/>
          <w:sz w:val="22"/>
          <w:szCs w:val="22"/>
          <w:color w:val="auto"/>
        </w:rPr>
        <w:t>The following provision replaces Section XV of the Agreement:</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the Employer, the Company and any Affiliate may hold certain personal information about you, including, but not limited to, your name, home address and telephone number, date of birth, social insurance (to the extent permitted under Italian law) or other identification number, salary, nationality, job title, any shares or directorships held in the Company or any Affiliate, details of all Awards granted, or any other entitlement to Shares awarded, canceled, exercised, vested, unvested or outstanding in your favor, for the exclusive purpose of implementing, managing and administering the Plan and the Program (“Data”).</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You also understand that providing the Company with Data is necessary for the performance of the Plan and the Program and that your refusal to provide such Data would make it impossible for the Company to perform its contractual obligations and may affect your ability to participate in the Plan and the Program. The Controller of personal data processing is Amgen Inc., with registered offices at One Amgen Center Drive, Thousand Oaks, California 91320, U.S.A., and, pursuant to Legislative Decree no. 196/2003, its Representative in Italy for privacy purposes is Amgen Dompe S.p.A., with registered offices at Via Tazzoli, 6 - 20154 Milan, Italy.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Data will not be publicized, but it may be transferred to banks, other financial institutions, or brokers involved in the management and administration of the Plan and the Program. You understand that Data may also be transferred to the independent registered public accounting firm engaged by the Company. You further understand that the Company and/or any Affiliate will transfer Data among</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- 10</w:t>
      </w:r>
    </w:p>
    <w:p>
      <w:pPr>
        <w:sectPr>
          <w:pgSz w:w="11900" w:h="16838" w:orient="portrait"/>
          <w:cols w:equalWidth="0" w:num="1">
            <w:col w:w="11420"/>
          </w:cols>
          <w:pgMar w:left="240" w:top="581" w:right="239" w:bottom="1440" w:gutter="0" w:footer="0" w:header="0"/>
        </w:sectPr>
      </w:pPr>
    </w:p>
    <w:bookmarkStart w:id="101" w:name="page102"/>
    <w:bookmarkEnd w:id="101"/>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themselves as necessary for the purposes of implementing, administering and managing your participation in the Plan and the Program, and that the Company and/or any Affiliate may each further transfer Data to third parties assisting the Company in the implementation, administration, and management of the Plan and the Program, including any requisite transfer of Data to a broker or other third party with whom you may elect to deposit any Shares issued in respect of the Award. Such recipients may receive, possess, use, retain, and transfer Data in electronic or other form, for the purposes of implementing, administering, and managing your participation in the Plan and the Program. You understand that these recipients may be located in or outside the European Economic Area, such as in the United States or elsewhere. Should the Company exercise its discretion in suspending all necessary legal obligations connected with the management and administration of the Plan and the Program, it will delete Data as soon as it has completed all the necessary legal obligations connected with the management and administration of the Plan and the Program.</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The processing activity, including communication, the transfer of Data abroad, including outside of the European Economic Area, as herein specified and pursuant to applicable laws and regulations, does not require your consent thereto, as the processing is necessary to performance of contractual obligations related to implementation, administration, and management of the Plan. You understand that, pursuant to Section 7 of the Legislative Decree no. 196/2003, you have the right to, including but not limited to, access, delete, update, correct, or terminate, for legitimate reason, the Data processing.</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b w:val="1"/>
          <w:bCs w:val="1"/>
          <w:i w:val="1"/>
          <w:iCs w:val="1"/>
          <w:color w:val="auto"/>
        </w:rPr>
        <w:t>Furthermore, you are aware that Data will not be used for direct-marketing purposes. In addition, Data provided can be reviewed and questions or complaints can be addressed by contacting your local human resources representative.</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Acknowledgement of Nature of Grant. </w:t>
      </w:r>
      <w:r>
        <w:rPr>
          <w:rFonts w:ascii="Times New Roman" w:cs="Times New Roman" w:eastAsia="Times New Roman" w:hAnsi="Times New Roman"/>
          <w:sz w:val="22"/>
          <w:szCs w:val="22"/>
          <w:color w:val="auto"/>
        </w:rPr>
        <w:t>By accepting the Award granted hereunder, you acknowledge that (1) you have received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copy of the Plan, the Program, the Agreement and this Appendix; (2) you have reviewed the applicable documents in their entirety and fully understand the contents thereof; and (3) you accept all provisions of the Plan, the Program, the Agreement and this Appendix.</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 further acknowledge that you have read and specifically and explicitly approve, without limitation, the following sections of the Agreement: Section III, Section IV, Section V, Section IX, Section IV, Section XV (as replaced by the above consent), Section XVI and Section XX.</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Italian residents who, at any time during the fiscal year, hold foreign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Foreign Financial Assets Tax. </w:t>
      </w:r>
      <w:r>
        <w:rPr>
          <w:rFonts w:ascii="Times New Roman" w:cs="Times New Roman" w:eastAsia="Times New Roman" w:hAnsi="Times New Roman"/>
          <w:sz w:val="22"/>
          <w:szCs w:val="22"/>
          <w:color w:val="auto"/>
        </w:rPr>
        <w:t>The fair market value of any Shares held outside of Italy is subject to a foreign assets tax.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market value is considered to be the value of the Shares on the NASDAQ Global Select Market on December 31 of each year or on the last day in the applicable year on which you held the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- 11</w:t>
      </w:r>
    </w:p>
    <w:p>
      <w:pPr>
        <w:sectPr>
          <w:pgSz w:w="11900" w:h="16838" w:orient="portrait"/>
          <w:cols w:equalWidth="0" w:num="1">
            <w:col w:w="11420"/>
          </w:cols>
          <w:pgMar w:left="240" w:top="363" w:right="239" w:bottom="1440" w:gutter="0" w:footer="0" w:header="0"/>
        </w:sectPr>
      </w:pPr>
    </w:p>
    <w:bookmarkStart w:id="102" w:name="page103"/>
    <w:bookmarkEnd w:id="102"/>
    <w:p>
      <w:pPr>
        <w:jc w:val="both"/>
        <w:spacing w:after="0" w:line="271" w:lineRule="auto"/>
        <w:rPr>
          <w:sz w:val="20"/>
          <w:szCs w:val="20"/>
          <w:color w:val="auto"/>
        </w:rPr>
      </w:pPr>
      <w:r>
        <w:rPr>
          <w:rFonts w:ascii="Times New Roman" w:cs="Times New Roman" w:eastAsia="Times New Roman" w:hAnsi="Times New Roman"/>
          <w:sz w:val="22"/>
          <w:szCs w:val="22"/>
          <w:color w:val="auto"/>
        </w:rPr>
        <w:t>shares (or when the shares are acquired during the course of the year, the tax is levied in proportion to the actual days of holding over the calendar year). You should consult with your personal tax advisor about the foreign financial assets tax.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JAPAN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Foreign Asset/Account Reporting Information</w:t>
      </w:r>
      <w:r>
        <w:rPr>
          <w:rFonts w:ascii="Times New Roman" w:cs="Times New Roman" w:eastAsia="Times New Roman" w:hAnsi="Times New Roman"/>
          <w:sz w:val="22"/>
          <w:szCs w:val="22"/>
          <w:color w:val="auto"/>
        </w:rPr>
        <w:t>. You will be required to report to the Japanese tax authorities details of any assets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JORDAN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KOREA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are required to repatriate any proceeds in excess of US$500,000 realized in a single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from the sale of Shares or the receipt of dividends or Dividend Equivalents to Korea within 18 months of receipt.</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You are required to declare all foreign financial accounts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non-Korean bank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brokerage accounts holding Shares, etc.) to the Korean tax authority and file a report regarding such accounts if the value of such accounts exceeds KRW1,000,000,000 (or an equivalent amount in foreign currency). You should consult with your personal tax advisor to ensure compliance with this requirement.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LEBANON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LITHUANIA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MEXICO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Acknowledgement of the Grant. </w:t>
      </w:r>
      <w:r>
        <w:rPr>
          <w:rFonts w:ascii="Times New Roman" w:cs="Times New Roman" w:eastAsia="Times New Roman" w:hAnsi="Times New Roman"/>
          <w:sz w:val="22"/>
          <w:szCs w:val="22"/>
          <w:color w:val="auto"/>
        </w:rPr>
        <w:t>In accepting the Award granted hereunder, you acknowledge that you have received a copy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and the Program, have reviewed the Plan and the Program and the Agreement, including this Appendix, in their entirety and fully understand and accept all provisions of the Plan, the Program and the Agreement, including this Appendix. You further acknowledge that you have read and specifically and expressly approve the terms and conditions of Section IX of the Agreement, in which the following is clearly described and established: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- 12</w:t>
      </w:r>
    </w:p>
    <w:p>
      <w:pPr>
        <w:sectPr>
          <w:pgSz w:w="11900" w:h="16838" w:orient="portrait"/>
          <w:cols w:equalWidth="0" w:num="1">
            <w:col w:w="11420"/>
          </w:cols>
          <w:pgMar w:left="240" w:top="369" w:right="239" w:bottom="1440" w:gutter="0" w:footer="0" w:header="0"/>
        </w:sectPr>
      </w:pPr>
    </w:p>
    <w:bookmarkStart w:id="103" w:name="page104"/>
    <w:bookmarkEnd w:id="103"/>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participation in the Plan and the Program do not constitute an acquired right.</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your participation in the Plan and the Program are offered by Amgen Inc. on a wholly discretionary basis.</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participation in the Plan and the Program is voluntary.</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Amgen Inc. and its Affiliates are not responsible for any decrease in the value of any Shares issued with respect to the Award.</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Labor Law Acknowledgement and Policy Statement. </w:t>
      </w:r>
      <w:r>
        <w:rPr>
          <w:rFonts w:ascii="Times New Roman" w:cs="Times New Roman" w:eastAsia="Times New Roman" w:hAnsi="Times New Roman"/>
          <w:sz w:val="22"/>
          <w:szCs w:val="22"/>
          <w:color w:val="auto"/>
        </w:rPr>
        <w:t>In accepting any Award granted hereunder, you expressly recognize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Latin America Services, S.A. de C.V. (“Amgen-Mexico”). Based on the foregoing, you expressly recognize that the Plan and the Program and the benefits that you may derive from participation in the Plan and the Program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 further understand that your participation in the Plan and the Program is as a result of a unilateral and discretionary decision of Amgen Inc.; therefore, Amgen Inc. reserves the absolute right to amend and/or discontinue your participation in the Plan at any time without any liability to you.</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shareholders, officers, agents or legal representatives with respect to any claim that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Spanish Translation</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Reconocimiento del Otorgamiento. </w:t>
      </w:r>
      <w:r>
        <w:rPr>
          <w:rFonts w:ascii="Times New Roman" w:cs="Times New Roman" w:eastAsia="Times New Roman" w:hAnsi="Times New Roman"/>
          <w:sz w:val="22"/>
          <w:szCs w:val="22"/>
          <w:color w:val="auto"/>
        </w:rPr>
        <w:t>Al aceptar cualquier Otorgamiento de Acciones bajo el presente documento, usted reconoce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que ha recibido una copia del Plan y del Programa, que ha revisado el Plan y el Programa, así como también el Apéndice en su totalidad, además que comprende y está de acuerdo con todas las disposiciones tanto del Plan, del Programa y del Otorgamiento, incluyendo este Apéndice. Asimismo, usted reconoce que ha leído y manifiesta específicamente y expresamente la conformidad con los términos y condiciones establecidos en la Sección VIII del Acuerdo del Otorgamiento, en los que se establece y describe claramente que:</w:t>
      </w:r>
    </w:p>
    <w:p>
      <w:pPr>
        <w:spacing w:after="0" w:line="185"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 participación en el Plan y en el Programa de ninguna manera constituye un derecho adquirido.</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 participación en Plan y en el Programa son ofrecidos por Amgen Inc. de forma completamente discrecional.</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 participación en el Plan y en el Programa es voluntaria.</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Amgen Inc. y sus Afiliados no son responsables de ninguna disminución en el valor de las Acciones Comunes emitidas mediante el Plan.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- 13</w:t>
      </w:r>
    </w:p>
    <w:p>
      <w:pPr>
        <w:sectPr>
          <w:pgSz w:w="11900" w:h="16838" w:orient="portrait"/>
          <w:cols w:equalWidth="0" w:num="1">
            <w:col w:w="11420"/>
          </w:cols>
          <w:pgMar w:left="240" w:top="369" w:right="239" w:bottom="1440" w:gutter="0" w:footer="0" w:header="0"/>
        </w:sectPr>
      </w:pPr>
    </w:p>
    <w:bookmarkStart w:id="104" w:name="page105"/>
    <w:bookmarkEnd w:id="104"/>
    <w:p>
      <w:pPr>
        <w:jc w:val="both"/>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Reconocimiento de la Ley Laboral y Declaración de Política. </w:t>
      </w:r>
      <w:r>
        <w:rPr>
          <w:rFonts w:ascii="Times New Roman" w:cs="Times New Roman" w:eastAsia="Times New Roman" w:hAnsi="Times New Roman"/>
          <w:sz w:val="21"/>
          <w:szCs w:val="21"/>
          <w:color w:val="auto"/>
        </w:rPr>
        <w:t>Al aceptar cualquier Otorgamiento bajo el presente, usted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Latin America Services, S.A. de C.V. (“Amgen-Mexico”). Derivado de lo anterior, usted reconoce expresamente que el Plan y el Programa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Asimismo, usted entiende que su participación en el Plan y en el Programa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MOROCCO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Sale Requirement. </w:t>
      </w:r>
      <w:r>
        <w:rPr>
          <w:rFonts w:ascii="Times New Roman" w:cs="Times New Roman" w:eastAsia="Times New Roman" w:hAnsi="Times New Roman"/>
          <w:sz w:val="22"/>
          <w:szCs w:val="22"/>
          <w:color w:val="auto"/>
        </w:rPr>
        <w:t>Notwithstanding anything to the contrary in the Agreement, due to exchange control laws in Morocco,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that the Company reserves the right to require the immediate sale of any Shares acquired upon settlement of the Performance Units. Alternatively, if the Shares are not immediately sold upon settlement of the Performance Units, the Company may require the sale of any shares at a later date, including upon termination of your employment.</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You agree that the Company is authorized to instruct Merrill Lynch Bank and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You acknowledge that Merrill Lynch Bank and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- 14</w:t>
      </w:r>
    </w:p>
    <w:p>
      <w:pPr>
        <w:sectPr>
          <w:pgSz w:w="11900" w:h="16838" w:orient="portrait"/>
          <w:cols w:equalWidth="0" w:num="1">
            <w:col w:w="11420"/>
          </w:cols>
          <w:pgMar w:left="240" w:top="365" w:right="239" w:bottom="1440" w:gutter="0" w:footer="0" w:header="0"/>
        </w:sectPr>
      </w:pPr>
    </w:p>
    <w:bookmarkStart w:id="105" w:name="page106"/>
    <w:bookmarkEnd w:id="105"/>
    <w:p>
      <w:pPr>
        <w:jc w:val="both"/>
        <w:spacing w:after="0" w:line="271" w:lineRule="auto"/>
        <w:rPr>
          <w:sz w:val="20"/>
          <w:szCs w:val="20"/>
          <w:color w:val="auto"/>
        </w:rPr>
      </w:pPr>
      <w:r>
        <w:rPr>
          <w:rFonts w:ascii="Times New Roman" w:cs="Times New Roman" w:eastAsia="Times New Roman" w:hAnsi="Times New Roman"/>
          <w:sz w:val="22"/>
          <w:szCs w:val="22"/>
          <w:color w:val="auto"/>
        </w:rPr>
        <w:t>for the amount of any loss that you may incur and that the Company assumes no liability for any fluctuations in the share price and/or any applicable exchange rate.</w:t>
      </w:r>
    </w:p>
    <w:p>
      <w:pPr>
        <w:spacing w:after="0" w:line="1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Designated Broker Account. </w:t>
      </w:r>
      <w:r>
        <w:rPr>
          <w:rFonts w:ascii="Times New Roman" w:cs="Times New Roman" w:eastAsia="Times New Roman" w:hAnsi="Times New Roman"/>
          <w:sz w:val="22"/>
          <w:szCs w:val="22"/>
          <w:color w:val="auto"/>
        </w:rPr>
        <w:t>If Shares issued upon the settlement of the Performance Units are not immediately sold,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 that you are required to maintain the shares in an account with Merrill Lynch Bank and Trust Co., FSB or such other designated broker as may be selected by the Company until the shares are sold through such Company-designated broker.</w:t>
      </w:r>
    </w:p>
    <w:p>
      <w:pPr>
        <w:spacing w:after="0" w:line="16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Exchange Control Requirements. </w:t>
      </w:r>
      <w:r>
        <w:rPr>
          <w:rFonts w:ascii="Times New Roman" w:cs="Times New Roman" w:eastAsia="Times New Roman" w:hAnsi="Times New Roman"/>
          <w:sz w:val="22"/>
          <w:szCs w:val="22"/>
          <w:color w:val="auto"/>
        </w:rPr>
        <w:t>You understand and agree that, pursuant to local exchange control requirements, you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repatriate the cash proceeds from the sale of the Shares issued upon settlement of the Performance Units to Morocco. You further understand that such repatriation of your cash proceeds may be effectuated through a bank account established by the Company or any Affiliate, including the Employer, and you hereby consent and agree that any proceeds from the sale of the shares may be transferred to such bank account prior to being delivered to you. If repatriation of your cash proceeds is not effectuated through a bank account established by the Company or any Affiliate, including the Employer, you hereby agree to maintain your own records proving repatriation and to provide copies of these records upon request by the Company or any Affiliate, including the Employer, or the Moroccan Exchange Control Office (</w:t>
      </w:r>
      <w:r>
        <w:rPr>
          <w:rFonts w:ascii="Times New Roman" w:cs="Times New Roman" w:eastAsia="Times New Roman" w:hAnsi="Times New Roman"/>
          <w:sz w:val="22"/>
          <w:szCs w:val="22"/>
          <w:i w:val="1"/>
          <w:iCs w:val="1"/>
          <w:color w:val="auto"/>
        </w:rPr>
        <w:t>Office des Changes</w:t>
      </w:r>
      <w:r>
        <w:rPr>
          <w:rFonts w:ascii="Times New Roman" w:cs="Times New Roman" w:eastAsia="Times New Roman" w:hAnsi="Times New Roman"/>
          <w:sz w:val="22"/>
          <w:szCs w:val="22"/>
          <w:color w:val="auto"/>
        </w:rPr>
        <w:t>). Further, you acknowledge and understand that the net proceeds that you realize from your participation in the Plan must be converted from U.S. dollars to Dirham, and that neither the Company nor any Affiliate, including the Employer, have any obligation to, but may nonetheless, convert the net proceeds on your behalf using any exchange rate chosen by the Company; if funds are so converted, they will be converted as soon as practicable after sale, which may not be immediately after the sale date. Further, if such currency conversion occurs, you will bear the risk of any fluctuation in the U.S. dollar/Dirham exchange rate between the date you realize U.S. dollar proceeds from your participation in the Plan and the date that you receive cash proceeds converted to Dirham. You further agree to comply with any other requirements that may be imposed by the Company in the future in order to facilitate compliance with exchange control requirements in Morocco.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NETHERLANDS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NEW ZEALAND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NORWAY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PERU</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grant of Performance Units is considered a private offering in Peru; therefore, it is not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- 15</w:t>
      </w:r>
    </w:p>
    <w:p>
      <w:pPr>
        <w:sectPr>
          <w:pgSz w:w="11900" w:h="16838" w:orient="portrait"/>
          <w:cols w:equalWidth="0" w:num="1">
            <w:col w:w="11420"/>
          </w:cols>
          <w:pgMar w:left="240" w:top="369" w:right="239" w:bottom="1440" w:gutter="0" w:footer="0" w:header="0"/>
        </w:sectPr>
      </w:pPr>
    </w:p>
    <w:bookmarkStart w:id="106" w:name="page107"/>
    <w:bookmarkEnd w:id="106"/>
    <w:p>
      <w:pPr>
        <w:jc w:val="both"/>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Polish residents holding foreign securities (including Shares) and maintaining accounts abroad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must report information to the National Bank of Poland. Specifically, if the aggregate value of shares and cash held in such foreign accounts exceeds PLN 7 million, Polish residents must file reports on the transactions and balances of the accounts on a quarterly basis. If required, the reports are due on a quarterly basis by the 20th day following the end of each quarter and must be filed on special forms available on the website of the National Bank of Poland. In addition, Polish residents are required to transfer funds through a bank account in Poland if the transferred amount in any single transaction exceeds a specified threshold (currently €15,000). You must store all documents connected with any foreign exchange transactions you engage in for a period of five years.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PORTUGAL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Consent to Receive Information in English. </w:t>
      </w:r>
      <w:r>
        <w:rPr>
          <w:rFonts w:ascii="Times New Roman" w:cs="Times New Roman" w:eastAsia="Times New Roman" w:hAnsi="Times New Roman"/>
          <w:sz w:val="22"/>
          <w:szCs w:val="22"/>
          <w:color w:val="auto"/>
        </w:rPr>
        <w:t>You hereby expressly declare that you have full knowledge of the English language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have read, understood and fully accepted and agreed with the terms and conditions established in the Plan, the Program and Agreement.</w:t>
      </w:r>
    </w:p>
    <w:p>
      <w:pPr>
        <w:spacing w:after="0" w:line="167"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Conhecimento da Lingua. </w:t>
      </w:r>
      <w:r>
        <w:rPr>
          <w:rFonts w:ascii="Times New Roman" w:cs="Times New Roman" w:eastAsia="Times New Roman" w:hAnsi="Times New Roman"/>
          <w:sz w:val="21"/>
          <w:szCs w:val="21"/>
          <w:i w:val="1"/>
          <w:iCs w:val="1"/>
          <w:color w:val="auto"/>
        </w:rPr>
        <w:t>Por meio do presente, eu declaro expressamente que tem pleno conhecimento da língua inglesa e que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li, compreendi e livremente aceitei e concordei com os termos e condições estabelecidas no Plano, no Programa e no Acordo.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do not hold the Shares issued in respect of the Award with a Portuguese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intermediary, you will need to file a report with the Portuguese Central Bank. If the shares are held by a Portuguese financial intermediary, it will file the report for you.</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PUERTO RICO</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ROMANIA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deposit proceeds from the sale of Shares or the receipt of dividends or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RUSSIA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Requirements. </w:t>
      </w:r>
      <w:r>
        <w:rPr>
          <w:rFonts w:ascii="Times New Roman" w:cs="Times New Roman" w:eastAsia="Times New Roman" w:hAnsi="Times New Roman"/>
          <w:sz w:val="22"/>
          <w:szCs w:val="22"/>
          <w:color w:val="auto"/>
        </w:rPr>
        <w:t>You understand and agree that, pursuant to Russian exchange control requirements, you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repatriate to Russia the cash proceeds from the sale of the Shares issued to you upon settlement of the Performance Units and from the receipt of any dividends paid on such shares or Dividend Equivalents. You further understand that, under applicable laws, such proceeds must be initially credited to you through a foreign currency account opened in your name at an authorized bank in Russia.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- 16</w:t>
      </w:r>
    </w:p>
    <w:p>
      <w:pPr>
        <w:sectPr>
          <w:pgSz w:w="11900" w:h="16838" w:orient="portrait"/>
          <w:cols w:equalWidth="0" w:num="1">
            <w:col w:w="11420"/>
          </w:cols>
          <w:pgMar w:left="240" w:top="365" w:right="239" w:bottom="1440" w:gutter="0" w:footer="0" w:header="0"/>
        </w:sectPr>
      </w:pPr>
    </w:p>
    <w:bookmarkStart w:id="107" w:name="page108"/>
    <w:bookmarkEnd w:id="107"/>
    <w:p>
      <w:pPr>
        <w:jc w:val="both"/>
        <w:spacing w:after="0" w:line="271" w:lineRule="auto"/>
        <w:rPr>
          <w:sz w:val="20"/>
          <w:szCs w:val="20"/>
          <w:color w:val="auto"/>
        </w:rPr>
      </w:pPr>
      <w:r>
        <w:rPr>
          <w:rFonts w:ascii="Times New Roman" w:cs="Times New Roman" w:eastAsia="Times New Roman" w:hAnsi="Times New Roman"/>
          <w:sz w:val="22"/>
          <w:szCs w:val="22"/>
          <w:color w:val="auto"/>
        </w:rPr>
        <w:t>You further agree to comply with any other requirements that may be imposed by the Company in the future in order to facilitate compliance with exchange control requirements in Russia.</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Without limiting the generality of the foregoing, you acknowledge that the Company reserves the right, in its sole discretion, depending on developments in Russian exchange control laws and regulations, to force the immediate sale of any Shares to be issued upon vesting of the Award granted hereunder. You further agree that, if applicable, the Company is authorized to instruct Merrill Lynch Bank &amp; Trust Co., FSB (or such other broker as may be designated by the Company) to assist with the mandatory sale of such Shares (on your behalf pursuant to this authorization) and you expressly authorize Merrill Lynch Bank &amp; Trust Co., FSB (or such other broker as may be designated by the Company) to complete the sale of such shares. You further acknowledge that Merrill Lynch Bank &amp; Trust Co., FSB (or such other broker as may be designated by the Company) is under no obligation to arrange for the sale of the Shares at any particular trading price. Upon the sale of Shares, you will receive the cash proceeds from the sale of such shares, less any brokerage fees or commissions and subject to your obligations in connection with the Tax Obligations.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Securities Law Requirements. </w:t>
      </w:r>
      <w:r>
        <w:rPr>
          <w:rFonts w:ascii="Times New Roman" w:cs="Times New Roman" w:eastAsia="Times New Roman" w:hAnsi="Times New Roman"/>
          <w:sz w:val="22"/>
          <w:szCs w:val="22"/>
          <w:color w:val="auto"/>
        </w:rPr>
        <w:t>The Award granted hereunder, the Agreement, including this Appendix, the Program, the Plan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other materials you may receive regarding your participation in the Plan and the Program or the Award granted hereunder do not constitute advertising or an offering of securities in Russia. The issuance of Shares in respect of the Award has not and will not be registered in Russia; therefore, such shares may not be offered or placed in public circulation in Russia.</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no event will Shares acquired under the Plan be delivered to you in Russia; all Shares will be maintained on your behalf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are not permitted to sell any shares acquired under the Plan directly to a Russian legal entity or resident.</w:t>
      </w:r>
    </w:p>
    <w:p>
      <w:pPr>
        <w:spacing w:after="0" w:line="2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Labor Law Information. </w:t>
      </w:r>
      <w:r>
        <w:rPr>
          <w:rFonts w:ascii="Times New Roman" w:cs="Times New Roman" w:eastAsia="Times New Roman" w:hAnsi="Times New Roman"/>
          <w:sz w:val="22"/>
          <w:szCs w:val="22"/>
          <w:color w:val="auto"/>
        </w:rPr>
        <w:t>You acknowledge that if you continue to hold Shares acquired under the Plan after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your employment, you will not be eligible to receive unemployment benefits in Russia.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Notice. </w:t>
      </w:r>
      <w:r>
        <w:rPr>
          <w:rFonts w:ascii="Times New Roman" w:cs="Times New Roman" w:eastAsia="Times New Roman" w:hAnsi="Times New Roman"/>
          <w:sz w:val="22"/>
          <w:szCs w:val="22"/>
          <w:color w:val="auto"/>
        </w:rPr>
        <w:t>The following provision supplements Section XV of the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You understand and agree that you must complete and return a Consent to Processing of Personal Data (the “</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form to the Company. Further, you understand and agree that if you do not complete and return a Consent form to the Company, the Company will not be able to administer or maintain the Performance Units. Therefore, you understand that refusing to complete a Consent form or withdrawing your consent may affect your ability to participate in the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After the funds from the sale of Shares are initially received in Russia, pursuant to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repatriation obligation, they may be further remitted to a foreign bank subject to the following limitations: (i) the foreign account may be opened only for individuals; (ii) the foreign account may not be used for business activities; (iii) the Russian tax authorities must be given notice about the opening/closing of each foreign account within one month of the account opening/closing; (iv) the Russian tax authorities must be given notice of the account balances of such foreign accounts as of the beginning of each calendar year; and (v) beginning January 1, 2015 (or such later date as may be established by the Russian tax authorities), quarterly cash flow statements must be filed for each foreign account held by you. According to recent amendments to the law, dividends received on shares acquired under the Plan can be remitted directly to your bank account opened with a foreign bank located in Organisation for Economic Co-operation and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- 17</w:t>
      </w:r>
    </w:p>
    <w:p>
      <w:pPr>
        <w:sectPr>
          <w:pgSz w:w="11900" w:h="16838" w:orient="portrait"/>
          <w:cols w:equalWidth="0" w:num="1">
            <w:col w:w="11420"/>
          </w:cols>
          <w:pgMar w:left="240" w:top="369" w:right="239" w:bottom="1440" w:gutter="0" w:footer="0" w:header="0"/>
        </w:sectPr>
      </w:pPr>
    </w:p>
    <w:bookmarkStart w:id="108" w:name="page109"/>
    <w:bookmarkEnd w:id="108"/>
    <w:p>
      <w:pPr>
        <w:jc w:val="both"/>
        <w:spacing w:after="0" w:line="257" w:lineRule="auto"/>
        <w:rPr>
          <w:sz w:val="20"/>
          <w:szCs w:val="20"/>
          <w:color w:val="auto"/>
        </w:rPr>
      </w:pPr>
      <w:r>
        <w:rPr>
          <w:rFonts w:ascii="Times New Roman" w:cs="Times New Roman" w:eastAsia="Times New Roman" w:hAnsi="Times New Roman"/>
          <w:sz w:val="22"/>
          <w:szCs w:val="22"/>
          <w:color w:val="auto"/>
        </w:rPr>
        <w:t>Development (“</w:t>
      </w:r>
      <w:r>
        <w:rPr>
          <w:rFonts w:ascii="Times New Roman" w:cs="Times New Roman" w:eastAsia="Times New Roman" w:hAnsi="Times New Roman"/>
          <w:sz w:val="22"/>
          <w:szCs w:val="22"/>
          <w:u w:val="single" w:color="auto"/>
          <w:color w:val="auto"/>
        </w:rPr>
        <w:t>OECD</w:t>
      </w:r>
      <w:r>
        <w:rPr>
          <w:rFonts w:ascii="Times New Roman" w:cs="Times New Roman" w:eastAsia="Times New Roman" w:hAnsi="Times New Roman"/>
          <w:sz w:val="22"/>
          <w:szCs w:val="22"/>
          <w:color w:val="auto"/>
        </w:rPr>
        <w:t>”) or Financial Action Task Force (“</w:t>
      </w:r>
      <w:r>
        <w:rPr>
          <w:rFonts w:ascii="Times New Roman" w:cs="Times New Roman" w:eastAsia="Times New Roman" w:hAnsi="Times New Roman"/>
          <w:sz w:val="22"/>
          <w:szCs w:val="22"/>
          <w:u w:val="single" w:color="auto"/>
          <w:color w:val="auto"/>
        </w:rPr>
        <w:t>FATF</w:t>
      </w:r>
      <w:r>
        <w:rPr>
          <w:rFonts w:ascii="Times New Roman" w:cs="Times New Roman" w:eastAsia="Times New Roman" w:hAnsi="Times New Roman"/>
          <w:sz w:val="22"/>
          <w:szCs w:val="22"/>
          <w:color w:val="auto"/>
        </w:rPr>
        <w:t>”) countries, without first remitting them to your bank account in Russia. You are encouraged to contact your personal advisor before remitting your proceeds from participation in the Plan and the Program to Russia as exchange control requirements may change.</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Anti-Corruption Legislation Information. </w:t>
      </w:r>
      <w:r>
        <w:rPr>
          <w:rFonts w:ascii="Times New Roman" w:cs="Times New Roman" w:eastAsia="Times New Roman" w:hAnsi="Times New Roman"/>
          <w:sz w:val="22"/>
          <w:szCs w:val="22"/>
          <w:color w:val="auto"/>
        </w:rPr>
        <w:t>Individuals holding public office in Russia, as well as their spouses and dependent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children, may be prohibited from opening or maintaining a foreign brokerage or bank account and holding any securities, whether acquired directly or indirectly, in a foreign company (including Shares acquired under the Plan). You should consult with your personal legal advisor to determine if this restriction applies to your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SAUDI ARABIA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This document may not be distributed in the Kingdom of Saudi Arabia except to such persons as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under the Offers of Securities Regulations issued by the Capital Market Authority.</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Capital Market Authority does not make any representation as to the accuracy or completeness of this document, and expressly disclaims any liability whatsoever for any loss arising from, or incurred in reliance upon, any part of this document. You are hereby advised to conduct your own due diligence on the accuracy of the information relating to the Shares. If you do not understand the contents of this document, you should consult an authorized financial adviser.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SINGAPORE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grant of the Performance Units is being made pursuant to the “Qualifying Person” exemption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section 273(1)(f) of the Securities and Futures Act (Chapter 289, 2006 Ed.) (“</w:t>
      </w:r>
      <w:r>
        <w:rPr>
          <w:rFonts w:ascii="Times New Roman" w:cs="Times New Roman" w:eastAsia="Times New Roman" w:hAnsi="Times New Roman"/>
          <w:sz w:val="22"/>
          <w:szCs w:val="22"/>
          <w:u w:val="single" w:color="auto"/>
          <w:color w:val="auto"/>
        </w:rPr>
        <w:t>SFA</w:t>
      </w:r>
      <w:r>
        <w:rPr>
          <w:rFonts w:ascii="Times New Roman" w:cs="Times New Roman" w:eastAsia="Times New Roman" w:hAnsi="Times New Roman"/>
          <w:sz w:val="22"/>
          <w:szCs w:val="22"/>
          <w:color w:val="auto"/>
        </w:rPr>
        <w:t>”) and is not made with a view to the Performance Units being subsequently offered for sale to any other party. The Plan has not been lodged or registered as a prospectus with the Monetary Authority of Singapore. You should note that the Performance Units are subject to section 257 of the SFA and you will not be able to make (i) any subsequent sale of Shares in Singapore or (ii) any offer of such subsequent sale of the shares subject to the Performance Units in Singapore, unless such sale or offer is made pursuant to the exemptions under Part XIII Division (1) Subdivision (4) (other than section 280) of the SFA.</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Director Notification Requirement. </w:t>
      </w:r>
      <w:r>
        <w:rPr>
          <w:rFonts w:ascii="Times New Roman" w:cs="Times New Roman" w:eastAsia="Times New Roman" w:hAnsi="Times New Roman"/>
          <w:sz w:val="22"/>
          <w:szCs w:val="22"/>
          <w:color w:val="auto"/>
        </w:rPr>
        <w:t>Directors, associate directors and shadow directors of a Singapore Affiliate are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notification requirements under the Singapore Companies Act. Directors, associate directors and shadow directors must notify the Singapore Affiliate in writing of an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Performance Units, Shares, etc.) in the Company or any related company within two (2) business days of (i) its acquisition or disposal, (ii) any change in a previously disclosed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when the shares are sold), or (iii) becoming a director, associate director or shadow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SLOVAK REPUBLIC</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If you permanently reside in the Slovak Republic and, apart from being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employed, carry on business activities as an independent entrepreneur (in Slovakian, podnikatel), you will be obligated to report your foreign assets (including any foreign securities such as the Shares) to the National Bank of Slovakia (provided that the value of the foreign assets exceeds an amount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- 18</w:t>
      </w:r>
    </w:p>
    <w:p>
      <w:pPr>
        <w:sectPr>
          <w:pgSz w:w="11900" w:h="16838" w:orient="portrait"/>
          <w:cols w:equalWidth="0" w:num="1">
            <w:col w:w="11420"/>
          </w:cols>
          <w:pgMar w:left="240" w:top="369" w:right="239" w:bottom="1440" w:gutter="0" w:footer="0" w:header="0"/>
        </w:sectPr>
      </w:pPr>
    </w:p>
    <w:bookmarkStart w:id="109" w:name="page110"/>
    <w:bookmarkEnd w:id="109"/>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of €2,000,000). These reports must be submitted on a monthly basis by the 15th day of the respective calendar month, as well as on a quarterly basis by the 15th day of the calendar month following the respective calendar quarter, using notification form DEV (NBS) 1-12, which may be found at the National Bank of Slovakia’s website at </w:t>
      </w:r>
      <w:r>
        <w:rPr>
          <w:rFonts w:ascii="Times New Roman" w:cs="Times New Roman" w:eastAsia="Times New Roman" w:hAnsi="Times New Roman"/>
          <w:sz w:val="22"/>
          <w:szCs w:val="22"/>
          <w:u w:val="single" w:color="auto"/>
          <w:color w:val="auto"/>
        </w:rPr>
        <w:t>www.nbs.sk</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SLOVENIA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SOUTH AFRICA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Responsibility for Taxes</w:t>
      </w:r>
      <w:r>
        <w:rPr>
          <w:rFonts w:ascii="Times New Roman" w:cs="Times New Roman" w:eastAsia="Times New Roman" w:hAnsi="Times New Roman"/>
          <w:sz w:val="22"/>
          <w:szCs w:val="22"/>
          <w:color w:val="auto"/>
        </w:rPr>
        <w:t>. The following provision supplements Section V of the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By accepting the Performance Units, you agree that, immediately upon vesting and settlement of the Performance Units, you will notify your Employer of the amount of any gain realized. If you fail to advise your Employer of the gain realized upon vesting and settlement, you may be liable for a fine. You will be solely responsible for paying any difference between your actual tax liability and the amount withheld by your Employer.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Because no transfer of funds from South Africa is required under the Performance Units,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filing or reporting requirements should apply when the Performance Units are granted or when Shares are issued upon vesting and settlement of the Performance Units. However, because the exchange control regulations are subject to change, you should consult your personal advisor prior to vesting and settlement of the Performance Units to ensure compliance with current regulations. You are responsible for ensuring compliance with all exchange control laws in South Africa.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SPAIN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Labor Law Acknowledgement. </w:t>
      </w:r>
      <w:r>
        <w:rPr>
          <w:rFonts w:ascii="Times New Roman" w:cs="Times New Roman" w:eastAsia="Times New Roman" w:hAnsi="Times New Roman"/>
          <w:sz w:val="22"/>
          <w:szCs w:val="22"/>
          <w:color w:val="auto"/>
        </w:rPr>
        <w:t>The following provision supplements Section IX of the Agreement:</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By accepting the Award granted hereunder, you consent to participation in the Plan and the Program and acknowledge that you have received a copy of the Plan and the Program.</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You understand that the Company has unilaterally, gratuitously and in its sole discretion decided to grant the Award under the Plan and the Program to individuals who may be members of the Board or Employees of the Company or its Affiliates throughout the world. The decision is a limited decision that is entered into upon the express assumption and condition that the Awards granted will not economically or otherwise bind the Company or any of its Affiliates on an ongoing basis, other than as expressly set forth in the applicable Agreement, including this Appendix. Consequently, you understand that the Award granted hereunder is given on the assumption and condition that it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the Award since the future value of the Award and any Shares that may be issued in respect of such Award is unknown and unpredictable. In addition, you understand that the Award granted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- 19</w:t>
      </w:r>
    </w:p>
    <w:p>
      <w:pPr>
        <w:sectPr>
          <w:pgSz w:w="11900" w:h="16838" w:orient="portrait"/>
          <w:cols w:equalWidth="0" w:num="1">
            <w:col w:w="11420"/>
          </w:cols>
          <w:pgMar w:left="240" w:top="369" w:right="239" w:bottom="1440" w:gutter="0" w:footer="0" w:header="0"/>
        </w:sectPr>
      </w:pPr>
    </w:p>
    <w:bookmarkStart w:id="110" w:name="page111"/>
    <w:bookmarkEnd w:id="110"/>
    <w:p>
      <w:pPr>
        <w:jc w:val="both"/>
        <w:spacing w:after="0" w:line="257" w:lineRule="auto"/>
        <w:rPr>
          <w:sz w:val="20"/>
          <w:szCs w:val="20"/>
          <w:color w:val="auto"/>
        </w:rPr>
      </w:pPr>
      <w:r>
        <w:rPr>
          <w:rFonts w:ascii="Times New Roman" w:cs="Times New Roman" w:eastAsia="Times New Roman" w:hAnsi="Times New Roman"/>
          <w:sz w:val="22"/>
          <w:szCs w:val="22"/>
          <w:color w:val="auto"/>
        </w:rPr>
        <w:t>hereunder would not be made but for the assumptions and conditions referred to above; thus, you understand, acknowledge and freely accept that, should any or all of the assumptions be mistaken or should any of the conditions not be met for any reason, then the grant of the Award or right to the Award shall be null and void.</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Further, the vesting of the Performance Units is expressly conditioned your continued and active rendering of service, such that if your employment terminates for any reason whatsoever, the Performance Units may cease vesting immediately, in whole or in part, effective on the date of your termination of employment (unless otherwise specifically provided in Section I of the Agreement). This will be the case, for example, even if (1) you are considered to be unfairly dismissed without good cause;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Performance Units that were not vested on the date of your termination of employment, as described in the Plan and the Agreement.</w:t>
      </w:r>
    </w:p>
    <w:p>
      <w:pPr>
        <w:spacing w:after="0" w:line="192" w:lineRule="exact"/>
        <w:rPr>
          <w:sz w:val="20"/>
          <w:szCs w:val="20"/>
          <w:color w:val="auto"/>
        </w:rPr>
      </w:pPr>
    </w:p>
    <w:p>
      <w:pPr>
        <w:ind w:right="1300"/>
        <w:spacing w:after="0" w:line="446" w:lineRule="auto"/>
        <w:rPr>
          <w:sz w:val="20"/>
          <w:szCs w:val="20"/>
          <w:color w:val="auto"/>
        </w:rPr>
      </w:pPr>
      <w:r>
        <w:rPr>
          <w:rFonts w:ascii="Times New Roman" w:cs="Times New Roman" w:eastAsia="Times New Roman" w:hAnsi="Times New Roman"/>
          <w:sz w:val="22"/>
          <w:szCs w:val="22"/>
          <w:color w:val="auto"/>
        </w:rPr>
        <w:t xml:space="preserve">You acknowledge that you have read and specifically accept the conditions referred to in Section I of the Agreement. </w:t>
      </w:r>
      <w:r>
        <w:rPr>
          <w:rFonts w:ascii="Times New Roman" w:cs="Times New Roman" w:eastAsia="Times New Roman" w:hAnsi="Times New Roman"/>
          <w:sz w:val="22"/>
          <w:szCs w:val="22"/>
          <w:b w:val="1"/>
          <w:bCs w:val="1"/>
          <w:i w:val="1"/>
          <w:iCs w:val="1"/>
          <w:color w:val="auto"/>
        </w:rPr>
        <w:t>NOTIFICATIONS</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No “offer of securities to the public,” as defined under Spanish law, has taken place or will take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place in the Spanish territory. The Agreement (including this Appendix) has not been nor will it be registered with the </w:t>
      </w:r>
      <w:r>
        <w:rPr>
          <w:rFonts w:ascii="Times New Roman" w:cs="Times New Roman" w:eastAsia="Times New Roman" w:hAnsi="Times New Roman"/>
          <w:sz w:val="22"/>
          <w:szCs w:val="22"/>
          <w:i w:val="1"/>
          <w:iCs w:val="1"/>
          <w:color w:val="auto"/>
        </w:rPr>
        <w:t>Comisión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Nacional del Mercado de Valores</w:t>
      </w:r>
      <w:r>
        <w:rPr>
          <w:rFonts w:ascii="Times New Roman" w:cs="Times New Roman" w:eastAsia="Times New Roman" w:hAnsi="Times New Roman"/>
          <w:sz w:val="22"/>
          <w:szCs w:val="22"/>
          <w:color w:val="auto"/>
        </w:rPr>
        <w:t>, and does not constitute a public offering prospectus.</w:t>
      </w:r>
    </w:p>
    <w:p>
      <w:pPr>
        <w:spacing w:after="0" w:line="1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acquire shares under the Plan, you must declare the acquisition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Direccion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de Comercio e Inversiones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DGCI</w:t>
      </w:r>
      <w:r>
        <w:rPr>
          <w:rFonts w:ascii="Times New Roman" w:cs="Times New Roman" w:eastAsia="Times New Roman" w:hAnsi="Times New Roman"/>
          <w:sz w:val="22"/>
          <w:szCs w:val="22"/>
          <w:color w:val="auto"/>
        </w:rPr>
        <w:t>”). If you acquire the shares through the use of a Spanish financial institution, that institution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month of the sale.</w:t>
      </w:r>
    </w:p>
    <w:p>
      <w:pPr>
        <w:spacing w:after="0" w:line="18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You are required to declare electronically to the Bank of Spain any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7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Further, effective January 1, 2013, to the extent that you hold shares and/or have bank accounts outside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If the value of such shares and/or accounts as of December 31 does not exceed €50,000, a summarized form of declaration may be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SWEDEN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- 20</w:t>
      </w:r>
    </w:p>
    <w:p>
      <w:pPr>
        <w:sectPr>
          <w:pgSz w:w="11900" w:h="16838" w:orient="portrait"/>
          <w:cols w:equalWidth="0" w:num="1">
            <w:col w:w="11420"/>
          </w:cols>
          <w:pgMar w:left="240" w:top="369"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Notification. </w:t>
      </w:r>
      <w:r>
        <w:rPr>
          <w:rFonts w:ascii="Times New Roman" w:cs="Times New Roman" w:eastAsia="Times New Roman" w:hAnsi="Times New Roman"/>
          <w:sz w:val="22"/>
          <w:szCs w:val="22"/>
          <w:color w:val="auto"/>
        </w:rPr>
        <w:t>The Award offered hereunder is considered a private offering in Switzerland and is, therefore,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registration in Switzerland.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TAIWAN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may acquire and remit foreign currency (including proceeds from the sale of Shares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THAILAND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proceeds from the sale of Shares or the receipt of any dividends or Dividend Equivalents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exceed US$50,000, you must (i) immediately repatriate such funds to Thailand and (ii) report the inward remittance to the Bank of Thailand on a Foreign Exchange Transaction Form. In addition, within 360 days of repatriation, you must either convert any funds repatriated to Thailand to Thai Baht or deposit the funds in a foreign exchange account with a Thai bank.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TUNISIA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hold assets (including Shares acquired under the Plan) outside Tunisia and the value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assets exceeds a certain threshold (currently TDN 500), you must declare the assets to the Central Bank of Tunisia within six</w:t>
      </w:r>
    </w:p>
    <w:p>
      <w:pPr>
        <w:spacing w:after="0" w:line="2" w:lineRule="exact"/>
        <w:rPr>
          <w:sz w:val="20"/>
          <w:szCs w:val="20"/>
          <w:color w:val="auto"/>
        </w:rPr>
      </w:pPr>
    </w:p>
    <w:p>
      <w:pPr>
        <w:jc w:val="both"/>
        <w:ind w:right="20" w:firstLine="8"/>
        <w:spacing w:after="0" w:line="246" w:lineRule="auto"/>
        <w:tabs>
          <w:tab w:leader="none" w:pos="32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of their acquisition. In addition, if you sell the Shares acquired under the Plan or receive cash dividends or Dividend Equivalents paid in cash, you are required to repatriate the proceeds to Tunisia. You are solely responsible for complying with all exchange control laws in Tunisia and are advised to consult with your personal legal advisor in this regard.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TURKEY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Under Turkish law, you are not permitted to sell Shares acquired under the Plan in Turkey. You must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 the Shares acquired under the Plan outside of Turkey. The shares are currently traded on the NASDAQ in the U.S. under the ticker symbol “AMGN” and shares may be sold on this exchange, which is located outside of Turkey.</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Pursuant to Decree No. 32 on the Protection of the Value of the Turkish Currency (“</w:t>
      </w:r>
      <w:r>
        <w:rPr>
          <w:rFonts w:ascii="Times New Roman" w:cs="Times New Roman" w:eastAsia="Times New Roman" w:hAnsi="Times New Roman"/>
          <w:sz w:val="22"/>
          <w:szCs w:val="22"/>
          <w:u w:val="single" w:color="auto"/>
          <w:color w:val="auto"/>
        </w:rPr>
        <w:t>Decree 32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Communique No. 2008-32/34 on Decree No. 32, any activity related to investments in foreign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sale of Shares under the Plan, the receipt of cash dividends or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- 21</w:t>
      </w:r>
    </w:p>
    <w:p>
      <w:pPr>
        <w:sectPr>
          <w:pgSz w:w="11900" w:h="16838" w:orient="portrait"/>
          <w:cols w:equalWidth="0" w:num="1">
            <w:col w:w="11420"/>
          </w:cols>
          <w:pgMar w:left="240" w:top="581" w:right="239" w:bottom="1440" w:gutter="0" w:footer="0" w:header="0"/>
        </w:sectPr>
      </w:pPr>
    </w:p>
    <w:bookmarkStart w:id="112" w:name="page113"/>
    <w:bookmarkEnd w:id="112"/>
    <w:p>
      <w:pPr>
        <w:jc w:val="both"/>
        <w:spacing w:after="0" w:line="257" w:lineRule="auto"/>
        <w:rPr>
          <w:sz w:val="20"/>
          <w:szCs w:val="20"/>
          <w:color w:val="auto"/>
        </w:rPr>
      </w:pPr>
      <w:r>
        <w:rPr>
          <w:rFonts w:ascii="Times New Roman" w:cs="Times New Roman" w:eastAsia="Times New Roman" w:hAnsi="Times New Roman"/>
          <w:sz w:val="22"/>
          <w:szCs w:val="22"/>
          <w:color w:val="auto"/>
        </w:rPr>
        <w:t>Dividend Equivalents paid in cash) must be conducted through a bank or financial intermediary institution licensed by the Turkish Capital Markets Board and should be reported to the Turkish Capital Markets Board. You are advised to contact a personal legal advisor for further information regarding these requirements.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ARAB EMIRATES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Securities Law Notice. </w:t>
      </w:r>
      <w:r>
        <w:rPr>
          <w:rFonts w:ascii="Times New Roman" w:cs="Times New Roman" w:eastAsia="Times New Roman" w:hAnsi="Times New Roman"/>
          <w:sz w:val="22"/>
          <w:szCs w:val="22"/>
          <w:color w:val="auto"/>
        </w:rPr>
        <w:t>Performance Units under the Plan are available only to Participants under the Program and are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 of providing equity incentives. The Plan, the Program and the Agreement are intended for distribution only to such Participants and must not be delivered to, or relied on by, any other person. You should conduct your own due diligence on the Performance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Tax Withholding. </w:t>
      </w:r>
      <w:r>
        <w:rPr>
          <w:rFonts w:ascii="Times New Roman" w:cs="Times New Roman" w:eastAsia="Times New Roman" w:hAnsi="Times New Roman"/>
          <w:sz w:val="22"/>
          <w:szCs w:val="22"/>
          <w:color w:val="auto"/>
        </w:rPr>
        <w:t>This provision supplements Section V of the Agreement:</w:t>
      </w:r>
    </w:p>
    <w:p>
      <w:pPr>
        <w:spacing w:after="0" w:line="2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You agree that if you do not pay or your Employer or the Company does not withhold from you the full amount of income tax that you owe due at issuance of Shares in respect of the Performance Units, or the release or assignment of the Performance Units for consideration, or the receipt of any other benefit in connection with the Performance Units (the “</w:t>
      </w:r>
      <w:r>
        <w:rPr>
          <w:rFonts w:ascii="Times New Roman" w:cs="Times New Roman" w:eastAsia="Times New Roman" w:hAnsi="Times New Roman"/>
          <w:sz w:val="22"/>
          <w:szCs w:val="22"/>
          <w:u w:val="single" w:color="auto"/>
          <w:color w:val="auto"/>
        </w:rPr>
        <w:t>Taxable Event</w:t>
      </w:r>
      <w:r>
        <w:rPr>
          <w:rFonts w:ascii="Times New Roman" w:cs="Times New Roman" w:eastAsia="Times New Roman" w:hAnsi="Times New Roman"/>
          <w:sz w:val="22"/>
          <w:szCs w:val="22"/>
          <w:color w:val="auto"/>
        </w:rPr>
        <w:t>”) within 90 days after the end of the tax year in which the Taxable Event occurs, or such other period specified in Section 222(1)(c) of the U.K. Income Tax (Earnings and Pensions) Act 2003 (the “Due Date”), then the amount that should have been withheld and/or paid shall constitute a loan owed by you to your Employer, effective on the Due Date. You agree that the loan will bear interest at the official rate of HM Revenue and Customs (“</w:t>
      </w:r>
      <w:r>
        <w:rPr>
          <w:rFonts w:ascii="Times New Roman" w:cs="Times New Roman" w:eastAsia="Times New Roman" w:hAnsi="Times New Roman"/>
          <w:sz w:val="22"/>
          <w:szCs w:val="22"/>
          <w:u w:val="single" w:color="auto"/>
          <w:color w:val="auto"/>
        </w:rPr>
        <w:t>HMRC</w:t>
      </w:r>
      <w:r>
        <w:rPr>
          <w:rFonts w:ascii="Times New Roman" w:cs="Times New Roman" w:eastAsia="Times New Roman" w:hAnsi="Times New Roman"/>
          <w:sz w:val="22"/>
          <w:szCs w:val="22"/>
          <w:color w:val="auto"/>
        </w:rPr>
        <w:t>”) and will be immediately due and repayable by you, and the Company and/or your Employer may recover it at any time thereafter (subject to Section V of the Agreement) by any of the means described in Section V of the Agreement. You also authorize the Company to delay the issuance of any Shares to you unless and until the loan is repaid in full.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Notwithstanding the foregoing, if you are an executive officer or director (as within the meaning of Section 13(k) of the Exchange Act, as amended), from time to time, the terms of the immediately foregoing provision will not apply. In the event that you are an officer or executive director and income tax is not collected from or paid by you by the Due Date, the amount of any uncollected income tax may constitute a benefit to you on which additional income tax and national insurance contributions (“</w:t>
      </w:r>
      <w:r>
        <w:rPr>
          <w:rFonts w:ascii="Times New Roman" w:cs="Times New Roman" w:eastAsia="Times New Roman" w:hAnsi="Times New Roman"/>
          <w:sz w:val="21"/>
          <w:szCs w:val="21"/>
          <w:u w:val="single" w:color="auto"/>
          <w:color w:val="auto"/>
        </w:rPr>
        <w:t>NICs</w:t>
      </w:r>
      <w:r>
        <w:rPr>
          <w:rFonts w:ascii="Times New Roman" w:cs="Times New Roman" w:eastAsia="Times New Roman" w:hAnsi="Times New Roman"/>
          <w:sz w:val="21"/>
          <w:szCs w:val="21"/>
          <w:color w:val="auto"/>
        </w:rPr>
        <w:t>”) may be payable. You acknowledge that you are responsible for reporting and paying any income tax due on this additional benefit directly to HMRC under the self-assessment regime and for reimbursing your Employer for the value of any NICs due on this additional benefit, which the Company or the Employer may recover from you by any of the means set forth in Section V of the Agreement.</w:t>
      </w:r>
    </w:p>
    <w:p>
      <w:pPr>
        <w:spacing w:after="0" w:line="17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Joint Election. </w:t>
      </w:r>
      <w:r>
        <w:rPr>
          <w:rFonts w:ascii="Times New Roman" w:cs="Times New Roman" w:eastAsia="Times New Roman" w:hAnsi="Times New Roman"/>
          <w:sz w:val="22"/>
          <w:szCs w:val="22"/>
          <w:color w:val="auto"/>
        </w:rPr>
        <w:t>As a condition of the Award, you agree to accept any liability for secondary Class 1 National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Contributions (the “</w:t>
      </w:r>
      <w:r>
        <w:rPr>
          <w:rFonts w:ascii="Times New Roman" w:cs="Times New Roman" w:eastAsia="Times New Roman" w:hAnsi="Times New Roman"/>
          <w:sz w:val="22"/>
          <w:szCs w:val="22"/>
          <w:u w:val="single" w:color="auto"/>
          <w:color w:val="auto"/>
        </w:rPr>
        <w:t>Employer NICs</w:t>
      </w:r>
      <w:r>
        <w:rPr>
          <w:rFonts w:ascii="Times New Roman" w:cs="Times New Roman" w:eastAsia="Times New Roman" w:hAnsi="Times New Roman"/>
          <w:sz w:val="22"/>
          <w:szCs w:val="22"/>
          <w:color w:val="auto"/>
        </w:rPr>
        <w:t>”) which may be payable by the Company or your Employer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- 22</w:t>
      </w:r>
    </w:p>
    <w:p>
      <w:pPr>
        <w:sectPr>
          <w:pgSz w:w="11900" w:h="16838" w:orient="portrait"/>
          <w:cols w:equalWidth="0" w:num="1">
            <w:col w:w="11420"/>
          </w:cols>
          <w:pgMar w:left="240" w:top="369" w:right="239" w:bottom="1440" w:gutter="0" w:footer="0" w:header="0"/>
        </w:sectPr>
      </w:pPr>
    </w:p>
    <w:bookmarkStart w:id="113" w:name="page114"/>
    <w:bookmarkEnd w:id="113"/>
    <w:p>
      <w:pPr>
        <w:jc w:val="both"/>
        <w:spacing w:after="0" w:line="257" w:lineRule="auto"/>
        <w:rPr>
          <w:sz w:val="20"/>
          <w:szCs w:val="20"/>
          <w:color w:val="auto"/>
        </w:rPr>
      </w:pPr>
      <w:r>
        <w:rPr>
          <w:rFonts w:ascii="Times New Roman" w:cs="Times New Roman" w:eastAsia="Times New Roman" w:hAnsi="Times New Roman"/>
          <w:sz w:val="22"/>
          <w:szCs w:val="22"/>
          <w:color w:val="auto"/>
        </w:rPr>
        <w:t>with respect to the earning and/or payment of the Performance Units and issuance of Shares in respect of the Performance Units, the assignment or release of the Performance Units for consideration or the receipt of any other benefit in connection with the Performance Units.</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Without limitation to the foregoing, you agree to make an election (the “</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V of the Agreement.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Failure by you to enter into an Election, withdrawal of approval of the Election by HMRC or a joint revocation of the Election by you and the Company or your Employer, as applicable, shall be grounds for the forfeiture and cancellation of the Performance Units, without any liability to the Company or your Employer.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STATES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Nature of Grant. </w:t>
      </w:r>
      <w:r>
        <w:rPr>
          <w:rFonts w:ascii="Times New Roman" w:cs="Times New Roman" w:eastAsia="Times New Roman" w:hAnsi="Times New Roman"/>
          <w:sz w:val="22"/>
          <w:szCs w:val="22"/>
          <w:color w:val="auto"/>
        </w:rPr>
        <w:t>The following provision replaces Section IX(j) of the Award Agreement:</w:t>
      </w:r>
    </w:p>
    <w:p>
      <w:pPr>
        <w:spacing w:after="0" w:line="224" w:lineRule="exact"/>
        <w:rPr>
          <w:sz w:val="20"/>
          <w:szCs w:val="20"/>
          <w:color w:val="auto"/>
        </w:rPr>
      </w:pPr>
    </w:p>
    <w:p>
      <w:pPr>
        <w:jc w:val="both"/>
        <w:ind w:firstLine="8"/>
        <w:spacing w:after="0" w:line="250" w:lineRule="auto"/>
        <w:tabs>
          <w:tab w:leader="none" w:pos="55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termination of your employment (whether or not in breach of local labor laws), your right to receive Performance Units and receive shares under the Plan and the Program, if any, will terminate effective as of the date that you are no longer actively employed;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right will be extended by any notice period mandated by law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Worker Adjustment and Retraining Notification Act (“</w:t>
      </w:r>
      <w:r>
        <w:rPr>
          <w:rFonts w:ascii="Times New Roman" w:cs="Times New Roman" w:eastAsia="Times New Roman" w:hAnsi="Times New Roman"/>
          <w:sz w:val="22"/>
          <w:szCs w:val="22"/>
          <w:u w:val="single" w:color="auto"/>
          <w:color w:val="auto"/>
        </w:rPr>
        <w:t>WARN Act</w:t>
      </w:r>
      <w:r>
        <w:rPr>
          <w:rFonts w:ascii="Times New Roman" w:cs="Times New Roman" w:eastAsia="Times New Roman" w:hAnsi="Times New Roman"/>
          <w:sz w:val="22"/>
          <w:szCs w:val="22"/>
          <w:color w:val="auto"/>
        </w:rPr>
        <w:t>”) notice period or similar periods pursuant to local law) and any paid administrative leave (as applicable), unless the Company shall provide you with written notice otherwise before the commencement of such notice period or leave. In such event, payment of the Performance Units shall be made in accordance with Section IV.</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VENEZUELA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Form of Settlement- Performance Units Payable Only in Shares. </w:t>
      </w:r>
      <w:r>
        <w:rPr>
          <w:rFonts w:ascii="Times New Roman" w:cs="Times New Roman" w:eastAsia="Times New Roman" w:hAnsi="Times New Roman"/>
          <w:sz w:val="22"/>
          <w:szCs w:val="22"/>
          <w:color w:val="auto"/>
        </w:rPr>
        <w:t>Notwithstanding any discretion in the Plan or anything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 in the Agreement, the Performance Units do not provide any right for you, as a resident of Venezuela, to receive a cash payment and shall be paid in Shares only.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Any Shares acquired under the Plan are intended to be a personal investment and are not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purposes of reselling the shares and converting the proceeds into foreign currency. You are advised to consult with your personal legal advisor prior to vesting and settlement of the Performance Units to ensure compliance with the applicable exchange control regulations in Venezuela, as such regulations change frequently. You are solely responsible for ensuring compliance with all exchange control laws in Venezuela.</w:t>
      </w:r>
    </w:p>
    <w:p>
      <w:pPr>
        <w:spacing w:after="0" w:line="1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Performance Units granted under the Plan and the Shares issued under the Plan are offered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 private, exclusive transaction and do not constitute a public offering under local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- 23</w:t>
      </w:r>
    </w:p>
    <w:p>
      <w:pPr>
        <w:sectPr>
          <w:pgSz w:w="11900" w:h="16838" w:orient="portrait"/>
          <w:cols w:equalWidth="0" w:num="1">
            <w:col w:w="11420"/>
          </w:cols>
          <w:pgMar w:left="240" w:top="369" w:right="2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29, 2015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Jonathan Graham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XXXXXXXXXXXX</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XXXXXXXXXXXX</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Jonathan:</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behalf of Amgen, I am pleased to offer you the position of SVP General Counsel &amp; Secretary, Level 10, reporting to Robert A. Bradway. This offer and the compensation listed are subject to your appointment by our Board of Directors (the Board) and the Compensation and Management Development Committee (the Compensation Committee) providing final approval of the compensation listed in this letter.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Your salary will be paid bi-weekly in the amount of </w:t>
      </w:r>
      <w:r>
        <w:rPr>
          <w:rFonts w:ascii="Times New Roman" w:cs="Times New Roman" w:eastAsia="Times New Roman" w:hAnsi="Times New Roman"/>
          <w:sz w:val="16"/>
          <w:szCs w:val="16"/>
          <w:b w:val="1"/>
          <w:bCs w:val="1"/>
          <w:color w:val="auto"/>
        </w:rPr>
        <w:t>$34,231.00</w:t>
      </w:r>
      <w:r>
        <w:rPr>
          <w:rFonts w:ascii="Times New Roman" w:cs="Times New Roman" w:eastAsia="Times New Roman" w:hAnsi="Times New Roman"/>
          <w:sz w:val="16"/>
          <w:szCs w:val="16"/>
          <w:color w:val="auto"/>
        </w:rPr>
        <w:t>, with 26 pay periods in one year.</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Provided that you sign a “Sign-On/Retention Bonus Agreement for New Hire Staff Members” in the form provided by Amgen, you will be eligible to earn a bonus of </w:t>
      </w:r>
      <w:r>
        <w:rPr>
          <w:rFonts w:ascii="Times New Roman" w:cs="Times New Roman" w:eastAsia="Times New Roman" w:hAnsi="Times New Roman"/>
          <w:sz w:val="16"/>
          <w:szCs w:val="16"/>
          <w:b w:val="1"/>
          <w:bCs w:val="1"/>
          <w:color w:val="auto"/>
        </w:rPr>
        <w:t>$2,000,000.00</w:t>
      </w:r>
      <w:r>
        <w:rPr>
          <w:rFonts w:ascii="Times New Roman" w:cs="Times New Roman" w:eastAsia="Times New Roman" w:hAnsi="Times New Roman"/>
          <w:sz w:val="16"/>
          <w:szCs w:val="16"/>
          <w:color w:val="auto"/>
        </w:rPr>
        <w:t>, less federal and state tax deductions and other applicable deductions and withholdings, subject to the terms of that Agreement. Please review that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information regarding timing and other payment details.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You will be granted time-vested restricted stock units (RSUs) valued at </w:t>
      </w:r>
      <w:r>
        <w:rPr>
          <w:rFonts w:ascii="Times New Roman" w:cs="Times New Roman" w:eastAsia="Times New Roman" w:hAnsi="Times New Roman"/>
          <w:sz w:val="16"/>
          <w:szCs w:val="16"/>
          <w:b w:val="1"/>
          <w:bCs w:val="1"/>
          <w:color w:val="auto"/>
        </w:rPr>
        <w:t>$8,100,000</w:t>
      </w:r>
      <w:r>
        <w:rPr>
          <w:rFonts w:ascii="Times New Roman" w:cs="Times New Roman" w:eastAsia="Times New Roman" w:hAnsi="Times New Roman"/>
          <w:sz w:val="16"/>
          <w:szCs w:val="16"/>
          <w:color w:val="auto"/>
        </w:rPr>
        <w:t>. The actual number of RSUs will be determined by dividing $8,100,000 by the closing price of Amgen common stock on the expected grant date of August 4, 2015, providing you are actively employed on that date. Upon each applicable vesting date, you will receive a number of shares of Amgen common stock equal to the number of restricted stock units that vest, less any shares that are withheld to satisfy applicable taxes. This grant will vest beginning with the first anniversary of the grant date through the fourth anniversary of the grant date at a rate of 25% each year, respectively, contingent upon your being actively employed by Amgen through each vesting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stock units will be subject to the terms and conditions set forth in the applicable grant agreement.</w:t>
      </w:r>
    </w:p>
    <w:p>
      <w:pPr>
        <w:spacing w:after="0" w:line="2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In addition, beginning in 2016, you will be eligible to receive additional grants as part of Amgen’s Long Term Incentive (LTI) program. Grants under the LTI program are discretionary as approved by the Compensation Committee.</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You will be eligible to participate in Amgen’s Global Management Incentive Plan (the “GMIP”) pursuant to the terms of the GMIP. Your annual target incentive opportunity will be </w:t>
      </w:r>
      <w:r>
        <w:rPr>
          <w:rFonts w:ascii="Times New Roman" w:cs="Times New Roman" w:eastAsia="Times New Roman" w:hAnsi="Times New Roman"/>
          <w:sz w:val="16"/>
          <w:szCs w:val="16"/>
          <w:b w:val="1"/>
          <w:bCs w:val="1"/>
          <w:color w:val="auto"/>
        </w:rPr>
        <w:t>80%</w:t>
      </w:r>
      <w:r>
        <w:rPr>
          <w:rFonts w:ascii="Times New Roman" w:cs="Times New Roman" w:eastAsia="Times New Roman" w:hAnsi="Times New Roman"/>
          <w:sz w:val="16"/>
          <w:szCs w:val="16"/>
          <w:color w:val="auto"/>
        </w:rPr>
        <w:t xml:space="preserve"> of your base salary earnings during the plan year. Awards under the GMIP are discretionary. Your actual GMIP bonus may be more or less than this target amount, and may vary based on Company performance, any other criteria selected by the Company, and management’s assessment of your individual performance and contribution. You must be actively employed through the last regularly scheduled Amgen business day of the plan year to be eligible for that year’s GMIP bonus. For purposes of the 2015 GMIP bonus, payable in 2016, we will guarantee a minimum Company performance multiplier of 130%, applied against your 2015 eligible earnings.</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You are also eligible to participate in the Amgen Nonqualified Deferred Compensation Plan (the “DCP”) to voluntarily defer, on a pre-tax basis, a portion of your annual earnings, including base salary, commissions, and/or GMIP bonus. Shortly after commencing your employment at Amgen, you will receive an enrollment e-mail regarding the DCP plan for Amgen. A Q&amp;A regarding the DCP is enclosed.</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Amgen will credit </w:t>
      </w:r>
      <w:r>
        <w:rPr>
          <w:rFonts w:ascii="Times New Roman" w:cs="Times New Roman" w:eastAsia="Times New Roman" w:hAnsi="Times New Roman"/>
          <w:sz w:val="16"/>
          <w:szCs w:val="16"/>
          <w:b w:val="1"/>
          <w:bCs w:val="1"/>
          <w:color w:val="auto"/>
        </w:rPr>
        <w:t>$2,000,000.00</w:t>
      </w:r>
      <w:r>
        <w:rPr>
          <w:rFonts w:ascii="Times New Roman" w:cs="Times New Roman" w:eastAsia="Times New Roman" w:hAnsi="Times New Roman"/>
          <w:sz w:val="16"/>
          <w:szCs w:val="16"/>
          <w:color w:val="auto"/>
        </w:rPr>
        <w:t xml:space="preserve"> on your behalf to the Amgen Nonqualified Deferred Compensation Plan (the “DCP”), a nonqualified and unfunded executive benefit plan that permits Amgen to credit contributions on behalf of staff members as a “Company Contribution Amount” (as defined in the DCP). Your </w:t>
      </w:r>
      <w:r>
        <w:rPr>
          <w:rFonts w:ascii="Times New Roman" w:cs="Times New Roman" w:eastAsia="Times New Roman" w:hAnsi="Times New Roman"/>
          <w:sz w:val="16"/>
          <w:szCs w:val="16"/>
          <w:b w:val="1"/>
          <w:bCs w:val="1"/>
          <w:color w:val="auto"/>
        </w:rPr>
        <w:t>$2,000,000.00</w:t>
      </w:r>
      <w:r>
        <w:rPr>
          <w:rFonts w:ascii="Times New Roman" w:cs="Times New Roman" w:eastAsia="Times New Roman" w:hAnsi="Times New Roman"/>
          <w:sz w:val="16"/>
          <w:szCs w:val="16"/>
          <w:color w:val="auto"/>
        </w:rPr>
        <w:t xml:space="preserve"> Company Contribution Amount will vest as follows: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20% </w:t>
      </w:r>
      <w:r>
        <w:rPr>
          <w:rFonts w:ascii="Times New Roman" w:cs="Times New Roman" w:eastAsia="Times New Roman" w:hAnsi="Times New Roman"/>
          <w:sz w:val="16"/>
          <w:szCs w:val="16"/>
          <w:color w:val="auto"/>
        </w:rPr>
        <w:t>on the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anniversary of the date of your employment with Amgen and its subsidiaries.</w:t>
      </w:r>
    </w:p>
    <w:p>
      <w:pPr>
        <w:spacing w:after="0" w:line="187" w:lineRule="auto"/>
        <w:rPr>
          <w:sz w:val="20"/>
          <w:szCs w:val="20"/>
          <w:color w:val="auto"/>
        </w:rPr>
      </w:pPr>
      <w:r>
        <w:rPr>
          <w:rFonts w:ascii="Times New Roman" w:cs="Times New Roman" w:eastAsia="Times New Roman" w:hAnsi="Times New Roman"/>
          <w:sz w:val="16"/>
          <w:szCs w:val="16"/>
          <w:b w:val="1"/>
          <w:bCs w:val="1"/>
          <w:color w:val="auto"/>
        </w:rPr>
        <w:t xml:space="preserve">20% </w:t>
      </w:r>
      <w:r>
        <w:rPr>
          <w:rFonts w:ascii="Times New Roman" w:cs="Times New Roman" w:eastAsia="Times New Roman" w:hAnsi="Times New Roman"/>
          <w:sz w:val="16"/>
          <w:szCs w:val="16"/>
          <w:color w:val="auto"/>
        </w:rPr>
        <w:t>on the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anniversary of the date of your employment with Amgen and its subsidiaries.</w:t>
      </w:r>
    </w:p>
    <w:p>
      <w:pPr>
        <w:spacing w:after="0" w:line="188" w:lineRule="auto"/>
        <w:rPr>
          <w:sz w:val="20"/>
          <w:szCs w:val="20"/>
          <w:color w:val="auto"/>
        </w:rPr>
      </w:pPr>
      <w:r>
        <w:rPr>
          <w:rFonts w:ascii="Times New Roman" w:cs="Times New Roman" w:eastAsia="Times New Roman" w:hAnsi="Times New Roman"/>
          <w:sz w:val="16"/>
          <w:szCs w:val="16"/>
          <w:b w:val="1"/>
          <w:bCs w:val="1"/>
          <w:color w:val="auto"/>
        </w:rPr>
        <w:t xml:space="preserve">20% </w:t>
      </w:r>
      <w:r>
        <w:rPr>
          <w:rFonts w:ascii="Times New Roman" w:cs="Times New Roman" w:eastAsia="Times New Roman" w:hAnsi="Times New Roman"/>
          <w:sz w:val="16"/>
          <w:szCs w:val="16"/>
          <w:color w:val="auto"/>
        </w:rPr>
        <w:t>on the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anniversary of the date of your employment with Amgen and its subsidiaries.</w:t>
      </w:r>
    </w:p>
    <w:p>
      <w:pPr>
        <w:spacing w:after="0" w:line="188" w:lineRule="auto"/>
        <w:rPr>
          <w:sz w:val="20"/>
          <w:szCs w:val="20"/>
          <w:color w:val="auto"/>
        </w:rPr>
      </w:pPr>
      <w:r>
        <w:rPr>
          <w:rFonts w:ascii="Times New Roman" w:cs="Times New Roman" w:eastAsia="Times New Roman" w:hAnsi="Times New Roman"/>
          <w:sz w:val="16"/>
          <w:szCs w:val="16"/>
          <w:b w:val="1"/>
          <w:bCs w:val="1"/>
          <w:color w:val="auto"/>
        </w:rPr>
        <w:t xml:space="preserve">20% </w:t>
      </w:r>
      <w:r>
        <w:rPr>
          <w:rFonts w:ascii="Times New Roman" w:cs="Times New Roman" w:eastAsia="Times New Roman" w:hAnsi="Times New Roman"/>
          <w:sz w:val="16"/>
          <w:szCs w:val="16"/>
          <w:color w:val="auto"/>
        </w:rPr>
        <w:t>on the 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anniversary of the date of your employment with Amgen and its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20% </w:t>
      </w:r>
      <w:r>
        <w:rPr>
          <w:rFonts w:ascii="Times New Roman" w:cs="Times New Roman" w:eastAsia="Times New Roman" w:hAnsi="Times New Roman"/>
          <w:sz w:val="16"/>
          <w:szCs w:val="16"/>
          <w:color w:val="auto"/>
        </w:rPr>
        <w:t>on the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anniversary of the date of your employment with Amgen and its subsidiaries.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Upon vesting, each portion of the contribution plus any gains or losses are subject to FICA and will be withheld as soon as possible from your next available payroll check.</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15" w:name="page116"/>
    <w:bookmarkEnd w:id="115"/>
    <w:p>
      <w:pPr>
        <w:jc w:val="both"/>
        <w:spacing w:after="0" w:line="263" w:lineRule="auto"/>
        <w:rPr>
          <w:sz w:val="20"/>
          <w:szCs w:val="20"/>
          <w:color w:val="auto"/>
        </w:rPr>
      </w:pPr>
      <w:r>
        <w:rPr>
          <w:rFonts w:ascii="Times New Roman" w:cs="Times New Roman" w:eastAsia="Times New Roman" w:hAnsi="Times New Roman"/>
          <w:sz w:val="16"/>
          <w:szCs w:val="16"/>
          <w:color w:val="auto"/>
        </w:rPr>
        <w:t>This credit, plus any credited earnings (or minus any losses) will be paid to you after your “Separation from Service” (as defined in the DCP) in accordance with the terms of the DCP. Generally, Separation from Service means the termination of your employment with Amgen and its subsidiaries. Please note that Company contributions are not eligible for the Short-Term Payout provision of the DCP.</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addition, your position will make you eligible to participate in the Amgen Inc. Change of Control Severance Plan, as amended from time to time (the “COC”). COC eligibility and benefit levels are determined immediately prior to a “Change of Control” as defined in the COC. If, upon your termination, you are eligible to receive severance benefits under the COC and you are also eligible to receive severance benefits from another plan agreement or other source, you will be paid the greater of the amount from that plan or the amount provided in the COC, but not both amounts. A copy of the COC is enclosed.</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If, within the first 2 years of your employment with Amgen, Amgen terminates your employment without “Cause”, as defined below, you will be entitled to the benefits described in this paragraph (the “Termination Paragraph), provided that you sign a general release in the form furnished to you by Amgen and do not timely revoke it. The following are such benefits: two (2) times the sum of your annual base salary, then in effect, and target cash incentive opportunity (i.e., GMIP or successor bonus plan target, which is currently 80%), then in effect, paid in a lump sum as soon as administratively practicable, but in no event later than March 15 of the year following the year in which Amgen terminates your employment and (2) if you elect continuation coverage under the Amgen group medical and dental plans for yourself and your qualified beneficiaries under the Consolidated Omnibus Budget Reconciliation Act of 1985 (“COBRA”), Amgen will pay the cost of such coverage until the earlier to occur of the following: (A) eighteen (18) months following your termination of employment or (B) the date on which you are no longer eligible for such COBRA coverage. Please note that this Termination Paragraph does not alter the at-will nature of your employment at Amgen.</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purposes of the Termination Paragraph, “Cause” means (i) unfitness for service, inattention to or neglect of duties, or incompetence; (ii) dishonesty; (iii) disregard or violation of the policies or procedures of Amgen; (iv) refusal or failure to follow lawful directions of the Company; (v) illegal, unethical or immoral conduct; or (vi) breach of the attached Amgen Proprietary Information and Inventions Agreement.</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an executive at Amgen, you will be eligible for the following: an annual physical examination provided by Amgen; and, reimbursement for up to $15,000.00, less federal and state tax deductions and other applicable deductions and withholdings, for financial counseling, tax preparation and related services. This value will be treated as imputed income for purposes of tax treatment.</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You will also have the opportunity to participate in our comprehensive benefits program. Amgen’s excellent health care plan currently includes medical, dental, and vision coverage for you and your eligible dependents. Amgen currently pays the major expense for these programs while staff members share through payroll deductions. Please be advised that in order for you and your dependents to be eligible for Amgen’s medical coverage you must:</w:t>
      </w:r>
    </w:p>
    <w:p>
      <w:pPr>
        <w:spacing w:after="0" w:line="192"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Report to work at Amgen or another location to which you are required to travel and perform the regular duties of your employment.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Contact the Amgen Benefits Center at 1-800-97AMGEN, to enroll within 31 days of your hire date.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Meet all other eligibility requirements under the plan.</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Amgen Retirement and Savings Plan, our 401(k) plan, provides an opportunity for you to save a percentage of your pay (based on Internal Revenue Service limits) on a tax-deferred basis. Amgen will also contribute to your 401(k) account to help you save for your future financial goals. These benefits, services and programs are summarized in the enclosed brochure called “A Guide to Total Rewards at Amgen.”</w:t>
      </w:r>
    </w:p>
    <w:p>
      <w:pPr>
        <w:spacing w:after="0" w:line="1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This offer of employment is contingent upon confirmation by Amgen of information listed on your employment application, and the receipt by Amgen of satisfactory results from a background verification and pre-employment drug test (drug test must be taken within 3 business days of receiving written offer).</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Enclosed and included as part of this offer (Attachment 1) is information regarding Amgen's Proprietary Information and Inventions Agreement, the Immigration Reform &amp; Control Act, and a packet of materials entitled "Arbitration of Disputes" which includes a Mutual Agreement to Arbitrate Claims. Also enclosed and included as part of this offer in Attachment 1 is information regarding Amgen's New Staff Member Letter and Certification. This offer is contingent upon you truthfully and accurately completing the Certification, and returning it to the Company before your first day of employment.</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This offer of employment is contingent upon your completing the items described in Attachment 1, and upon your ability to perform for Amgen all of the duties of your position without restriction from, or violation of, any enforceable contractual obligations owed to any former employer or entity for whom you worked or provided service(s).</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Also enclosed and included, as part of this offer (Offer Letter Benefit Summary), is information about the main points of the relocation assistance that Amgen will provide to you to relocate to the “local area.” Please note that relocation assistance is contingent upon your execution of the enclosed “Amgen Relocation Agreement for New Hire Staff Members,” subject to the terms of that Agreement, and that relocation benefits are limited to one benefits package per household.</w:t>
      </w:r>
    </w:p>
    <w:p>
      <w:pPr>
        <w:spacing w:after="0" w:line="1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You will be contacted by a Relocation Counselor to initiate your relocation benefits within 7 business days after receipt of your signed acceptance of this offer and your signed New Hire Relocation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9" w:right="239" w:bottom="1440" w:gutter="0" w:footer="0" w:header="0"/>
        </w:sectPr>
      </w:pPr>
    </w:p>
    <w:bookmarkStart w:id="116" w:name="page117"/>
    <w:bookmarkEnd w:id="116"/>
    <w:p>
      <w:pPr>
        <w:jc w:val="both"/>
        <w:spacing w:after="0" w:line="250" w:lineRule="auto"/>
        <w:rPr>
          <w:sz w:val="20"/>
          <w:szCs w:val="20"/>
          <w:color w:val="auto"/>
        </w:rPr>
      </w:pPr>
      <w:r>
        <w:rPr>
          <w:rFonts w:ascii="Times New Roman" w:cs="Times New Roman" w:eastAsia="Times New Roman" w:hAnsi="Times New Roman"/>
          <w:sz w:val="16"/>
          <w:szCs w:val="16"/>
          <w:color w:val="auto"/>
        </w:rPr>
        <w:t>By signing this letter, you understand and agree that your employment with Amgen is at-will. Therefore, your employment can terminate, with or without cause, and with or without notice, at any time, at your option or Amgen's option, and Amgen can terminate or change all other terms and conditions of your employment, with or without cause, and with or without notice, at any time. This at-will relationship will remain in effect throughout your employment with either Amgen Inc. or any of its subsidiaries or affiliates. This letter, and its enclosures, constitutes the entire agreement, arrangement and understanding between you and Amgen on the nature and terms of your employment with Amgen, including, but not limited to, the kind, character and existence of your proposed job duties, the length of time your employment will last, and the compensation you will receive. This letter, its enclosures, supersedes any prior or contemporaneous agreement, arrangement or understanding on this subject matter. By executing this letter as provided below, you expressly acknowledge the termination of any such prior agreement, arrangement or understanding, except as referenced in this letter and/or its enclosures. Also, by your execution of this letter, you affirm that no one has made any written or oral statement that contradicts the provisions of this letter or its enclosures. The at-will nature of your employment, as set forth in this paragraph, can be modified only by a written agreement signed by both Amgen's Senior Vice President of Human Resources and you which expressly alters it. This at-will relationship may not be modified by any oral or implied agreement or by any Company policies, practices or patterns of conduct.</w:t>
      </w:r>
    </w:p>
    <w:p>
      <w:pPr>
        <w:spacing w:after="0" w:line="3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complete terms of the plans, programs and policies referenced to in this letter are set forth in their respective documents, which are maintained by the Company. The Company reserves the right to amend or terminate any of these plans, programs or policies at any time, in its sole discretion. In the event of any difference between this offer letter and the provisions of the respective plan, program or policy document, the respective document will govern.</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You have made an excellent impression on the staff at Amgen. We are enthusiastic about the contribution you can make, and we believe that Amgen can provide you with attractive opportunities for personal achievement and growth. I look forward to your favorable reply by </w:t>
      </w:r>
      <w:r>
        <w:rPr>
          <w:rFonts w:ascii="Times New Roman" w:cs="Times New Roman" w:eastAsia="Times New Roman" w:hAnsi="Times New Roman"/>
          <w:sz w:val="16"/>
          <w:szCs w:val="16"/>
          <w:b w:val="1"/>
          <w:bCs w:val="1"/>
          <w:color w:val="auto"/>
        </w:rPr>
        <w:t>May 6, 2015.</w:t>
      </w:r>
      <w:r>
        <w:rPr>
          <w:rFonts w:ascii="Times New Roman" w:cs="Times New Roman" w:eastAsia="Times New Roman" w:hAnsi="Times New Roman"/>
          <w:sz w:val="16"/>
          <w:szCs w:val="16"/>
          <w:color w:val="auto"/>
        </w:rPr>
        <w:t xml:space="preserve"> If you accept our offer, please sign and date the </w:t>
      </w:r>
      <w:r>
        <w:rPr>
          <w:rFonts w:ascii="Times New Roman" w:cs="Times New Roman" w:eastAsia="Times New Roman" w:hAnsi="Times New Roman"/>
          <w:sz w:val="16"/>
          <w:szCs w:val="16"/>
          <w:b w:val="1"/>
          <w:bCs w:val="1"/>
          <w:i w:val="1"/>
          <w:iCs w:val="1"/>
          <w:color w:val="auto"/>
        </w:rPr>
        <w:t>copy</w:t>
      </w:r>
      <w:r>
        <w:rPr>
          <w:rFonts w:ascii="Times New Roman" w:cs="Times New Roman" w:eastAsia="Times New Roman" w:hAnsi="Times New Roman"/>
          <w:sz w:val="16"/>
          <w:szCs w:val="16"/>
          <w:color w:val="auto"/>
        </w:rPr>
        <w:t xml:space="preserve"> of the letter and return it in the enclosed envelope to our Staffing Department along with the completed and signed Proprietary Information and Inventions Agreement and the Mutual Agreement to Arbitrate Claims. Please retain the original offer letter for your records. If you have any questions regarding this offer, please contact me at (805) 447-</w:t>
      </w:r>
    </w:p>
    <w:p>
      <w:pPr>
        <w:spacing w:after="0" w:line="2" w:lineRule="exact"/>
        <w:rPr>
          <w:sz w:val="20"/>
          <w:szCs w:val="20"/>
          <w:color w:val="auto"/>
        </w:rPr>
      </w:pPr>
    </w:p>
    <w:p>
      <w:pPr>
        <w:ind w:right="8140" w:firstLine="8"/>
        <w:spacing w:after="0" w:line="516" w:lineRule="auto"/>
        <w:tabs>
          <w:tab w:leader="none" w:pos="52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 Greg XXXXXXX at (805) 447-XXXX. Sincerely,</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 Stuart A. Tross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Stuart A. Tross,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Vice President, Human Resources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ST:zn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 Jonathan P. Graham</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5/19/2015</w:t>
            </w:r>
          </w:p>
        </w:tc>
      </w:tr>
      <w:tr>
        <w:trPr>
          <w:trHeight w:val="33"/>
        </w:trPr>
        <w:tc>
          <w:tcPr>
            <w:tcW w:w="23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17"/>
        </w:trPr>
        <w:tc>
          <w:tcPr>
            <w:tcW w:w="2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Signature of Acceptance</w:t>
            </w:r>
          </w:p>
        </w:tc>
        <w:tc>
          <w:tcPr>
            <w:tcW w:w="234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rPr>
              <w:t>Date</w:t>
            </w:r>
          </w:p>
        </w:tc>
      </w:tr>
    </w:tbl>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43821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Last 4 Digits of Social Security Number (For Identification Purposes)</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Last 4 Digits of Government ID (If No Social Security Number)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7/13/2015</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Anticipated Start Date (Hereinafter - “Hire Date”)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85"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color w:val="auto"/>
        </w:rPr>
        <w:t>ATTACHMENT 1</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order to accept our offer you will be required to:</w:t>
      </w:r>
    </w:p>
    <w:p>
      <w:pPr>
        <w:spacing w:after="0" w:line="221"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Complete, date and sign the Amgen Proprietary Information and Inventions Agreement and return it with your signed offer letter.</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 and date the Amgen New Staff Member Letter and Certification and return it with your signed offer letter.</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and sign the enclosed Mutual Agreement to Arbitrate Claims and return it with your signed offer letter.</w:t>
      </w:r>
    </w:p>
    <w:p>
      <w:pPr>
        <w:spacing w:after="0" w:line="221" w:lineRule="exact"/>
        <w:rPr>
          <w:rFonts w:ascii="Times New Roman" w:cs="Times New Roman" w:eastAsia="Times New Roman" w:hAnsi="Times New Roman"/>
          <w:sz w:val="16"/>
          <w:szCs w:val="16"/>
          <w:color w:val="auto"/>
        </w:rPr>
      </w:pPr>
    </w:p>
    <w:p>
      <w:pPr>
        <w:ind w:left="1300" w:hanging="644"/>
        <w:spacing w:after="0" w:line="281" w:lineRule="auto"/>
        <w:tabs>
          <w:tab w:leader="none" w:pos="13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will be required to provide Amgen with proof of your identity and eligibility for employment per requirements of the Immigration Reform and Control Act of 1986 within 3 (three) days of hire. Information pertaining to this Act and required proof are enclosed.</w:t>
      </w:r>
    </w:p>
    <w:p>
      <w:pPr>
        <w:spacing w:after="0" w:line="163"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California non-exempt staff only, sign and date the Notice To Employee, Labor Code 2810.5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7" w:right="2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NEW STAFF MEMBER LETTER AND CERTIFICATION</w:t>
      </w:r>
    </w:p>
    <w:p>
      <w:pPr>
        <w:spacing w:after="0" w:line="223"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Welcome to Amgen (the “Company”). The Company has no need to learn and does not want any proprietary, confidential or trade secret information or other property that belongs to any prior employers, entities or other persons you have worked for (collectively, “Prior Employers”). Please review and comply with the following instructions and policies, and execute the Certification below.</w:t>
      </w:r>
    </w:p>
    <w:p>
      <w:pPr>
        <w:spacing w:after="0" w:line="192" w:lineRule="exact"/>
        <w:rPr>
          <w:sz w:val="20"/>
          <w:szCs w:val="20"/>
          <w:color w:val="auto"/>
        </w:rPr>
      </w:pPr>
    </w:p>
    <w:p>
      <w:pPr>
        <w:ind w:left="500" w:right="40" w:hanging="330"/>
        <w:spacing w:after="0" w:line="286"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Carefully read the Company’s Proprietary Information and Inventions Agreement (“PIIA”) that you have executed, and make sure that you understand your obligations under the terms of the PIIA. If you have any questions, please contact Human Resources.</w:t>
      </w:r>
    </w:p>
    <w:p>
      <w:pPr>
        <w:spacing w:after="0" w:line="182" w:lineRule="exact"/>
        <w:rPr>
          <w:rFonts w:ascii="Times New Roman" w:cs="Times New Roman" w:eastAsia="Times New Roman" w:hAnsi="Times New Roman"/>
          <w:sz w:val="18"/>
          <w:szCs w:val="18"/>
          <w:color w:val="auto"/>
        </w:rPr>
      </w:pPr>
    </w:p>
    <w:p>
      <w:pPr>
        <w:ind w:left="500" w:right="20" w:hanging="330"/>
        <w:spacing w:after="0" w:line="286"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You may not bring any material to the Company from third parties in hard copy, in electronic format or in any other form. Nor should you use any such material in your work for the Company.</w:t>
      </w:r>
    </w:p>
    <w:p>
      <w:pPr>
        <w:spacing w:after="0" w:line="168" w:lineRule="exact"/>
        <w:rPr>
          <w:rFonts w:ascii="Times New Roman" w:cs="Times New Roman" w:eastAsia="Times New Roman" w:hAnsi="Times New Roman"/>
          <w:sz w:val="18"/>
          <w:szCs w:val="18"/>
          <w:color w:val="auto"/>
        </w:rPr>
      </w:pPr>
    </w:p>
    <w:p>
      <w:pPr>
        <w:jc w:val="both"/>
        <w:ind w:left="500" w:right="80" w:hanging="330"/>
        <w:spacing w:after="0" w:line="263" w:lineRule="auto"/>
        <w:tabs>
          <w:tab w:leader="none" w:pos="5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commencing any work for the Company, conduct a search of your personal computer(s), email accounts, and any other electronic storage devices you possess, as well as any files you maintain in hard copy, for information or materials belonging to your Prior Employers. You are instructed to make appropriate arrangements to return any such information or materials belonging to your Prior Employers, consistent with any obligations you have to the Prior Employers.</w:t>
      </w:r>
    </w:p>
    <w:p>
      <w:pPr>
        <w:spacing w:after="0" w:line="191" w:lineRule="exact"/>
        <w:rPr>
          <w:rFonts w:ascii="Times New Roman" w:cs="Times New Roman" w:eastAsia="Times New Roman" w:hAnsi="Times New Roman"/>
          <w:sz w:val="16"/>
          <w:szCs w:val="16"/>
          <w:color w:val="auto"/>
        </w:rPr>
      </w:pPr>
    </w:p>
    <w:p>
      <w:pPr>
        <w:ind w:left="500" w:hanging="330"/>
        <w:spacing w:after="0" w:line="281"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Do not disclose to or provide the Company with any customer lists you obtained from or during your employment with your Prior Employers. When interacting with doctors or other members of the healthcare industry with whom you may have had contact while working for your Prior Employers, clearly indicate to such persons that you are an Amgen staff member, and focus on the Company’s products rather than using or discussing information related to your prior employment.</w:t>
      </w:r>
    </w:p>
    <w:p>
      <w:pPr>
        <w:spacing w:after="0" w:line="177" w:lineRule="exact"/>
        <w:rPr>
          <w:rFonts w:ascii="Times New Roman" w:cs="Times New Roman" w:eastAsia="Times New Roman" w:hAnsi="Times New Roman"/>
          <w:sz w:val="18"/>
          <w:szCs w:val="18"/>
          <w:color w:val="auto"/>
        </w:rPr>
      </w:pPr>
    </w:p>
    <w:p>
      <w:pPr>
        <w:ind w:left="500" w:right="320" w:hanging="330"/>
        <w:spacing w:after="0" w:line="281" w:lineRule="auto"/>
        <w:tabs>
          <w:tab w:leader="none" w:pos="5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have any doubts regarding whether you may take, disclose, upload, access, or use any information in your possession, you must err on the side of not taking, disclosing, uploading, accessing or using the information.</w:t>
      </w:r>
    </w:p>
    <w:p>
      <w:pPr>
        <w:spacing w:after="0" w:line="176" w:lineRule="exact"/>
        <w:rPr>
          <w:rFonts w:ascii="Times New Roman" w:cs="Times New Roman" w:eastAsia="Times New Roman" w:hAnsi="Times New Roman"/>
          <w:sz w:val="16"/>
          <w:szCs w:val="16"/>
          <w:color w:val="auto"/>
        </w:rPr>
      </w:pPr>
    </w:p>
    <w:p>
      <w:pPr>
        <w:ind w:left="500" w:hanging="330"/>
        <w:spacing w:after="0"/>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Do not begin any work for the Company before your employment with your Prior Employers has officially ended.</w:t>
      </w:r>
    </w:p>
    <w:p>
      <w:pPr>
        <w:spacing w:after="0" w:line="225" w:lineRule="exact"/>
        <w:rPr>
          <w:rFonts w:ascii="Times New Roman" w:cs="Times New Roman" w:eastAsia="Times New Roman" w:hAnsi="Times New Roman"/>
          <w:sz w:val="18"/>
          <w:szCs w:val="18"/>
          <w:color w:val="auto"/>
        </w:rPr>
      </w:pPr>
    </w:p>
    <w:p>
      <w:pPr>
        <w:ind w:left="500" w:right="720" w:hanging="330"/>
        <w:spacing w:after="0" w:line="286"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After commencing work for the Company, do not request that any employee of your Prior Employers provide you with, or take any other steps to obtain, any information or property of your Prior Employers.</w:t>
      </w:r>
    </w:p>
    <w:p>
      <w:pPr>
        <w:spacing w:after="0" w:line="182" w:lineRule="exact"/>
        <w:rPr>
          <w:rFonts w:ascii="Times New Roman" w:cs="Times New Roman" w:eastAsia="Times New Roman" w:hAnsi="Times New Roman"/>
          <w:sz w:val="18"/>
          <w:szCs w:val="18"/>
          <w:color w:val="auto"/>
        </w:rPr>
      </w:pPr>
    </w:p>
    <w:p>
      <w:pPr>
        <w:ind w:left="500" w:right="160" w:hanging="330"/>
        <w:spacing w:after="0" w:line="281"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Under no circumstances are you permitted to connect to a Company computer any electronic storage device containing information or property relating to your Prior Employers. Likewise, in performing work for the Company, you are not permitted to use, disclose, access or upload any such information or property. If you discover that any confidential, proprietary, or trade secret information or property of your Prior Employers has been uploaded to any Company computer or email system(s), immediately inform Human Resources.</w:t>
      </w:r>
    </w:p>
    <w:p>
      <w:pPr>
        <w:spacing w:after="0" w:line="191" w:lineRule="exact"/>
        <w:rPr>
          <w:rFonts w:ascii="Times New Roman" w:cs="Times New Roman" w:eastAsia="Times New Roman" w:hAnsi="Times New Roman"/>
          <w:sz w:val="18"/>
          <w:szCs w:val="18"/>
          <w:color w:val="auto"/>
        </w:rPr>
      </w:pPr>
    </w:p>
    <w:p>
      <w:pPr>
        <w:ind w:left="500" w:right="40" w:hanging="330"/>
        <w:spacing w:after="0" w:line="286"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Company may monitor and/or conduct an audit of your use of Company computer systems, and you should not have any expectation of privacy in data sent, stored or received on any Company systems. See the Company’s Use of Company Systems and Internet Conduct Policy for further details.</w:t>
      </w:r>
    </w:p>
    <w:p>
      <w:pPr>
        <w:spacing w:after="0" w:line="182" w:lineRule="exact"/>
        <w:rPr>
          <w:rFonts w:ascii="Times New Roman" w:cs="Times New Roman" w:eastAsia="Times New Roman" w:hAnsi="Times New Roman"/>
          <w:sz w:val="18"/>
          <w:szCs w:val="18"/>
          <w:color w:val="auto"/>
        </w:rPr>
      </w:pPr>
    </w:p>
    <w:p>
      <w:pPr>
        <w:ind w:left="500" w:right="80" w:hanging="330"/>
        <w:spacing w:after="0" w:line="281"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Disclose and identify below all agreements relating to your Prior Employers that may affect your eligibility to become employed by and/or to perform work for the Company, including any non-competition agreement(s), agreements relating to the solicitation of employees or customers, or other restrictive agreements (collectively, “Restrictive Agreements”), regardless of whether you believe these agreements are enforceable, apply to your potential employment with the Company, or have expired, and provide a copy to Human Resources. If “none,” please so indicate. </w:t>
      </w:r>
      <w:r>
        <w:rPr>
          <w:rFonts w:ascii="Times New Roman" w:cs="Times New Roman" w:eastAsia="Times New Roman" w:hAnsi="Times New Roman"/>
          <w:sz w:val="16"/>
          <w:szCs w:val="16"/>
          <w:b w:val="1"/>
          <w:bCs w:val="1"/>
          <w:color w:val="auto"/>
        </w:rPr>
        <w:t>Do not leave blank.</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w w:val="99"/>
              </w:rPr>
              <w:t>Name of Agreement</w:t>
            </w:r>
          </w:p>
        </w:tc>
        <w:tc>
          <w:tcPr>
            <w:tcW w:w="26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Employer</w:t>
            </w:r>
          </w:p>
        </w:tc>
        <w:tc>
          <w:tcPr>
            <w:tcW w:w="1160" w:type="dxa"/>
            <w:vAlign w:val="bottom"/>
          </w:tcPr>
          <w:p>
            <w:pPr>
              <w:spacing w:after="0"/>
              <w:rPr>
                <w:sz w:val="16"/>
                <w:szCs w:val="16"/>
                <w:color w:val="auto"/>
              </w:rPr>
            </w:pPr>
          </w:p>
        </w:tc>
        <w:tc>
          <w:tcPr>
            <w:tcW w:w="1720" w:type="dxa"/>
            <w:vAlign w:val="bottom"/>
            <w:gridSpan w:val="3"/>
          </w:tcPr>
          <w:p>
            <w:pPr>
              <w:jc w:val="right"/>
              <w:ind w:right="859"/>
              <w:spacing w:after="0"/>
              <w:rPr>
                <w:sz w:val="20"/>
                <w:szCs w:val="20"/>
                <w:color w:val="auto"/>
              </w:rPr>
            </w:pPr>
            <w:r>
              <w:rPr>
                <w:rFonts w:ascii="Times New Roman" w:cs="Times New Roman" w:eastAsia="Times New Roman" w:hAnsi="Times New Roman"/>
                <w:sz w:val="16"/>
                <w:szCs w:val="16"/>
                <w:color w:val="auto"/>
                <w:w w:val="99"/>
              </w:rPr>
              <w:t>Date signed</w:t>
            </w:r>
          </w:p>
        </w:tc>
      </w:tr>
      <w:tr>
        <w:trPr>
          <w:trHeight w:val="285"/>
        </w:trPr>
        <w:tc>
          <w:tcPr>
            <w:tcW w:w="40" w:type="dxa"/>
            <w:vAlign w:val="bottom"/>
          </w:tcPr>
          <w:p>
            <w:pPr>
              <w:spacing w:after="0"/>
              <w:rPr>
                <w:sz w:val="24"/>
                <w:szCs w:val="24"/>
                <w:color w:val="auto"/>
              </w:rPr>
            </w:pP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None</w:t>
            </w:r>
          </w:p>
        </w:tc>
        <w:tc>
          <w:tcPr>
            <w:tcW w:w="26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Borders>
              <w:top w:val="single" w:sz="8" w:color="auto"/>
            </w:tcBorders>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5/19/2015</w:t>
            </w:r>
          </w:p>
        </w:tc>
      </w:tr>
      <w:tr>
        <w:trPr>
          <w:trHeight w:val="33"/>
        </w:trPr>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205740</wp:posOffset>
            </wp:positionV>
            <wp:extent cx="634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41763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(Attach additional sheets, if necessary)</w:t>
      </w:r>
    </w:p>
    <w:p>
      <w:pPr>
        <w:spacing w:after="0" w:line="235" w:lineRule="exact"/>
        <w:rPr>
          <w:sz w:val="20"/>
          <w:szCs w:val="20"/>
          <w:color w:val="auto"/>
        </w:rPr>
      </w:pPr>
    </w:p>
    <w:p>
      <w:pPr>
        <w:ind w:left="500" w:right="180" w:hanging="330"/>
        <w:spacing w:after="0" w:line="281"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If you are subject to an agreement not to solicit employees of your Prior Employers, you should refrain from doing so. You should specifically inform Human Resources if you are subject to such an agreement. If you are subject to such an agreement and a former colleague contacts you about employment opportunities with the Company, please contact Human Resources for assistance.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583" w:right="259" w:bottom="1440" w:gutter="0" w:footer="0" w:header="0"/>
        </w:sectPr>
      </w:pPr>
    </w:p>
    <w:bookmarkStart w:id="119" w:name="page120"/>
    <w:bookmarkEnd w:id="119"/>
    <w:p>
      <w:pPr>
        <w:ind w:left="500" w:hanging="330"/>
        <w:spacing w:after="0" w:line="286" w:lineRule="auto"/>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Do not use any email account (including Company email accounts), text messages, Instant Messaging, or any other method of written communication to store or discuss any proprietary, confidential or trade secret information or other property belonging to your Prior Employers.</w:t>
      </w:r>
    </w:p>
    <w:p>
      <w:pPr>
        <w:spacing w:after="0" w:line="182" w:lineRule="exact"/>
        <w:rPr>
          <w:rFonts w:ascii="Times New Roman" w:cs="Times New Roman" w:eastAsia="Times New Roman" w:hAnsi="Times New Roman"/>
          <w:sz w:val="18"/>
          <w:szCs w:val="18"/>
          <w:color w:val="auto"/>
        </w:rPr>
      </w:pPr>
    </w:p>
    <w:p>
      <w:pPr>
        <w:ind w:left="500" w:right="420" w:hanging="330"/>
        <w:spacing w:after="0" w:line="281" w:lineRule="auto"/>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Immediately inform Human Resources if you are contacted in any manner by any former employer regarding your work for Amgen and/or any non-competition agreements, agreements that relate to the solicitation of employees or customers, or any other restrictive agreements you entered into in connection with any Prior Employers.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CERTIFICATION</w:t>
      </w:r>
    </w:p>
    <w:p>
      <w:pPr>
        <w:spacing w:after="0" w:line="33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I understand that the above list is only a summary and does not purport to include all of my continuing obligations to the Company. By signing below I certify that I have and will continue to comply with the above instructions and policies.</w:t>
      </w:r>
    </w:p>
    <w:p>
      <w:pPr>
        <w:spacing w:after="0" w:line="136"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I hereby agree that the Company may, at its sole option and discretion contact my Prior Employer(s) to determine whether any Restrictive Agreements exist and, if so, their applicable terms. I acknowledge that the Company may revoke its offer or terminate my employment if it determines in its reasonable business judgment that I have failed to disclose or am otherwise subject to an enforceable Restrictive Agreement or my failure to abide by the certifications contained herein.</w:t>
      </w:r>
    </w:p>
    <w:p>
      <w:pPr>
        <w:spacing w:after="0" w:line="15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Nothing in this Letter and Certification is intended to alter, or shall have any impact on, my status as an at-will employee of the Company. In addition to its right to terminate my employment, the Company shall have the right to suspend me from work without pay during its investigation into (1) the existence and/or enforceability of any restrictions on my ability to perform work for the Company should I fail to disclose a Restrictive Agreement, or (2) the failure to abide by the certifications contained herein.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agree: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Jonathan P. Graham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of Staff Member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Jonathan P. Graham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Print Name of Staff Member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XXX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Last 4 Digits of Social Security Number (For Identification Purposes)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Last 4 Digits of Government ID (If No Social Security Number)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5/19/2015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82" w:right="2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AMGEN SIGN-ON/RETENTION BONUS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NEW HIRE STAFF MEMBERS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Jonathan P. Graham, agree to accept my sign-on/retention bonus payment (“Bonus”) from Amgen on the following terms.</w:t>
      </w:r>
    </w:p>
    <w:p>
      <w:pPr>
        <w:spacing w:after="0" w:line="194"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the Bonus is described in the offer letter (as may be amended) that was provided separately to me.</w:t>
      </w:r>
    </w:p>
    <w:p>
      <w:pPr>
        <w:spacing w:after="0" w:line="194"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Bonus will generally be paid to me as follows:</w:t>
      </w:r>
    </w:p>
    <w:p>
      <w:pPr>
        <w:spacing w:after="0" w:line="192" w:lineRule="exact"/>
        <w:rPr>
          <w:rFonts w:ascii="Times New Roman" w:cs="Times New Roman" w:eastAsia="Times New Roman" w:hAnsi="Times New Roman"/>
          <w:sz w:val="16"/>
          <w:szCs w:val="16"/>
          <w:color w:val="auto"/>
        </w:rPr>
      </w:pPr>
    </w:p>
    <w:p>
      <w:pPr>
        <w:jc w:val="both"/>
        <w:ind w:left="1300" w:hanging="320"/>
        <w:spacing w:after="0" w:line="253" w:lineRule="auto"/>
        <w:tabs>
          <w:tab w:leader="none" w:pos="130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thirty (30) days following my start date with Amgen, I will be paid </w:t>
      </w:r>
      <w:r>
        <w:rPr>
          <w:rFonts w:ascii="Times New Roman" w:cs="Times New Roman" w:eastAsia="Times New Roman" w:hAnsi="Times New Roman"/>
          <w:sz w:val="16"/>
          <w:szCs w:val="16"/>
          <w:b w:val="1"/>
          <w:bCs w:val="1"/>
          <w:color w:val="auto"/>
        </w:rPr>
        <w:t>$1,000,000.00</w:t>
      </w:r>
      <w:r>
        <w:rPr>
          <w:rFonts w:ascii="Times New Roman" w:cs="Times New Roman" w:eastAsia="Times New Roman" w:hAnsi="Times New Roman"/>
          <w:sz w:val="16"/>
          <w:szCs w:val="16"/>
          <w:color w:val="auto"/>
        </w:rPr>
        <w:t xml:space="preserve"> as an advance. This amount will be earned only after I complete two years of employment with Amgen. The Bonus is intended to facilitate my acceptance of employment with Amgen and my continued employment with Amgen for a period of at least two years. Amgen is providing me with the Bonus with the expectation that I will not resign my employment during this two-year period.</w:t>
      </w:r>
    </w:p>
    <w:p>
      <w:pPr>
        <w:ind w:left="1300" w:hanging="320"/>
        <w:spacing w:after="0" w:line="257" w:lineRule="auto"/>
        <w:tabs>
          <w:tab w:leader="none" w:pos="130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$1,000,000.00 </w:t>
      </w:r>
      <w:r>
        <w:rPr>
          <w:rFonts w:ascii="Times New Roman" w:cs="Times New Roman" w:eastAsia="Times New Roman" w:hAnsi="Times New Roman"/>
          <w:sz w:val="16"/>
          <w:szCs w:val="16"/>
          <w:color w:val="auto"/>
        </w:rPr>
        <w:t>to be paid on or about the first anniversary of your start date. I understand that if I am not employed by Amgen on this date, I have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earned any portion of this amount.</w:t>
      </w:r>
    </w:p>
    <w:p>
      <w:pPr>
        <w:spacing w:after="0" w:line="155" w:lineRule="exact"/>
        <w:rPr>
          <w:rFonts w:ascii="Times New Roman" w:cs="Times New Roman" w:eastAsia="Times New Roman" w:hAnsi="Times New Roman"/>
          <w:sz w:val="16"/>
          <w:szCs w:val="16"/>
          <w:color w:val="auto"/>
        </w:rPr>
      </w:pPr>
    </w:p>
    <w:p>
      <w:pPr>
        <w:jc w:val="both"/>
        <w:ind w:left="340" w:hanging="332"/>
        <w:spacing w:after="0" w:line="255" w:lineRule="auto"/>
        <w:tabs>
          <w:tab w:leader="none" w:pos="3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understand and agree that I am an at-will employee and that I am free to resign at any time and Amgen is free to terminate my employment, with or without cause, at any time. Nevertheless, I understand that if I resign my employment with Amgen before I complete two years of employment, I have not earned any portion of the Bonus amount. Therefore, I agree to repay Amgen for the gross amount of my Bonus advance if I resign my employment for any reason within 24 months from my hire date at Amgen. I also agree that in the event of such a resignation, the amount to be reimbursed shall be due in full and payable by me immediately in cash (i.e., by check, wire transfer, or similar immediate payment) without further notice or demand by Amgen.</w:t>
      </w:r>
    </w:p>
    <w:p>
      <w:pPr>
        <w:spacing w:after="0" w:line="157"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a sign-on/retention bonus is considered ordinary wage income to the recipient. I understand that Amgen will report to appropriate federal and state taxing authorities all income that Amgen considers to be subject to taxation and will withhold appropriate taxes in accordance with federal and state regulations. I understand that it is my obligation to declare all income and pay all taxes owed on such income, if any.</w:t>
      </w:r>
    </w:p>
    <w:p>
      <w:pPr>
        <w:spacing w:after="0" w:line="15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understand that this agreement shall be governed by the law of the State of California.</w:t>
      </w:r>
    </w:p>
    <w:p>
      <w:pPr>
        <w:spacing w:after="0" w:line="194" w:lineRule="exact"/>
        <w:rPr>
          <w:rFonts w:ascii="Times New Roman" w:cs="Times New Roman" w:eastAsia="Times New Roman" w:hAnsi="Times New Roman"/>
          <w:sz w:val="16"/>
          <w:szCs w:val="16"/>
          <w:color w:val="auto"/>
        </w:rPr>
      </w:pPr>
    </w:p>
    <w:p>
      <w:pPr>
        <w:ind w:left="340" w:hanging="332"/>
        <w:spacing w:after="0" w:line="281" w:lineRule="auto"/>
        <w:tabs>
          <w:tab w:leader="none" w:pos="3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this Agreement will be construed as an employment contract or to guarantee me employment at Amgen for any fixed term. I understand that my employment at Amgen is at will.</w:t>
      </w:r>
    </w:p>
    <w:p>
      <w:pPr>
        <w:spacing w:after="0" w:line="13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this agreement are severable. If any part is found to be unenforceable, all other provisions shall remain fully valid and enforceable.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 agree:</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Amgen Inc:</w:t>
            </w:r>
          </w:p>
        </w:tc>
      </w:tr>
      <w:tr>
        <w:trPr>
          <w:trHeight w:val="594"/>
        </w:trPr>
        <w:tc>
          <w:tcPr>
            <w:tcW w:w="6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 Jonathan P. Graham</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 Trent Hamilton</w:t>
            </w:r>
          </w:p>
        </w:tc>
      </w:tr>
      <w:tr>
        <w:trPr>
          <w:trHeight w:val="33"/>
        </w:trPr>
        <w:tc>
          <w:tcPr>
            <w:tcW w:w="6080" w:type="dxa"/>
            <w:vAlign w:val="bottom"/>
            <w:tcBorders>
              <w:bottom w:val="single" w:sz="8" w:color="auto"/>
            </w:tcBorders>
            <w:gridSpan w:val="2"/>
          </w:tcPr>
          <w:p>
            <w:pPr>
              <w:spacing w:after="0"/>
              <w:rPr>
                <w:sz w:val="2"/>
                <w:szCs w:val="2"/>
                <w:color w:val="auto"/>
              </w:rPr>
            </w:pPr>
          </w:p>
        </w:tc>
        <w:tc>
          <w:tcPr>
            <w:tcW w:w="560" w:type="dxa"/>
            <w:vAlign w:val="bottom"/>
          </w:tcPr>
          <w:p>
            <w:pPr>
              <w:spacing w:after="0"/>
              <w:rPr>
                <w:sz w:val="2"/>
                <w:szCs w:val="2"/>
                <w:color w:val="auto"/>
              </w:rPr>
            </w:pPr>
          </w:p>
        </w:tc>
        <w:tc>
          <w:tcPr>
            <w:tcW w:w="4780" w:type="dxa"/>
            <w:vAlign w:val="bottom"/>
            <w:tcBorders>
              <w:bottom w:val="single" w:sz="8" w:color="auto"/>
            </w:tcBorders>
            <w:gridSpan w:val="2"/>
          </w:tcPr>
          <w:p>
            <w:pPr>
              <w:spacing w:after="0"/>
              <w:rPr>
                <w:sz w:val="2"/>
                <w:szCs w:val="2"/>
                <w:color w:val="auto"/>
              </w:rPr>
            </w:pPr>
          </w:p>
        </w:tc>
      </w:tr>
      <w:tr>
        <w:trPr>
          <w:trHeight w:val="217"/>
        </w:trPr>
        <w:tc>
          <w:tcPr>
            <w:tcW w:w="6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Signature of Staff Member</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Signature of Authorized Representative</w:t>
            </w:r>
          </w:p>
        </w:tc>
      </w:tr>
      <w:tr>
        <w:trPr>
          <w:trHeight w:val="594"/>
        </w:trPr>
        <w:tc>
          <w:tcPr>
            <w:tcW w:w="6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 Jonathan P. Graham</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 Human Resources</w:t>
            </w:r>
          </w:p>
        </w:tc>
      </w:tr>
      <w:tr>
        <w:trPr>
          <w:trHeight w:val="33"/>
        </w:trPr>
        <w:tc>
          <w:tcPr>
            <w:tcW w:w="6080" w:type="dxa"/>
            <w:vAlign w:val="bottom"/>
            <w:tcBorders>
              <w:bottom w:val="single" w:sz="8" w:color="auto"/>
            </w:tcBorders>
            <w:gridSpan w:val="2"/>
          </w:tcPr>
          <w:p>
            <w:pPr>
              <w:spacing w:after="0"/>
              <w:rPr>
                <w:sz w:val="2"/>
                <w:szCs w:val="2"/>
                <w:color w:val="auto"/>
              </w:rPr>
            </w:pPr>
          </w:p>
        </w:tc>
        <w:tc>
          <w:tcPr>
            <w:tcW w:w="56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6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Print Name of Staff Member</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Title of Representative</w:t>
            </w:r>
          </w:p>
        </w:tc>
      </w:tr>
      <w:tr>
        <w:trPr>
          <w:trHeight w:val="594"/>
        </w:trPr>
        <w:tc>
          <w:tcPr>
            <w:tcW w:w="6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XXX</w:t>
            </w:r>
          </w:p>
        </w:tc>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5/22/2015</w:t>
            </w:r>
          </w:p>
        </w:tc>
        <w:tc>
          <w:tcPr>
            <w:tcW w:w="2400" w:type="dxa"/>
            <w:vAlign w:val="bottom"/>
          </w:tcPr>
          <w:p>
            <w:pPr>
              <w:spacing w:after="0"/>
              <w:rPr>
                <w:sz w:val="24"/>
                <w:szCs w:val="24"/>
                <w:color w:val="auto"/>
              </w:rPr>
            </w:pPr>
          </w:p>
        </w:tc>
      </w:tr>
      <w:tr>
        <w:trPr>
          <w:trHeight w:val="33"/>
        </w:trPr>
        <w:tc>
          <w:tcPr>
            <w:tcW w:w="60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6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Last 4 Digits of Social Security Number (For Identification Purposes)</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Date</w:t>
            </w:r>
          </w:p>
        </w:tc>
      </w:tr>
      <w:tr>
        <w:trPr>
          <w:trHeight w:val="270"/>
        </w:trPr>
        <w:tc>
          <w:tcPr>
            <w:tcW w:w="6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Last 4 Digits of Government ID (If No Social Security Number)</w:t>
            </w:r>
          </w:p>
        </w:tc>
        <w:tc>
          <w:tcPr>
            <w:tcW w:w="238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594"/>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5/19/2015</w:t>
            </w: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6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Date</w:t>
            </w:r>
          </w:p>
        </w:tc>
        <w:tc>
          <w:tcPr>
            <w:tcW w:w="2380" w:type="dxa"/>
            <w:vAlign w:val="bottom"/>
          </w:tcPr>
          <w:p>
            <w:pPr>
              <w:spacing w:after="0"/>
              <w:rPr>
                <w:sz w:val="18"/>
                <w:szCs w:val="18"/>
                <w:color w:val="auto"/>
              </w:rPr>
            </w:pPr>
          </w:p>
        </w:tc>
        <w:tc>
          <w:tcPr>
            <w:tcW w:w="24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AMGEN RELOCATION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NEW HIRE STAFF MEMBERS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56"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color w:val="auto"/>
        </w:rPr>
        <w:t>I, Jonathan P. Graham, agree to accept certain relocation benefits from Amgen on the following terms.</w:t>
      </w:r>
    </w:p>
    <w:p>
      <w:pPr>
        <w:spacing w:after="0" w:line="194"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relocation benefits to be provided to me are outlined in the Amgen Relocation Policy that applies to staff members at my Global Career Framework (“GCF”) level.</w:t>
      </w:r>
    </w:p>
    <w:p>
      <w:pPr>
        <w:spacing w:after="0" w:line="194"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will obtain relocation benefits from Amgen by following the procedures outlined in the Amgen Relocation Policy that applies to staff members at my GCF level.</w:t>
      </w:r>
    </w:p>
    <w:p>
      <w:pPr>
        <w:spacing w:after="0" w:line="194" w:lineRule="exact"/>
        <w:rPr>
          <w:rFonts w:ascii="Times New Roman" w:cs="Times New Roman" w:eastAsia="Times New Roman" w:hAnsi="Times New Roman"/>
          <w:sz w:val="16"/>
          <w:szCs w:val="16"/>
          <w:color w:val="auto"/>
        </w:rPr>
      </w:pPr>
    </w:p>
    <w:p>
      <w:pPr>
        <w:jc w:val="both"/>
        <w:ind w:left="340" w:right="20" w:hanging="332"/>
        <w:spacing w:after="0" w:line="263" w:lineRule="auto"/>
        <w:tabs>
          <w:tab w:leader="none" w:pos="3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understand that I may obtain an estimate of my relocation costs from Amgen/Amgen’s third-party relocation vendor and that the actual cost of my relocation may be more or less than the estimate I am provided. I further understand that I can obtain detailed information about the actual services and costs being incurred during my relocation by contacting Amgen or Amgen’s third-party relocation vendor.</w:t>
      </w:r>
    </w:p>
    <w:p>
      <w:pPr>
        <w:spacing w:after="0" w:line="151" w:lineRule="exact"/>
        <w:rPr>
          <w:rFonts w:ascii="Times New Roman" w:cs="Times New Roman" w:eastAsia="Times New Roman" w:hAnsi="Times New Roman"/>
          <w:sz w:val="16"/>
          <w:szCs w:val="16"/>
          <w:color w:val="auto"/>
        </w:rPr>
      </w:pPr>
    </w:p>
    <w:p>
      <w:pPr>
        <w:ind w:left="340" w:hanging="332"/>
        <w:spacing w:after="0" w:line="281" w:lineRule="auto"/>
        <w:tabs>
          <w:tab w:leader="none" w:pos="3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relocation benefits are to facilitate my move as a result of my decision to accept an offer of employment with Amgen. I acknowledge that the cost of these benefits is not required to be reimbursed to me as a matter of law under California Labor Code section 2802 or any similar statute.</w:t>
      </w:r>
    </w:p>
    <w:p>
      <w:pPr>
        <w:spacing w:after="0" w:line="136" w:lineRule="exact"/>
        <w:rPr>
          <w:rFonts w:ascii="Times New Roman" w:cs="Times New Roman" w:eastAsia="Times New Roman" w:hAnsi="Times New Roman"/>
          <w:sz w:val="16"/>
          <w:szCs w:val="16"/>
          <w:color w:val="auto"/>
        </w:rPr>
      </w:pPr>
    </w:p>
    <w:p>
      <w:pPr>
        <w:jc w:val="both"/>
        <w:ind w:left="340" w:hanging="332"/>
        <w:spacing w:after="0" w:line="258" w:lineRule="auto"/>
        <w:tabs>
          <w:tab w:leader="none" w:pos="3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Amgen provides the relocation benefits with the expectation that I will not in the short term resign my employment. While, as an at-will employee, I am free to resign at any time, I agree to reimburse Amgen for the gross amount of the cost of the relocation benefits (according to the schedule below) if I resign my employment for any reason within 730 days of my start date with Amgen. Upon my resignation, the amount to be reimbursed shall be immediately due and payable by me without further notice or demand. The schedule for reimbursement is as follows:</w:t>
      </w:r>
    </w:p>
    <w:p>
      <w:pPr>
        <w:spacing w:after="0" w:line="94" w:lineRule="exact"/>
        <w:rPr>
          <w:sz w:val="20"/>
          <w:szCs w:val="20"/>
          <w:color w:val="auto"/>
        </w:rPr>
      </w:pPr>
    </w:p>
    <w:tbl>
      <w:tblPr>
        <w:tblLayout w:type="fixed"/>
        <w:tblInd w:w="910" w:type="dxa"/>
        <w:tblCellMar>
          <w:top w:w="0" w:type="dxa"/>
          <w:left w:w="0" w:type="dxa"/>
          <w:bottom w:w="0" w:type="dxa"/>
          <w:right w:w="0" w:type="dxa"/>
        </w:tblCellMar>
      </w:tblPr>
      <w:tr>
        <w:trPr>
          <w:trHeight w:val="243"/>
        </w:trPr>
        <w:tc>
          <w:tcPr>
            <w:tcW w:w="4460" w:type="dxa"/>
            <w:vAlign w:val="bottom"/>
            <w:tcBorders>
              <w:top w:val="single" w:sz="8" w:color="808080"/>
              <w:left w:val="single" w:sz="8" w:color="808080"/>
              <w:right w:val="single" w:sz="8" w:color="C0C0C0"/>
            </w:tcBorders>
          </w:tcPr>
          <w:p>
            <w:pPr>
              <w:spacing w:after="0"/>
              <w:rPr>
                <w:sz w:val="21"/>
                <w:szCs w:val="21"/>
                <w:color w:val="auto"/>
              </w:rPr>
            </w:pPr>
          </w:p>
        </w:tc>
        <w:tc>
          <w:tcPr>
            <w:tcW w:w="5180" w:type="dxa"/>
            <w:vAlign w:val="bottom"/>
            <w:tcBorders>
              <w:top w:val="single" w:sz="8" w:color="808080"/>
              <w:right w:val="single" w:sz="8" w:color="808080"/>
            </w:tcBorders>
          </w:tcPr>
          <w:p>
            <w:pPr>
              <w:ind w:left="20"/>
              <w:spacing w:after="0"/>
              <w:rPr>
                <w:sz w:val="20"/>
                <w:szCs w:val="20"/>
                <w:color w:val="auto"/>
              </w:rPr>
            </w:pPr>
            <w:r>
              <w:rPr>
                <w:rFonts w:ascii="Times New Roman" w:cs="Times New Roman" w:eastAsia="Times New Roman" w:hAnsi="Times New Roman"/>
                <w:sz w:val="16"/>
                <w:szCs w:val="16"/>
                <w:color w:val="auto"/>
              </w:rPr>
              <w:t>% of Gross Cost of Relocation Benefits to be</w:t>
            </w:r>
          </w:p>
        </w:tc>
      </w:tr>
      <w:tr>
        <w:trPr>
          <w:trHeight w:val="210"/>
        </w:trPr>
        <w:tc>
          <w:tcPr>
            <w:tcW w:w="4460" w:type="dxa"/>
            <w:vAlign w:val="bottom"/>
            <w:tcBorders>
              <w:left w:val="single" w:sz="8" w:color="808080"/>
              <w:right w:val="single" w:sz="8" w:color="C0C0C0"/>
            </w:tcBorders>
          </w:tcPr>
          <w:p>
            <w:pPr>
              <w:ind w:left="40"/>
              <w:spacing w:after="0"/>
              <w:rPr>
                <w:sz w:val="20"/>
                <w:szCs w:val="20"/>
                <w:color w:val="auto"/>
              </w:rPr>
            </w:pPr>
            <w:r>
              <w:rPr>
                <w:rFonts w:ascii="Times New Roman" w:cs="Times New Roman" w:eastAsia="Times New Roman" w:hAnsi="Times New Roman"/>
                <w:sz w:val="16"/>
                <w:szCs w:val="16"/>
                <w:color w:val="auto"/>
              </w:rPr>
              <w:t>Days Since Start Date</w:t>
            </w:r>
          </w:p>
        </w:tc>
        <w:tc>
          <w:tcPr>
            <w:tcW w:w="5180" w:type="dxa"/>
            <w:vAlign w:val="bottom"/>
            <w:tcBorders>
              <w:right w:val="single" w:sz="8" w:color="808080"/>
            </w:tcBorders>
          </w:tcPr>
          <w:p>
            <w:pPr>
              <w:ind w:left="20"/>
              <w:spacing w:after="0"/>
              <w:rPr>
                <w:sz w:val="20"/>
                <w:szCs w:val="20"/>
                <w:color w:val="auto"/>
              </w:rPr>
            </w:pPr>
            <w:r>
              <w:rPr>
                <w:rFonts w:ascii="Times New Roman" w:cs="Times New Roman" w:eastAsia="Times New Roman" w:hAnsi="Times New Roman"/>
                <w:sz w:val="16"/>
                <w:szCs w:val="16"/>
                <w:color w:val="auto"/>
              </w:rPr>
              <w:t>Reimbursed to Amgen</w:t>
            </w:r>
          </w:p>
        </w:tc>
      </w:tr>
      <w:tr>
        <w:trPr>
          <w:trHeight w:val="33"/>
        </w:trPr>
        <w:tc>
          <w:tcPr>
            <w:tcW w:w="4460" w:type="dxa"/>
            <w:vAlign w:val="bottom"/>
            <w:tcBorders>
              <w:left w:val="single" w:sz="8" w:color="808080"/>
              <w:bottom w:val="single" w:sz="8" w:color="808080"/>
              <w:right w:val="single" w:sz="8" w:color="C0C0C0"/>
            </w:tcBorders>
          </w:tcPr>
          <w:p>
            <w:pPr>
              <w:spacing w:after="0"/>
              <w:rPr>
                <w:sz w:val="2"/>
                <w:szCs w:val="2"/>
                <w:color w:val="auto"/>
              </w:rPr>
            </w:pPr>
          </w:p>
        </w:tc>
        <w:tc>
          <w:tcPr>
            <w:tcW w:w="5180" w:type="dxa"/>
            <w:vAlign w:val="bottom"/>
            <w:tcBorders>
              <w:bottom w:val="single" w:sz="8" w:color="808080"/>
              <w:right w:val="single" w:sz="8" w:color="808080"/>
            </w:tcBorders>
          </w:tcPr>
          <w:p>
            <w:pPr>
              <w:spacing w:after="0"/>
              <w:rPr>
                <w:sz w:val="2"/>
                <w:szCs w:val="2"/>
                <w:color w:val="auto"/>
              </w:rPr>
            </w:pPr>
          </w:p>
        </w:tc>
      </w:tr>
      <w:tr>
        <w:trPr>
          <w:trHeight w:val="217"/>
        </w:trPr>
        <w:tc>
          <w:tcPr>
            <w:tcW w:w="4460" w:type="dxa"/>
            <w:vAlign w:val="bottom"/>
            <w:tcBorders>
              <w:left w:val="single" w:sz="8" w:color="808080"/>
              <w:right w:val="single" w:sz="8" w:color="C0C0C0"/>
            </w:tcBorders>
          </w:tcPr>
          <w:p>
            <w:pPr>
              <w:ind w:left="40"/>
              <w:spacing w:after="0"/>
              <w:rPr>
                <w:sz w:val="20"/>
                <w:szCs w:val="20"/>
                <w:color w:val="auto"/>
              </w:rPr>
            </w:pPr>
            <w:r>
              <w:rPr>
                <w:rFonts w:ascii="Times New Roman" w:cs="Times New Roman" w:eastAsia="Times New Roman" w:hAnsi="Times New Roman"/>
                <w:sz w:val="16"/>
                <w:szCs w:val="16"/>
                <w:color w:val="auto"/>
              </w:rPr>
              <w:t>0 to 365 days</w:t>
            </w:r>
          </w:p>
        </w:tc>
        <w:tc>
          <w:tcPr>
            <w:tcW w:w="5180" w:type="dxa"/>
            <w:vAlign w:val="bottom"/>
            <w:tcBorders>
              <w:right w:val="single" w:sz="8" w:color="808080"/>
            </w:tcBorders>
          </w:tcPr>
          <w:p>
            <w:pPr>
              <w:jc w:val="right"/>
              <w:ind w:right="4659"/>
              <w:spacing w:after="0"/>
              <w:rPr>
                <w:sz w:val="20"/>
                <w:szCs w:val="20"/>
                <w:color w:val="auto"/>
              </w:rPr>
            </w:pPr>
            <w:r>
              <w:rPr>
                <w:rFonts w:ascii="Times New Roman" w:cs="Times New Roman" w:eastAsia="Times New Roman" w:hAnsi="Times New Roman"/>
                <w:sz w:val="16"/>
                <w:szCs w:val="16"/>
                <w:color w:val="auto"/>
              </w:rPr>
              <w:t>100 %</w:t>
            </w:r>
          </w:p>
        </w:tc>
      </w:tr>
      <w:tr>
        <w:trPr>
          <w:trHeight w:val="257"/>
        </w:trPr>
        <w:tc>
          <w:tcPr>
            <w:tcW w:w="4460" w:type="dxa"/>
            <w:vAlign w:val="bottom"/>
            <w:tcBorders>
              <w:left w:val="single" w:sz="8" w:color="808080"/>
              <w:right w:val="single" w:sz="8" w:color="C0C0C0"/>
            </w:tcBorders>
          </w:tcPr>
          <w:p>
            <w:pPr>
              <w:ind w:left="40"/>
              <w:spacing w:after="0"/>
              <w:rPr>
                <w:sz w:val="20"/>
                <w:szCs w:val="20"/>
                <w:color w:val="auto"/>
              </w:rPr>
            </w:pPr>
            <w:r>
              <w:rPr>
                <w:rFonts w:ascii="Times New Roman" w:cs="Times New Roman" w:eastAsia="Times New Roman" w:hAnsi="Times New Roman"/>
                <w:sz w:val="16"/>
                <w:szCs w:val="16"/>
                <w:color w:val="auto"/>
              </w:rPr>
              <w:t>366- 450 days</w:t>
            </w:r>
          </w:p>
        </w:tc>
        <w:tc>
          <w:tcPr>
            <w:tcW w:w="5180" w:type="dxa"/>
            <w:vAlign w:val="bottom"/>
            <w:tcBorders>
              <w:right w:val="single" w:sz="8" w:color="808080"/>
            </w:tcBorders>
          </w:tcPr>
          <w:p>
            <w:pPr>
              <w:jc w:val="right"/>
              <w:ind w:right="4659"/>
              <w:spacing w:after="0"/>
              <w:rPr>
                <w:sz w:val="20"/>
                <w:szCs w:val="20"/>
                <w:color w:val="auto"/>
              </w:rPr>
            </w:pPr>
            <w:r>
              <w:rPr>
                <w:rFonts w:ascii="Times New Roman" w:cs="Times New Roman" w:eastAsia="Times New Roman" w:hAnsi="Times New Roman"/>
                <w:sz w:val="16"/>
                <w:szCs w:val="16"/>
                <w:color w:val="auto"/>
              </w:rPr>
              <w:t>75 %</w:t>
            </w:r>
          </w:p>
        </w:tc>
      </w:tr>
      <w:tr>
        <w:trPr>
          <w:trHeight w:val="257"/>
        </w:trPr>
        <w:tc>
          <w:tcPr>
            <w:tcW w:w="4460" w:type="dxa"/>
            <w:vAlign w:val="bottom"/>
            <w:tcBorders>
              <w:left w:val="single" w:sz="8" w:color="808080"/>
              <w:right w:val="single" w:sz="8" w:color="C0C0C0"/>
            </w:tcBorders>
          </w:tcPr>
          <w:p>
            <w:pPr>
              <w:ind w:left="40"/>
              <w:spacing w:after="0"/>
              <w:rPr>
                <w:sz w:val="20"/>
                <w:szCs w:val="20"/>
                <w:color w:val="auto"/>
              </w:rPr>
            </w:pPr>
            <w:r>
              <w:rPr>
                <w:rFonts w:ascii="Times New Roman" w:cs="Times New Roman" w:eastAsia="Times New Roman" w:hAnsi="Times New Roman"/>
                <w:sz w:val="16"/>
                <w:szCs w:val="16"/>
                <w:color w:val="auto"/>
              </w:rPr>
              <w:t>451 - 540 days</w:t>
            </w:r>
          </w:p>
        </w:tc>
        <w:tc>
          <w:tcPr>
            <w:tcW w:w="5180" w:type="dxa"/>
            <w:vAlign w:val="bottom"/>
            <w:tcBorders>
              <w:right w:val="single" w:sz="8" w:color="808080"/>
            </w:tcBorders>
          </w:tcPr>
          <w:p>
            <w:pPr>
              <w:jc w:val="right"/>
              <w:ind w:right="4659"/>
              <w:spacing w:after="0"/>
              <w:rPr>
                <w:sz w:val="20"/>
                <w:szCs w:val="20"/>
                <w:color w:val="auto"/>
              </w:rPr>
            </w:pPr>
            <w:r>
              <w:rPr>
                <w:rFonts w:ascii="Times New Roman" w:cs="Times New Roman" w:eastAsia="Times New Roman" w:hAnsi="Times New Roman"/>
                <w:sz w:val="16"/>
                <w:szCs w:val="16"/>
                <w:color w:val="auto"/>
              </w:rPr>
              <w:t>50 %</w:t>
            </w:r>
          </w:p>
        </w:tc>
      </w:tr>
      <w:tr>
        <w:trPr>
          <w:trHeight w:val="257"/>
        </w:trPr>
        <w:tc>
          <w:tcPr>
            <w:tcW w:w="4460" w:type="dxa"/>
            <w:vAlign w:val="bottom"/>
            <w:tcBorders>
              <w:left w:val="single" w:sz="8" w:color="808080"/>
              <w:right w:val="single" w:sz="8" w:color="C0C0C0"/>
            </w:tcBorders>
          </w:tcPr>
          <w:p>
            <w:pPr>
              <w:ind w:left="40"/>
              <w:spacing w:after="0"/>
              <w:rPr>
                <w:sz w:val="20"/>
                <w:szCs w:val="20"/>
                <w:color w:val="auto"/>
              </w:rPr>
            </w:pPr>
            <w:r>
              <w:rPr>
                <w:rFonts w:ascii="Times New Roman" w:cs="Times New Roman" w:eastAsia="Times New Roman" w:hAnsi="Times New Roman"/>
                <w:sz w:val="16"/>
                <w:szCs w:val="16"/>
                <w:color w:val="auto"/>
              </w:rPr>
              <w:t>541 - 730 days</w:t>
            </w:r>
          </w:p>
        </w:tc>
        <w:tc>
          <w:tcPr>
            <w:tcW w:w="5180" w:type="dxa"/>
            <w:vAlign w:val="bottom"/>
            <w:tcBorders>
              <w:right w:val="single" w:sz="8" w:color="808080"/>
            </w:tcBorders>
          </w:tcPr>
          <w:p>
            <w:pPr>
              <w:jc w:val="right"/>
              <w:ind w:right="4659"/>
              <w:spacing w:after="0"/>
              <w:rPr>
                <w:sz w:val="20"/>
                <w:szCs w:val="20"/>
                <w:color w:val="auto"/>
              </w:rPr>
            </w:pPr>
            <w:r>
              <w:rPr>
                <w:rFonts w:ascii="Times New Roman" w:cs="Times New Roman" w:eastAsia="Times New Roman" w:hAnsi="Times New Roman"/>
                <w:sz w:val="16"/>
                <w:szCs w:val="16"/>
                <w:color w:val="auto"/>
              </w:rPr>
              <w:t>25 %</w:t>
            </w:r>
          </w:p>
        </w:tc>
      </w:tr>
      <w:tr>
        <w:trPr>
          <w:trHeight w:val="290"/>
        </w:trPr>
        <w:tc>
          <w:tcPr>
            <w:tcW w:w="4460" w:type="dxa"/>
            <w:vAlign w:val="bottom"/>
            <w:tcBorders>
              <w:left w:val="single" w:sz="8" w:color="808080"/>
              <w:right w:val="single" w:sz="8" w:color="C0C0C0"/>
            </w:tcBorders>
          </w:tcPr>
          <w:p>
            <w:pPr>
              <w:ind w:left="40"/>
              <w:spacing w:after="0"/>
              <w:rPr>
                <w:sz w:val="20"/>
                <w:szCs w:val="20"/>
                <w:color w:val="auto"/>
              </w:rPr>
            </w:pPr>
            <w:r>
              <w:rPr>
                <w:rFonts w:ascii="Times New Roman" w:cs="Times New Roman" w:eastAsia="Times New Roman" w:hAnsi="Times New Roman"/>
                <w:sz w:val="16"/>
                <w:szCs w:val="16"/>
                <w:color w:val="auto"/>
              </w:rPr>
              <w:t>Over 730 days</w:t>
            </w:r>
          </w:p>
        </w:tc>
        <w:tc>
          <w:tcPr>
            <w:tcW w:w="5180" w:type="dxa"/>
            <w:vAlign w:val="bottom"/>
            <w:tcBorders>
              <w:right w:val="single" w:sz="8" w:color="808080"/>
            </w:tcBorders>
          </w:tcPr>
          <w:p>
            <w:pPr>
              <w:jc w:val="right"/>
              <w:ind w:right="4659"/>
              <w:spacing w:after="0"/>
              <w:rPr>
                <w:sz w:val="20"/>
                <w:szCs w:val="20"/>
                <w:color w:val="auto"/>
              </w:rPr>
            </w:pPr>
            <w:r>
              <w:rPr>
                <w:rFonts w:ascii="Times New Roman" w:cs="Times New Roman" w:eastAsia="Times New Roman" w:hAnsi="Times New Roman"/>
                <w:sz w:val="16"/>
                <w:szCs w:val="16"/>
                <w:color w:val="auto"/>
              </w:rPr>
              <w:t>0 %</w:t>
            </w:r>
          </w:p>
        </w:tc>
      </w:tr>
      <w:tr>
        <w:trPr>
          <w:trHeight w:val="27"/>
        </w:trPr>
        <w:tc>
          <w:tcPr>
            <w:tcW w:w="4460" w:type="dxa"/>
            <w:vAlign w:val="bottom"/>
            <w:tcBorders>
              <w:left w:val="single" w:sz="8" w:color="808080"/>
              <w:right w:val="single" w:sz="8" w:color="808080"/>
            </w:tcBorders>
            <w:shd w:val="clear" w:color="auto" w:fill="808080"/>
          </w:tcPr>
          <w:p>
            <w:pPr>
              <w:spacing w:after="0"/>
              <w:rPr>
                <w:sz w:val="2"/>
                <w:szCs w:val="2"/>
                <w:color w:val="auto"/>
              </w:rPr>
            </w:pPr>
          </w:p>
        </w:tc>
        <w:tc>
          <w:tcPr>
            <w:tcW w:w="5180" w:type="dxa"/>
            <w:vAlign w:val="bottom"/>
            <w:tcBorders>
              <w:right w:val="single" w:sz="8" w:color="808080"/>
            </w:tcBorders>
            <w:shd w:val="clear" w:color="auto" w:fill="808080"/>
          </w:tcPr>
          <w:p>
            <w:pPr>
              <w:spacing w:after="0"/>
              <w:rPr>
                <w:sz w:val="2"/>
                <w:szCs w:val="2"/>
                <w:color w:val="auto"/>
              </w:rPr>
            </w:pPr>
          </w:p>
        </w:tc>
      </w:tr>
    </w:tbl>
    <w:p>
      <w:pPr>
        <w:spacing w:after="0" w:line="175" w:lineRule="exact"/>
        <w:rPr>
          <w:sz w:val="20"/>
          <w:szCs w:val="20"/>
          <w:color w:val="auto"/>
        </w:rPr>
      </w:pPr>
    </w:p>
    <w:p>
      <w:pPr>
        <w:ind w:left="340" w:hanging="332"/>
        <w:spacing w:after="0" w:line="281" w:lineRule="auto"/>
        <w:tabs>
          <w:tab w:leader="none" w:pos="3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understand that Amgen will report to federal and state taxing agencies all income that Amgen considers to be subject to taxation. I understand that it is my obligation to declare all income and pay all taxes owed on such income, if any.</w:t>
      </w:r>
    </w:p>
    <w:p>
      <w:pPr>
        <w:spacing w:after="0" w:line="136" w:lineRule="exact"/>
        <w:rPr>
          <w:rFonts w:ascii="Times New Roman" w:cs="Times New Roman" w:eastAsia="Times New Roman" w:hAnsi="Times New Roman"/>
          <w:sz w:val="16"/>
          <w:szCs w:val="16"/>
          <w:color w:val="auto"/>
        </w:rPr>
      </w:pPr>
    </w:p>
    <w:p>
      <w:pPr>
        <w:ind w:left="340" w:right="20" w:hanging="332"/>
        <w:spacing w:after="0" w:line="281" w:lineRule="auto"/>
        <w:tabs>
          <w:tab w:leader="none" w:pos="3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I fail to make a reimbursement required by this agreement and Amgen initiates proceedings to recover such reimbursement, the prevailing party in such a suit shall be awarded its reasonable costs and attorney’s fees.</w:t>
      </w:r>
    </w:p>
    <w:p>
      <w:pPr>
        <w:spacing w:after="0" w:line="13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understand that this agreement shall be governed by the law of the State of California.</w:t>
      </w:r>
    </w:p>
    <w:p>
      <w:pPr>
        <w:spacing w:after="0" w:line="194"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this agreement will be construed as an employment contract or to guarantee me employment at Amgen for any fixed term. I understand that my employment at Amgen is at will. Nor does this agreement guarantee me reimbursement of any particular relocation expenses. I understand that reimbursement is governed by the Amgen Relocation Policy and that I must comply with the procedures in that policy.</w:t>
      </w:r>
    </w:p>
    <w:p>
      <w:pPr>
        <w:spacing w:after="0" w:line="15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this agreement are severable. If any part is found to be unenforceable, all other provisions shall remain fully valid and enforceable.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 agree:</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Amgen Inc:</w:t>
            </w:r>
          </w:p>
        </w:tc>
      </w:tr>
      <w:tr>
        <w:trPr>
          <w:trHeight w:val="500"/>
        </w:trPr>
        <w:tc>
          <w:tcPr>
            <w:tcW w:w="6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 Jonathan P. Graham</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 Trent Hamilton</w:t>
            </w:r>
          </w:p>
        </w:tc>
      </w:tr>
      <w:tr>
        <w:trPr>
          <w:trHeight w:val="33"/>
        </w:trPr>
        <w:tc>
          <w:tcPr>
            <w:tcW w:w="6080" w:type="dxa"/>
            <w:vAlign w:val="bottom"/>
            <w:tcBorders>
              <w:bottom w:val="single" w:sz="8" w:color="auto"/>
            </w:tcBorders>
            <w:gridSpan w:val="2"/>
          </w:tcPr>
          <w:p>
            <w:pPr>
              <w:spacing w:after="0"/>
              <w:rPr>
                <w:sz w:val="2"/>
                <w:szCs w:val="2"/>
                <w:color w:val="auto"/>
              </w:rPr>
            </w:pPr>
          </w:p>
        </w:tc>
        <w:tc>
          <w:tcPr>
            <w:tcW w:w="560" w:type="dxa"/>
            <w:vAlign w:val="bottom"/>
          </w:tcPr>
          <w:p>
            <w:pPr>
              <w:spacing w:after="0"/>
              <w:rPr>
                <w:sz w:val="2"/>
                <w:szCs w:val="2"/>
                <w:color w:val="auto"/>
              </w:rPr>
            </w:pPr>
          </w:p>
        </w:tc>
        <w:tc>
          <w:tcPr>
            <w:tcW w:w="4780" w:type="dxa"/>
            <w:vAlign w:val="bottom"/>
            <w:tcBorders>
              <w:bottom w:val="single" w:sz="8" w:color="auto"/>
            </w:tcBorders>
            <w:gridSpan w:val="2"/>
          </w:tcPr>
          <w:p>
            <w:pPr>
              <w:spacing w:after="0"/>
              <w:rPr>
                <w:sz w:val="2"/>
                <w:szCs w:val="2"/>
                <w:color w:val="auto"/>
              </w:rPr>
            </w:pPr>
          </w:p>
        </w:tc>
      </w:tr>
      <w:tr>
        <w:trPr>
          <w:trHeight w:val="217"/>
        </w:trPr>
        <w:tc>
          <w:tcPr>
            <w:tcW w:w="6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Signature of Staff Member</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Signature of Authorized Representative</w:t>
            </w:r>
          </w:p>
        </w:tc>
      </w:tr>
      <w:tr>
        <w:trPr>
          <w:trHeight w:val="500"/>
        </w:trPr>
        <w:tc>
          <w:tcPr>
            <w:tcW w:w="6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Jonathan P. Graham</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 Human Resources</w:t>
            </w:r>
          </w:p>
        </w:tc>
      </w:tr>
      <w:tr>
        <w:trPr>
          <w:trHeight w:val="33"/>
        </w:trPr>
        <w:tc>
          <w:tcPr>
            <w:tcW w:w="6080" w:type="dxa"/>
            <w:vAlign w:val="bottom"/>
            <w:tcBorders>
              <w:bottom w:val="single" w:sz="8" w:color="auto"/>
            </w:tcBorders>
            <w:gridSpan w:val="2"/>
          </w:tcPr>
          <w:p>
            <w:pPr>
              <w:spacing w:after="0"/>
              <w:rPr>
                <w:sz w:val="2"/>
                <w:szCs w:val="2"/>
                <w:color w:val="auto"/>
              </w:rPr>
            </w:pPr>
          </w:p>
        </w:tc>
        <w:tc>
          <w:tcPr>
            <w:tcW w:w="56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66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Print Name of Staff Member</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Title of Representative</w:t>
            </w:r>
          </w:p>
        </w:tc>
      </w:tr>
      <w:tr>
        <w:trPr>
          <w:trHeight w:val="500"/>
        </w:trPr>
        <w:tc>
          <w:tcPr>
            <w:tcW w:w="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XXX</w:t>
            </w:r>
          </w:p>
        </w:tc>
        <w:tc>
          <w:tcPr>
            <w:tcW w:w="5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5/22/2015</w:t>
            </w:r>
          </w:p>
        </w:tc>
        <w:tc>
          <w:tcPr>
            <w:tcW w:w="2400" w:type="dxa"/>
            <w:vAlign w:val="bottom"/>
          </w:tcPr>
          <w:p>
            <w:pPr>
              <w:spacing w:after="0"/>
              <w:rPr>
                <w:sz w:val="24"/>
                <w:szCs w:val="24"/>
                <w:color w:val="auto"/>
              </w:rPr>
            </w:pPr>
          </w:p>
        </w:tc>
      </w:tr>
      <w:tr>
        <w:trPr>
          <w:trHeight w:val="33"/>
        </w:trPr>
        <w:tc>
          <w:tcPr>
            <w:tcW w:w="46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Last 4</w:t>
            </w:r>
          </w:p>
        </w:tc>
        <w:tc>
          <w:tcPr>
            <w:tcW w:w="6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Digits of Social Security Number (For Identification Purposes)</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Date</w:t>
            </w:r>
          </w:p>
        </w:tc>
      </w:tr>
      <w:tr>
        <w:trPr>
          <w:trHeight w:val="270"/>
        </w:trPr>
        <w:tc>
          <w:tcPr>
            <w:tcW w:w="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Last 4</w:t>
            </w:r>
          </w:p>
        </w:tc>
        <w:tc>
          <w:tcPr>
            <w:tcW w:w="6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Digits of Government ID (If No Social Security Number)</w:t>
            </w:r>
          </w:p>
        </w:tc>
        <w:tc>
          <w:tcPr>
            <w:tcW w:w="2380" w:type="dxa"/>
            <w:vAlign w:val="bottom"/>
          </w:tcPr>
          <w:p>
            <w:pPr>
              <w:spacing w:after="0"/>
              <w:rPr>
                <w:sz w:val="23"/>
                <w:szCs w:val="23"/>
                <w:color w:val="auto"/>
              </w:rPr>
            </w:pPr>
          </w:p>
        </w:tc>
        <w:tc>
          <w:tcPr>
            <w:tcW w:w="2400" w:type="dxa"/>
            <w:vAlign w:val="bottom"/>
          </w:tcPr>
          <w:p>
            <w:pPr>
              <w:spacing w:after="0"/>
              <w:rPr>
                <w:sz w:val="23"/>
                <w:szCs w:val="23"/>
                <w:color w:val="auto"/>
              </w:rPr>
            </w:pPr>
          </w:p>
        </w:tc>
      </w:tr>
    </w:tbl>
    <w:p>
      <w:pPr>
        <w:spacing w:after="0" w:line="2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5/19/2015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392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9" w:right="2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29, 2015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Bayer Healthcare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Bayer Boulevard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 Box 915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Whippany, NJ 07981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Sr. VP and General Counsel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Facsimile: XXXXXXXXXX</w:t>
      </w:r>
    </w:p>
    <w:p>
      <w:pPr>
        <w:spacing w:after="0" w:line="200" w:lineRule="exact"/>
        <w:rPr>
          <w:sz w:val="20"/>
          <w:szCs w:val="20"/>
          <w:color w:val="auto"/>
        </w:rPr>
      </w:pPr>
    </w:p>
    <w:p>
      <w:pPr>
        <w:spacing w:after="0" w:line="287"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b w:val="1"/>
          <w:bCs w:val="1"/>
          <w:i w:val="1"/>
          <w:iCs w:val="1"/>
          <w:color w:val="auto"/>
        </w:rPr>
        <w:t>Side Letter Regarding Collaboration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 or Madam:</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Reference is hereby made to the Collaboration Agreement, dated April 22, 1994, as amended on April 24, 1996 (the “</w:t>
      </w:r>
      <w:r>
        <w:rPr>
          <w:rFonts w:ascii="Times New Roman" w:cs="Times New Roman" w:eastAsia="Times New Roman" w:hAnsi="Times New Roman"/>
          <w:sz w:val="21"/>
          <w:szCs w:val="21"/>
          <w:b w:val="1"/>
          <w:bCs w:val="1"/>
          <w:i w:val="1"/>
          <w:iCs w:val="1"/>
          <w:color w:val="auto"/>
        </w:rPr>
        <w:t>First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Amendment</w:t>
      </w:r>
      <w:r>
        <w:rPr>
          <w:rFonts w:ascii="Times New Roman" w:cs="Times New Roman" w:eastAsia="Times New Roman" w:hAnsi="Times New Roman"/>
          <w:sz w:val="21"/>
          <w:szCs w:val="21"/>
          <w:color w:val="auto"/>
        </w:rPr>
        <w:t>”), on February 1, 1999 (the “</w:t>
      </w:r>
      <w:r>
        <w:rPr>
          <w:rFonts w:ascii="Times New Roman" w:cs="Times New Roman" w:eastAsia="Times New Roman" w:hAnsi="Times New Roman"/>
          <w:sz w:val="21"/>
          <w:szCs w:val="21"/>
          <w:b w:val="1"/>
          <w:bCs w:val="1"/>
          <w:i w:val="1"/>
          <w:iCs w:val="1"/>
          <w:color w:val="auto"/>
        </w:rPr>
        <w:t>Second Amendment</w:t>
      </w:r>
      <w:r>
        <w:rPr>
          <w:rFonts w:ascii="Times New Roman" w:cs="Times New Roman" w:eastAsia="Times New Roman" w:hAnsi="Times New Roman"/>
          <w:sz w:val="21"/>
          <w:szCs w:val="21"/>
          <w:color w:val="auto"/>
        </w:rPr>
        <w:t>”), on March 6, 2006 pursuant to the U.S. Co-Promotion Agreement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Co-Promotion Agreement</w:t>
      </w:r>
      <w:r>
        <w:rPr>
          <w:rFonts w:ascii="Times New Roman" w:cs="Times New Roman" w:eastAsia="Times New Roman" w:hAnsi="Times New Roman"/>
          <w:sz w:val="22"/>
          <w:szCs w:val="22"/>
          <w:color w:val="auto"/>
        </w:rPr>
        <w:t>”) and on October 11, 2011 (the “</w:t>
      </w:r>
      <w:r>
        <w:rPr>
          <w:rFonts w:ascii="Times New Roman" w:cs="Times New Roman" w:eastAsia="Times New Roman" w:hAnsi="Times New Roman"/>
          <w:sz w:val="22"/>
          <w:szCs w:val="22"/>
          <w:b w:val="1"/>
          <w:bCs w:val="1"/>
          <w:i w:val="1"/>
          <w:iCs w:val="1"/>
          <w:color w:val="auto"/>
        </w:rPr>
        <w:t>Fourth Amendment</w:t>
      </w:r>
      <w:r>
        <w:rPr>
          <w:rFonts w:ascii="Times New Roman" w:cs="Times New Roman" w:eastAsia="Times New Roman" w:hAnsi="Times New Roman"/>
          <w:sz w:val="22"/>
          <w:szCs w:val="22"/>
          <w:color w:val="auto"/>
        </w:rPr>
        <w:t>”) (such agreement as amended by the First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Amendment, Second Amendment, Co-Promotion Agreement and Fourth Amendment being referred to herein as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Collaboration Agreement</w:t>
      </w:r>
      <w:r>
        <w:rPr>
          <w:rFonts w:ascii="Times New Roman" w:cs="Times New Roman" w:eastAsia="Times New Roman" w:hAnsi="Times New Roman"/>
          <w:sz w:val="22"/>
          <w:szCs w:val="22"/>
          <w:color w:val="auto"/>
        </w:rPr>
        <w:t>”) by and between Onyx Pharmaceuticals, Inc., a Delaware corporation having its principal place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business in South San Francisco, California (“</w:t>
      </w:r>
      <w:r>
        <w:rPr>
          <w:rFonts w:ascii="Times New Roman" w:cs="Times New Roman" w:eastAsia="Times New Roman" w:hAnsi="Times New Roman"/>
          <w:sz w:val="21"/>
          <w:szCs w:val="21"/>
          <w:b w:val="1"/>
          <w:bCs w:val="1"/>
          <w:i w:val="1"/>
          <w:iCs w:val="1"/>
          <w:color w:val="auto"/>
        </w:rPr>
        <w:t>Onyx</w:t>
      </w:r>
      <w:r>
        <w:rPr>
          <w:rFonts w:ascii="Times New Roman" w:cs="Times New Roman" w:eastAsia="Times New Roman" w:hAnsi="Times New Roman"/>
          <w:sz w:val="21"/>
          <w:szCs w:val="21"/>
          <w:color w:val="auto"/>
        </w:rPr>
        <w:t>”), and Bayer HealthCare LLC, a Delaware company having its principal place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business in Whippany, New Jersey and the successor-in-interest to Bayer Corporation (“</w:t>
      </w:r>
      <w:r>
        <w:rPr>
          <w:rFonts w:ascii="Times New Roman" w:cs="Times New Roman" w:eastAsia="Times New Roman" w:hAnsi="Times New Roman"/>
          <w:sz w:val="22"/>
          <w:szCs w:val="22"/>
          <w:b w:val="1"/>
          <w:bCs w:val="1"/>
          <w:i w:val="1"/>
          <w:iCs w:val="1"/>
          <w:color w:val="auto"/>
        </w:rPr>
        <w:t>Bayer</w:t>
      </w:r>
      <w:r>
        <w:rPr>
          <w:rFonts w:ascii="Times New Roman" w:cs="Times New Roman" w:eastAsia="Times New Roman" w:hAnsi="Times New Roman"/>
          <w:sz w:val="22"/>
          <w:szCs w:val="22"/>
          <w:color w:val="auto"/>
        </w:rPr>
        <w:t>” and, together with Onyx,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 Capitalized terms used but not otherwise defined in this letter shall have the meanings assigned to such terms in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Collaboration Agreement.</w:t>
      </w:r>
    </w:p>
    <w:p>
      <w:pPr>
        <w:spacing w:after="0" w:line="155"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In order to operationalize the collaboration more efficiently, the Parties desire to modify certain terms of the Collaboration Agreement as set forth in this letter.</w:t>
      </w:r>
    </w:p>
    <w:p>
      <w:pPr>
        <w:spacing w:after="0" w:line="117" w:lineRule="exact"/>
        <w:rPr>
          <w:sz w:val="20"/>
          <w:szCs w:val="20"/>
          <w:color w:val="auto"/>
        </w:rPr>
      </w:pPr>
    </w:p>
    <w:p>
      <w:pPr>
        <w:ind w:right="480" w:firstLine="648"/>
        <w:spacing w:after="0" w:line="271" w:lineRule="auto"/>
        <w:rPr>
          <w:sz w:val="20"/>
          <w:szCs w:val="20"/>
          <w:color w:val="auto"/>
        </w:rPr>
      </w:pPr>
      <w:r>
        <w:rPr>
          <w:rFonts w:ascii="Times New Roman" w:cs="Times New Roman" w:eastAsia="Times New Roman" w:hAnsi="Times New Roman"/>
          <w:sz w:val="22"/>
          <w:szCs w:val="22"/>
          <w:color w:val="auto"/>
        </w:rPr>
        <w:t>In consideration of the foregoing and for other good and valuable consideration, the receipt and sufficiency of which is hereby acknowledged, the Parties hereby agree as follows:</w:t>
      </w:r>
    </w:p>
    <w:p>
      <w:pPr>
        <w:spacing w:after="0" w:line="117" w:lineRule="exact"/>
        <w:rPr>
          <w:sz w:val="20"/>
          <w:szCs w:val="20"/>
          <w:color w:val="auto"/>
        </w:rPr>
      </w:pPr>
    </w:p>
    <w:p>
      <w:pPr>
        <w:ind w:right="100" w:firstLine="656"/>
        <w:spacing w:after="0" w:line="252" w:lineRule="auto"/>
        <w:tabs>
          <w:tab w:leader="none" w:pos="145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Co-Promotion Agreement</w:t>
      </w:r>
      <w:r>
        <w:rPr>
          <w:rFonts w:ascii="Times New Roman" w:cs="Times New Roman" w:eastAsia="Times New Roman" w:hAnsi="Times New Roman"/>
          <w:sz w:val="22"/>
          <w:szCs w:val="22"/>
          <w:color w:val="auto"/>
        </w:rPr>
        <w:t>. The Parties hereby acknowledge and agree that the Co-Promotion Agreement shall be terminated, effective as of June 30, 2015 (the “</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and, except as set forth in Section 10.6 of the Co-Promotion Agreement or as otherwise expressly set forth herein, the provisions of the Co-Promotion Agreement shall have no further force or effect from and after the Termination Date.</w:t>
      </w:r>
    </w:p>
    <w:p>
      <w:pPr>
        <w:spacing w:after="0" w:line="99" w:lineRule="exact"/>
        <w:rPr>
          <w:sz w:val="20"/>
          <w:szCs w:val="20"/>
          <w:color w:val="auto"/>
        </w:rPr>
      </w:pPr>
    </w:p>
    <w:p>
      <w:pPr>
        <w:ind w:left="980" w:right="60" w:hanging="324"/>
        <w:spacing w:after="0" w:line="246" w:lineRule="auto"/>
        <w:tabs>
          <w:tab w:leader="none" w:pos="9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hereby agree that, notwithstanding anything to the contrary in the Collaboration Agreement, during the U.S. Royalty Term (as defined below), Bayer shall have exclusive authority and control over the commercialization of the Collaboration Products in the United States (including control over when and how to discontinue commercialization of the Collaboration Products in the United States, </w:t>
      </w:r>
      <w:r>
        <w:rPr>
          <w:rFonts w:ascii="Times New Roman" w:cs="Times New Roman" w:eastAsia="Times New Roman" w:hAnsi="Times New Roman"/>
          <w:sz w:val="22"/>
          <w:szCs w:val="22"/>
          <w:b w:val="1"/>
          <w:bCs w:val="1"/>
          <w:i w:val="1"/>
          <w:iCs w:val="1"/>
          <w:color w:val="auto"/>
        </w:rPr>
        <w:t>provided, however</w:t>
      </w:r>
      <w:r>
        <w:rPr>
          <w:rFonts w:ascii="Times New Roman" w:cs="Times New Roman" w:eastAsia="Times New Roman" w:hAnsi="Times New Roman"/>
          <w:sz w:val="22"/>
          <w:szCs w:val="22"/>
          <w:color w:val="auto"/>
        </w:rPr>
        <w:t>, that, if Bayer elects to discontinue commercialization of the Collaboration Products in the United States, Onyx shall have the right to assume exclusive authority and control over the commercialization of the Collaboration Products in the United States and, in such event, the Parties would promptly agree upon a transition plan). In exercising such authority and control, Bayer shall use the level of efforts and resources (including the promptness with which such efforts and resources would be applied) commonly used by Bayer with respect to a product of commercial potential</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23" w:name="page124"/>
    <w:bookmarkEnd w:id="123"/>
    <w:p>
      <w:pPr>
        <w:ind w:left="324" w:right="80"/>
        <w:spacing w:after="0" w:line="257" w:lineRule="auto"/>
        <w:rPr>
          <w:sz w:val="20"/>
          <w:szCs w:val="20"/>
          <w:color w:val="auto"/>
        </w:rPr>
      </w:pPr>
      <w:r>
        <w:rPr>
          <w:rFonts w:ascii="Times New Roman" w:cs="Times New Roman" w:eastAsia="Times New Roman" w:hAnsi="Times New Roman"/>
          <w:sz w:val="22"/>
          <w:szCs w:val="22"/>
          <w:color w:val="auto"/>
        </w:rPr>
        <w:t>similar to the Collaboration Products at a similar stage in its development or product life, taking into consideration its safety and efficacy, its cost to develop, the competitiveness of alternative products of Third Parties, the patent and other proprietary position of such product, its profitability and all other relevant factors.</w:t>
      </w:r>
    </w:p>
    <w:p>
      <w:pPr>
        <w:spacing w:after="0" w:line="92" w:lineRule="exact"/>
        <w:rPr>
          <w:sz w:val="20"/>
          <w:szCs w:val="20"/>
          <w:color w:val="auto"/>
        </w:rPr>
      </w:pPr>
    </w:p>
    <w:p>
      <w:pPr>
        <w:ind w:left="324"/>
        <w:spacing w:after="0" w:line="246" w:lineRule="auto"/>
        <w:rPr>
          <w:sz w:val="20"/>
          <w:szCs w:val="20"/>
          <w:color w:val="auto"/>
        </w:rPr>
      </w:pPr>
      <w:r>
        <w:rPr>
          <w:rFonts w:ascii="Times New Roman" w:cs="Times New Roman" w:eastAsia="Times New Roman" w:hAnsi="Times New Roman"/>
          <w:sz w:val="22"/>
          <w:szCs w:val="22"/>
          <w:color w:val="auto"/>
        </w:rPr>
        <w:t>Additionally and in furtherance of Bayer’s exclusive authority and control set forth in Paragraph 1.a above, during the U.S. Royalty Term, except in the event that Bayer elects to discontinue commercialization of the Collaboration Products in the United States and Onyx exercises the right to assume exclusive authority and control over the commercialization of the Collaboration Products in the United States, in each case pursuant to Paragraph 1.a above, Bayer shall control, and be solely responsible for all costs and expenses relating to, sales of the Collaboration Products in the United States, including, without limitation: (i) marketing and promotion, (ii) pricing and access and (iii) medical affairs. For the avoidance of doubt and notwithstanding anything in the Collaboration Agreement to the contrary, during the U.S. Royalty Term, Bayer shall be solely responsible for all costs and expenses that are defined as or deemed “Allowable Co-Promotion Expenses” in the Co-Promotion Agreement, including, without limitation, all ongoing or future costs and expenses related to Phase 4 clinical studies in the United States.</w:t>
      </w:r>
    </w:p>
    <w:p>
      <w:pPr>
        <w:spacing w:after="0" w:line="149" w:lineRule="exact"/>
        <w:rPr>
          <w:sz w:val="20"/>
          <w:szCs w:val="20"/>
          <w:color w:val="auto"/>
        </w:rPr>
      </w:pPr>
    </w:p>
    <w:p>
      <w:pPr>
        <w:ind w:left="324" w:hanging="324"/>
        <w:spacing w:after="0" w:line="252" w:lineRule="auto"/>
        <w:tabs>
          <w:tab w:leader="none" w:pos="32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hereby agree that the Executive Committee shall develop a plan for, and manage, the orderly termination of the co-promotion activities and arrangements contemplated in the Co-Promotion Agreement on commercially reasonable terms, </w:t>
      </w:r>
      <w:r>
        <w:rPr>
          <w:rFonts w:ascii="Times New Roman" w:cs="Times New Roman" w:eastAsia="Times New Roman" w:hAnsi="Times New Roman"/>
          <w:sz w:val="22"/>
          <w:szCs w:val="22"/>
          <w:b w:val="1"/>
          <w:bCs w:val="1"/>
          <w:i w:val="1"/>
          <w:iCs w:val="1"/>
          <w:color w:val="auto"/>
        </w:rPr>
        <w:t>provided, however</w:t>
      </w:r>
      <w:r>
        <w:rPr>
          <w:rFonts w:ascii="Times New Roman" w:cs="Times New Roman" w:eastAsia="Times New Roman" w:hAnsi="Times New Roman"/>
          <w:sz w:val="22"/>
          <w:szCs w:val="22"/>
          <w:color w:val="auto"/>
        </w:rPr>
        <w:t>, that all such co-promotion activities and arrangements shall be fully terminated on or before the Termination Date.</w:t>
      </w:r>
    </w:p>
    <w:p>
      <w:pPr>
        <w:spacing w:after="0" w:line="98" w:lineRule="exact"/>
        <w:rPr>
          <w:rFonts w:ascii="Times New Roman" w:cs="Times New Roman" w:eastAsia="Times New Roman" w:hAnsi="Times New Roman"/>
          <w:sz w:val="22"/>
          <w:szCs w:val="22"/>
          <w:color w:val="auto"/>
        </w:rPr>
      </w:pPr>
    </w:p>
    <w:p>
      <w:pPr>
        <w:ind w:left="324" w:right="60" w:hanging="324"/>
        <w:spacing w:after="0" w:line="248" w:lineRule="auto"/>
        <w:tabs>
          <w:tab w:leader="none" w:pos="32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hereby acknowledge and agree that (i) neither Onyx nor Bayer is a “Breaching Party” under the Co-Promotion Agreement and the provisions of Section 10.5(c) of the Co-Promotion Agreement shall not apply to the termination of the Co-Promotion Agreement, (ii) the termination of the Co-Promotion Agreement as set forth herein shall not release or operate to discharge either Party from any liability or obligation that may have accrued prior to the Termination Date, and (iii) from and after the Termination Date, the Co-Promotion Collaboration Product (as defined in the Co-Promotion Agreement) shall (x) cease to be a Co-Promoted Product and a Co-Promotion Product and (y) not be deemed a Royalty-Bearing Product under the Collaboration Agreement.</w:t>
      </w:r>
    </w:p>
    <w:p>
      <w:pPr>
        <w:spacing w:after="0" w:line="101" w:lineRule="exact"/>
        <w:rPr>
          <w:rFonts w:ascii="Times New Roman" w:cs="Times New Roman" w:eastAsia="Times New Roman" w:hAnsi="Times New Roman"/>
          <w:sz w:val="22"/>
          <w:szCs w:val="22"/>
          <w:color w:val="auto"/>
        </w:rPr>
      </w:pPr>
    </w:p>
    <w:p>
      <w:pPr>
        <w:ind w:left="324" w:right="300" w:hanging="324"/>
        <w:spacing w:after="0" w:line="249" w:lineRule="auto"/>
        <w:tabs>
          <w:tab w:leader="none" w:pos="32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hereby acknowledge and agree that, from the date hereof until the Termination Date, the terms of the Co-Promotion Agreement, including, without limitation, the terms of Article VIII of the Co-Promotion Agreement (Economics of Co-Promotion; Profit Sharing), remain in full force and effect. For clarity, the Parties hereby further acknowledge and agree that each Party shall bear its own costs and expenses required to implement the terms of this Agreement (including severance costs related to personnel) and any such costs and expenses shall not be considered Allowable Co-Promotion Expenses or otherwise shared by the Parties.</w:t>
      </w:r>
    </w:p>
    <w:p>
      <w:pPr>
        <w:spacing w:after="0" w:line="99" w:lineRule="exact"/>
        <w:rPr>
          <w:rFonts w:ascii="Times New Roman" w:cs="Times New Roman" w:eastAsia="Times New Roman" w:hAnsi="Times New Roman"/>
          <w:sz w:val="22"/>
          <w:szCs w:val="22"/>
          <w:color w:val="auto"/>
        </w:rPr>
      </w:pPr>
    </w:p>
    <w:p>
      <w:pPr>
        <w:ind w:left="324" w:right="80" w:hanging="324"/>
        <w:spacing w:after="0" w:line="265" w:lineRule="auto"/>
        <w:tabs>
          <w:tab w:leader="none" w:pos="32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Bayer shall use Commercially Reasonable Efforts to obtain, at its own expense and in a timely manner, any U.S. Regulatory Approvals that are required by applicable law to remove the Onyx name and/or logo from the Collaboration Products’ label, promotional materials and other materials that utilize as of the date hereof the Onyx name and/or logo . Upon Bayer’s request, Onyx shall provide Bayer reasonable assistance with obtaining such U.S. Regulatory Approvals, </w:t>
      </w:r>
      <w:r>
        <w:rPr>
          <w:rFonts w:ascii="Times New Roman" w:cs="Times New Roman" w:eastAsia="Times New Roman" w:hAnsi="Times New Roman"/>
          <w:sz w:val="21"/>
          <w:szCs w:val="21"/>
          <w:b w:val="1"/>
          <w:bCs w:val="1"/>
          <w:i w:val="1"/>
          <w:iCs w:val="1"/>
          <w:color w:val="auto"/>
        </w:rPr>
        <w:t xml:space="preserve">provided </w:t>
      </w:r>
      <w:r>
        <w:rPr>
          <w:rFonts w:ascii="Times New Roman" w:cs="Times New Roman" w:eastAsia="Times New Roman" w:hAnsi="Times New Roman"/>
          <w:sz w:val="21"/>
          <w:szCs w:val="21"/>
          <w:color w:val="auto"/>
        </w:rPr>
        <w:t>that Bayer shall reimburse Onyx for its reasonable out-of-pocket expenses in connection therewith.</w:t>
      </w:r>
    </w:p>
    <w:p>
      <w:pPr>
        <w:spacing w:after="0" w:line="324"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44"/>
          </w:cols>
          <w:pgMar w:left="896" w:top="368" w:right="259" w:bottom="1440" w:gutter="0" w:footer="0" w:header="0"/>
        </w:sectPr>
      </w:pPr>
    </w:p>
    <w:bookmarkStart w:id="124" w:name="page125"/>
    <w:bookmarkEnd w:id="124"/>
    <w:p>
      <w:pPr>
        <w:ind w:left="960" w:right="180"/>
        <w:spacing w:after="0" w:line="248" w:lineRule="auto"/>
        <w:rPr>
          <w:sz w:val="20"/>
          <w:szCs w:val="20"/>
          <w:color w:val="auto"/>
        </w:rPr>
      </w:pPr>
      <w:r>
        <w:rPr>
          <w:rFonts w:ascii="Times New Roman" w:cs="Times New Roman" w:eastAsia="Times New Roman" w:hAnsi="Times New Roman"/>
          <w:sz w:val="22"/>
          <w:szCs w:val="22"/>
          <w:color w:val="auto"/>
        </w:rPr>
        <w:t>With respect to the Collaboration Products’ label, promotional materials and other materials that utilize as of the date hereof the Onyx name and/or logo which require U.S. Regulatory Approval in order to remove the Onyx name and/or logo (as the case may be), Onyx shall permit Bayer to use, manufacture and/or sell (as the case may be) such material (provided the Bayer name and/or logo are also used on such materials or label) until depleted, provided, however, that following receipt of any applicable U.S. Regulatory Approval Bayer shall sell in a reasonably prompt manner its remaining inventory of Collaboration Products and use in a reasonably prompt manner its remaining inventory of such promotional materials and other materials.</w:t>
      </w:r>
    </w:p>
    <w:p>
      <w:pPr>
        <w:spacing w:after="0" w:line="142" w:lineRule="exact"/>
        <w:rPr>
          <w:sz w:val="20"/>
          <w:szCs w:val="20"/>
          <w:color w:val="auto"/>
        </w:rPr>
      </w:pPr>
    </w:p>
    <w:p>
      <w:pPr>
        <w:ind w:left="960" w:right="20"/>
        <w:spacing w:after="0" w:line="250" w:lineRule="auto"/>
        <w:rPr>
          <w:sz w:val="20"/>
          <w:szCs w:val="20"/>
          <w:color w:val="auto"/>
        </w:rPr>
      </w:pPr>
      <w:r>
        <w:rPr>
          <w:rFonts w:ascii="Times New Roman" w:cs="Times New Roman" w:eastAsia="Times New Roman" w:hAnsi="Times New Roman"/>
          <w:sz w:val="22"/>
          <w:szCs w:val="22"/>
          <w:color w:val="auto"/>
        </w:rPr>
        <w:t>With respect to the Collaboration Products’ label, promotional materials and other materials that utilize as of the date hereof the Onyx name and/or logo which do not require U.S. Regulatory Approval in order to remove the Onyx name and/or logo (as the case may be), Onyx shall permit Bayer to use, manufacture and/or sell (as the case may be) such material (provided the Bayer name and/or logo are also used on such materials or label) for a period expiring ninety (90) days after the Termination Date.</w:t>
      </w:r>
    </w:p>
    <w:p>
      <w:pPr>
        <w:spacing w:after="0" w:line="141" w:lineRule="exact"/>
        <w:rPr>
          <w:sz w:val="20"/>
          <w:szCs w:val="20"/>
          <w:color w:val="auto"/>
        </w:rPr>
      </w:pPr>
    </w:p>
    <w:p>
      <w:pPr>
        <w:ind w:left="960" w:right="480"/>
        <w:spacing w:after="0" w:line="271" w:lineRule="auto"/>
        <w:rPr>
          <w:sz w:val="20"/>
          <w:szCs w:val="20"/>
          <w:color w:val="auto"/>
        </w:rPr>
      </w:pPr>
      <w:r>
        <w:rPr>
          <w:rFonts w:ascii="Times New Roman" w:cs="Times New Roman" w:eastAsia="Times New Roman" w:hAnsi="Times New Roman"/>
          <w:sz w:val="22"/>
          <w:szCs w:val="22"/>
          <w:color w:val="auto"/>
        </w:rPr>
        <w:t>From and after the Termination Date, Bayer shall not create any new promotional or other materials or label for the Collaboration Products that bears the Onyx name and/or logo.</w:t>
      </w:r>
    </w:p>
    <w:p>
      <w:pPr>
        <w:spacing w:after="0" w:line="111" w:lineRule="exact"/>
        <w:rPr>
          <w:sz w:val="20"/>
          <w:szCs w:val="20"/>
          <w:color w:val="auto"/>
        </w:rPr>
      </w:pPr>
    </w:p>
    <w:p>
      <w:pPr>
        <w:ind w:left="960" w:right="60"/>
        <w:spacing w:after="0" w:line="250" w:lineRule="auto"/>
        <w:rPr>
          <w:sz w:val="20"/>
          <w:szCs w:val="20"/>
          <w:color w:val="auto"/>
        </w:rPr>
      </w:pPr>
      <w:r>
        <w:rPr>
          <w:rFonts w:ascii="Times New Roman" w:cs="Times New Roman" w:eastAsia="Times New Roman" w:hAnsi="Times New Roman"/>
          <w:sz w:val="22"/>
          <w:szCs w:val="22"/>
          <w:color w:val="auto"/>
        </w:rPr>
        <w:t>For purposes of this letter, “</w:t>
      </w:r>
      <w:r>
        <w:rPr>
          <w:rFonts w:ascii="Times New Roman" w:cs="Times New Roman" w:eastAsia="Times New Roman" w:hAnsi="Times New Roman"/>
          <w:sz w:val="22"/>
          <w:szCs w:val="22"/>
          <w:b w:val="1"/>
          <w:bCs w:val="1"/>
          <w:i w:val="1"/>
          <w:iCs w:val="1"/>
          <w:color w:val="auto"/>
        </w:rPr>
        <w:t>Commercially Reasonable Efforts</w:t>
      </w:r>
      <w:r>
        <w:rPr>
          <w:rFonts w:ascii="Times New Roman" w:cs="Times New Roman" w:eastAsia="Times New Roman" w:hAnsi="Times New Roman"/>
          <w:sz w:val="22"/>
          <w:szCs w:val="22"/>
          <w:color w:val="auto"/>
        </w:rPr>
        <w:t>” shall mean: the level of efforts and resources (including the promptness with which such efforts and resources would be applied) commonly used in the pharmaceutical industry with respect to a product of commercial potential similar to the Collaboration Products at a similar stage in its development or product life, taking into consideration its safety and efficacy, its cost to develop, the competitiveness of alternative products of Third Parties, the patent and other proprietary position of such product, its profitability and all other relevant factors.</w:t>
      </w:r>
    </w:p>
    <w:p>
      <w:pPr>
        <w:spacing w:after="0" w:line="140" w:lineRule="exact"/>
        <w:rPr>
          <w:sz w:val="20"/>
          <w:szCs w:val="20"/>
          <w:color w:val="auto"/>
        </w:rPr>
      </w:pPr>
    </w:p>
    <w:p>
      <w:pPr>
        <w:ind w:left="960" w:right="20" w:hanging="324"/>
        <w:spacing w:after="0" w:line="248" w:lineRule="auto"/>
        <w:tabs>
          <w:tab w:leader="none" w:pos="9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hereby agree that, as has been the agreed-upon practice of the Parties under the Collaboration Agreement, for purposes of the Parties’ prospective arrangements set forth in this letter, the United States shall refer to the fifty (50) states of the United States of America and the District of Columbia, but shall exclude territories and possessions thereof. For the avoidance of doubt, the United States territories and possessions other than the fifty (50) states and the District of Columbia shall be treated for all purposes hereunder in an equivalent manner to any country worldwide other than the United States and compensation for sales of Collaboration Products in such territories and possessions shall be governed by Section 16.1 of the Collaboration Agreement.</w:t>
      </w:r>
    </w:p>
    <w:p>
      <w:pPr>
        <w:spacing w:after="0" w:line="101" w:lineRule="exact"/>
        <w:rPr>
          <w:sz w:val="20"/>
          <w:szCs w:val="20"/>
          <w:color w:val="auto"/>
        </w:rPr>
      </w:pPr>
    </w:p>
    <w:p>
      <w:pPr>
        <w:ind w:left="-20" w:firstLine="656"/>
        <w:spacing w:after="0" w:line="237" w:lineRule="auto"/>
        <w:tabs>
          <w:tab w:leader="none" w:pos="143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Promotion of Competing Products</w:t>
      </w:r>
      <w:r>
        <w:rPr>
          <w:rFonts w:ascii="Times New Roman" w:cs="Times New Roman" w:eastAsia="Times New Roman" w:hAnsi="Times New Roman"/>
          <w:sz w:val="22"/>
          <w:szCs w:val="22"/>
          <w:color w:val="auto"/>
        </w:rPr>
        <w:t>. Until the later of (a) the expiration of the last-to-expire Bayer Patent that includes a Valid Claim that covers Collaboration Products sold in the United States, or (b) the expiration of regulatory exclusivity of the Collaboration Products in the United States, the Bayer sales force responsible for marketing the Collaboration Products in the United States shall not market a Competing Product (as such term is defined in the Co-Promotion Agreement) without the prior written consent of Onyx. Notwithstanding the foregoing, the Parties hereby acknowledge and agree that each and every product that Bayer commercializes in the United States as of the date hereof (including, without limitation, Stivarga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(regorafenib)) shall not be considered a Competing Product for the purposes hereof.</w:t>
      </w:r>
    </w:p>
    <w:p>
      <w:pPr>
        <w:spacing w:after="0" w:line="114" w:lineRule="exact"/>
        <w:rPr>
          <w:rFonts w:ascii="Times New Roman" w:cs="Times New Roman" w:eastAsia="Times New Roman" w:hAnsi="Times New Roman"/>
          <w:sz w:val="22"/>
          <w:szCs w:val="22"/>
          <w:color w:val="auto"/>
        </w:rPr>
      </w:pPr>
    </w:p>
    <w:p>
      <w:pPr>
        <w:ind w:left="-20" w:right="40" w:firstLine="656"/>
        <w:spacing w:after="0" w:line="252" w:lineRule="auto"/>
        <w:tabs>
          <w:tab w:leader="none" w:pos="143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Royalties</w:t>
      </w:r>
      <w:r>
        <w:rPr>
          <w:rFonts w:ascii="Times New Roman" w:cs="Times New Roman" w:eastAsia="Times New Roman" w:hAnsi="Times New Roman"/>
          <w:sz w:val="22"/>
          <w:szCs w:val="22"/>
          <w:color w:val="auto"/>
        </w:rPr>
        <w:t>. The Parties hereby agree that, notwithstanding anything in the Collaboration Agreement to the contrary, the allocation of Marketing Profits and Marketing Losses set forth in Section 16.1 of the Collaboration Agreement (including, without limitation, the allocation and/or reimbursement of Allowable Expenses) shall not apply with respect to the sale of Collaboration Products in the United</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60" w:top="369" w:right="239" w:bottom="1440" w:gutter="0" w:footer="0" w:header="0"/>
        </w:sectPr>
      </w:pPr>
    </w:p>
    <w:bookmarkStart w:id="125" w:name="page126"/>
    <w:bookmarkEnd w:id="125"/>
    <w:p>
      <w:pPr>
        <w:ind w:right="180"/>
        <w:spacing w:after="0" w:line="271" w:lineRule="auto"/>
        <w:rPr>
          <w:sz w:val="20"/>
          <w:szCs w:val="20"/>
          <w:color w:val="auto"/>
        </w:rPr>
      </w:pPr>
      <w:r>
        <w:rPr>
          <w:rFonts w:ascii="Times New Roman" w:cs="Times New Roman" w:eastAsia="Times New Roman" w:hAnsi="Times New Roman"/>
          <w:sz w:val="22"/>
          <w:szCs w:val="22"/>
          <w:color w:val="auto"/>
        </w:rPr>
        <w:t>States during the U.S. Royalty Term. The Parties hereby agree that, during the U.S. Royalty Term, the exclusive compensation for sales of Collaboration Products in the United States shall be as follows:</w:t>
      </w:r>
    </w:p>
    <w:p>
      <w:pPr>
        <w:spacing w:after="0" w:line="73" w:lineRule="exact"/>
        <w:rPr>
          <w:sz w:val="20"/>
          <w:szCs w:val="20"/>
          <w:color w:val="auto"/>
        </w:rPr>
      </w:pPr>
    </w:p>
    <w:p>
      <w:pPr>
        <w:ind w:left="980" w:right="40" w:hanging="324"/>
        <w:spacing w:after="0" w:line="244" w:lineRule="auto"/>
        <w:tabs>
          <w:tab w:leader="none" w:pos="9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Royalty</w:t>
      </w:r>
      <w:r>
        <w:rPr>
          <w:rFonts w:ascii="Times New Roman" w:cs="Times New Roman" w:eastAsia="Times New Roman" w:hAnsi="Times New Roman"/>
          <w:sz w:val="22"/>
          <w:szCs w:val="22"/>
          <w:color w:val="auto"/>
        </w:rPr>
        <w:t>. Bayer shall pay to Onyx non-refundable, non-creditable royalties equal to thirty-nine percent (39%) of Net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Sales of all Collaboration Products in the United States during the U.S. Royalty Term. Any sales of Collaboration Products in the United States by or on behalf of Bayer, its Affiliates, licensees and/or sublicensees shall be treated hereunder as if such sales were made by Bayer. If Bayer grants licenses to its Affiliates or Third Parties to make or sell Collaboration Products in the United States, it shall include an obligation for such parties to account for and report Net Sales of Collaboration Products on the same basis as if such sales were made by Bayer, and Bayer shall pay royalties to Onyx under this letter as if the Net Sales of such Collaboration Products by such Affiliates and Third Parties were Net Sales of Bayer. Notwithstanding the foregoing, if during the U.S. Royalty Term, a Third Party receives marketing authorization for and commences commercial sale of a Generic Product (as defined below) in the United States, then royalties payable to Onyx with respect to Net Sales of the applicable Collaboration Product in the United States shall be reduced to nineteen and one half percent (19.5%) beginning on the first day of the first full calendar quarter following the date of first sale of the Generic Product in which Net Sales of the applicable Collaboration Product in the United States in such calendar quarter decrease by more than fifty percent (50%) from the Net Sales of such Collaboration Product in the United States in the calendar quarter immediately preceding the first sale of such Generic Product. For the purposes of this provision, a “Generic Product” shall mean, with respect to a Collaboration Product, any pharmaceutical product in the United States that: (i) contains the same active pharmaceutical ingredient as the Collaboration Product; (ii) is approved by the FDA in reliance, in whole or in part, on the prior Drug Approval of such Collaboration Product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pursuant to 21 U.S.C. 355(b)(2), an abbreviated new drug application (ANDA) pursuant to 21 U.S.C. §355(j), a separate NDA, compendia listing, other Drug Approval Application or otherwise, including foreign equivalents of the foregoing); (iii) has one or more Governmental or Regulatory Authority-approved indications in the United States equivalent to the Governmental or Regulatory Authority-approved indication for such Product in the United States; (iv) is bioequivalent to such Collaboration Product as determined by the FDA; and (v) is sold in the United States by a Third Party that (a) is not a licensee or sublicensee of Bayer or its Affiliates or any of their licensees or sublicensees, (b) has not obtained such product from a chain of distribution including Bayer, its Affiliates or any of their licensees or sublicensees, and (c) is not otherwise authorized by Bayer or any of its Affiliates, licensees, sublicensees or distributors to sell such product.</w:t>
      </w:r>
    </w:p>
    <w:p>
      <w:pPr>
        <w:spacing w:after="0" w:line="119" w:lineRule="exact"/>
        <w:rPr>
          <w:rFonts w:ascii="Times New Roman" w:cs="Times New Roman" w:eastAsia="Times New Roman" w:hAnsi="Times New Roman"/>
          <w:sz w:val="22"/>
          <w:szCs w:val="22"/>
          <w:color w:val="auto"/>
        </w:rPr>
      </w:pPr>
    </w:p>
    <w:p>
      <w:pPr>
        <w:ind w:left="980" w:right="120" w:hanging="324"/>
        <w:spacing w:after="0" w:line="259" w:lineRule="auto"/>
        <w:tabs>
          <w:tab w:leader="none" w:pos="9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U.S. Royalty Term</w:t>
      </w:r>
      <w:r>
        <w:rPr>
          <w:rFonts w:ascii="Times New Roman" w:cs="Times New Roman" w:eastAsia="Times New Roman" w:hAnsi="Times New Roman"/>
          <w:sz w:val="22"/>
          <w:szCs w:val="22"/>
          <w:color w:val="auto"/>
        </w:rPr>
        <w:t>. Royalties shall be paid under this Paragraph 3 during the period from the Termination Date until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of the termination or expiration, as the case may be, of the Collaboration Agreement in accordance with its terms (such period, the “</w:t>
      </w:r>
      <w:r>
        <w:rPr>
          <w:rFonts w:ascii="Times New Roman" w:cs="Times New Roman" w:eastAsia="Times New Roman" w:hAnsi="Times New Roman"/>
          <w:sz w:val="22"/>
          <w:szCs w:val="22"/>
          <w:b w:val="1"/>
          <w:bCs w:val="1"/>
          <w:i w:val="1"/>
          <w:iCs w:val="1"/>
          <w:color w:val="auto"/>
        </w:rPr>
        <w:t>U.S. Royalty Term</w:t>
      </w:r>
      <w:r>
        <w:rPr>
          <w:rFonts w:ascii="Times New Roman" w:cs="Times New Roman" w:eastAsia="Times New Roman" w:hAnsi="Times New Roman"/>
          <w:sz w:val="22"/>
          <w:szCs w:val="22"/>
          <w:color w:val="auto"/>
        </w:rPr>
        <w:t>”).</w:t>
      </w:r>
    </w:p>
    <w:p>
      <w:pPr>
        <w:spacing w:after="0" w:line="85" w:lineRule="exact"/>
        <w:rPr>
          <w:rFonts w:ascii="Times New Roman" w:cs="Times New Roman" w:eastAsia="Times New Roman" w:hAnsi="Times New Roman"/>
          <w:sz w:val="22"/>
          <w:szCs w:val="22"/>
          <w:color w:val="auto"/>
        </w:rPr>
      </w:pPr>
    </w:p>
    <w:p>
      <w:pPr>
        <w:ind w:left="980" w:hanging="324"/>
        <w:spacing w:after="0" w:line="262" w:lineRule="auto"/>
        <w:tabs>
          <w:tab w:leader="none" w:pos="98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Royalty Reports and Payments</w:t>
      </w:r>
      <w:r>
        <w:rPr>
          <w:rFonts w:ascii="Times New Roman" w:cs="Times New Roman" w:eastAsia="Times New Roman" w:hAnsi="Times New Roman"/>
          <w:sz w:val="21"/>
          <w:szCs w:val="21"/>
          <w:color w:val="auto"/>
        </w:rPr>
        <w:t>. Within ten (10) days following the end of each calendar quarter during the U.S. Royalty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Term, Bayer shall provide Onyx with a report estimating Net Sales of the Collaboration Products in the United States for such calendar quarter. Within thirty (30) days following the end of each calendar quarter during the U.S. Royalty Term, Bayer shall provide Onyx with a report containing the following information for such calendar quarter: (i) the amount of gross sales of Collaboration Products in the United States, (ii) an itemized calculation of Net Sales in the United States showing deductions permitted in the definition of “Net Sales,” and (iii) the calculation of the royalty payment due on such sales pursuant to Paragraph 3.a hereof. Bayer shall pay to Onyx all amounts due to Onyx pursuant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9" w:right="239" w:bottom="1440" w:gutter="0" w:footer="0" w:header="0"/>
        </w:sectPr>
      </w:pPr>
    </w:p>
    <w:bookmarkStart w:id="126" w:name="page127"/>
    <w:bookmarkEnd w:id="126"/>
    <w:p>
      <w:pPr>
        <w:ind w:left="960" w:right="440"/>
        <w:spacing w:after="0" w:line="271" w:lineRule="auto"/>
        <w:rPr>
          <w:sz w:val="20"/>
          <w:szCs w:val="20"/>
          <w:color w:val="auto"/>
        </w:rPr>
      </w:pPr>
      <w:r>
        <w:rPr>
          <w:rFonts w:ascii="Times New Roman" w:cs="Times New Roman" w:eastAsia="Times New Roman" w:hAnsi="Times New Roman"/>
          <w:sz w:val="22"/>
          <w:szCs w:val="22"/>
          <w:color w:val="auto"/>
        </w:rPr>
        <w:t>to this Paragraph 3 within forty-five (45) days following the end of each calendar quarter in which royalties are due under Paragraph 3.a.</w:t>
      </w:r>
    </w:p>
    <w:p>
      <w:pPr>
        <w:spacing w:after="0" w:line="73" w:lineRule="exact"/>
        <w:rPr>
          <w:sz w:val="20"/>
          <w:szCs w:val="20"/>
          <w:color w:val="auto"/>
        </w:rPr>
      </w:pPr>
    </w:p>
    <w:p>
      <w:pPr>
        <w:ind w:left="960" w:hanging="324"/>
        <w:spacing w:after="0" w:line="247" w:lineRule="auto"/>
        <w:tabs>
          <w:tab w:leader="none" w:pos="9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Books and Records</w:t>
      </w:r>
      <w:r>
        <w:rPr>
          <w:rFonts w:ascii="Times New Roman" w:cs="Times New Roman" w:eastAsia="Times New Roman" w:hAnsi="Times New Roman"/>
          <w:sz w:val="22"/>
          <w:szCs w:val="22"/>
          <w:color w:val="auto"/>
        </w:rPr>
        <w:t>. During the U.S. Royalty Term, Bayer shall, and shall cause its Affiliates, licensees and sublicensees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keep complete and accurate books and records that disclose the total United States sales and Net Sales of Collaboration Products in the United States, the number of units of Collaboration Products sold in the United States, and all matters relating to those sales that are relevant for the purposes of determining the royalties due to Onyx hereunder. During the U.S. Royalty Term, Bayer shall, and shall cause its Affiliates to, (i) maintain such books and records in sufficient detail to calculate all amounts payable hereunder and to verify compliance with Bayer’s obligations under this letter, and (ii) retain such books and records until the later of (a) five (5) years after the end of the period to which such books and records pertain, and (b) the expiration of the applicable tax statute of limitation (or any extensions thereof), or for such longer period as may be required by applicable laws.</w:t>
      </w:r>
    </w:p>
    <w:p>
      <w:pPr>
        <w:spacing w:after="0" w:line="101" w:lineRule="exact"/>
        <w:rPr>
          <w:rFonts w:ascii="Times New Roman" w:cs="Times New Roman" w:eastAsia="Times New Roman" w:hAnsi="Times New Roman"/>
          <w:sz w:val="22"/>
          <w:szCs w:val="22"/>
          <w:color w:val="auto"/>
        </w:rPr>
      </w:pPr>
    </w:p>
    <w:p>
      <w:pPr>
        <w:ind w:left="960" w:right="20" w:hanging="324"/>
        <w:spacing w:after="0" w:line="251" w:lineRule="auto"/>
        <w:tabs>
          <w:tab w:leader="none" w:pos="9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Royalty Terms</w:t>
      </w:r>
      <w:r>
        <w:rPr>
          <w:rFonts w:ascii="Times New Roman" w:cs="Times New Roman" w:eastAsia="Times New Roman" w:hAnsi="Times New Roman"/>
          <w:sz w:val="22"/>
          <w:szCs w:val="22"/>
          <w:color w:val="auto"/>
        </w:rPr>
        <w:t>. The Parties hereby acknowledge and agree that the terms of Sections 4.4 (Mode of Payment), 4.5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(Taxes), 4.6 (Interest on Late Payments), 4.7 (Audit), 4.8 (Audit Dispute) and 4.9 (Confidentiality) of the Agreement Regarding Regorafenib, dated as of October 11, 2011, by and between the Parties, are incorporated herein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mutantis </w:t>
      </w:r>
      <w:r>
        <w:rPr>
          <w:rFonts w:ascii="Times New Roman" w:cs="Times New Roman" w:eastAsia="Times New Roman" w:hAnsi="Times New Roman"/>
          <w:sz w:val="22"/>
          <w:szCs w:val="22"/>
          <w:color w:val="auto"/>
        </w:rPr>
        <w:t>such that these provisions apply to sales of Collaboration Products in the United States during the U.S. Royalty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 and the royalties payable to Onyx under this Paragraph 3 in connection therewith.</w:t>
      </w:r>
    </w:p>
    <w:p>
      <w:pPr>
        <w:spacing w:after="0" w:line="99" w:lineRule="exact"/>
        <w:rPr>
          <w:sz w:val="20"/>
          <w:szCs w:val="20"/>
          <w:color w:val="auto"/>
        </w:rPr>
      </w:pPr>
    </w:p>
    <w:p>
      <w:pPr>
        <w:ind w:left="-20" w:right="20" w:firstLine="656"/>
        <w:spacing w:after="0" w:line="252" w:lineRule="auto"/>
        <w:tabs>
          <w:tab w:leader="none" w:pos="143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Parties hereby affirm and agree that this letter is not intended to in any way modify the Tax Partnership or the characterization of the relationship between the Parties for tax purposes as set forth in Section 23 of the Collaboration Agreement. Without limiting the generality of the foregoing, royalties paid under Paragraph 3.a hereof shall not be deemed to be distributive shares of income from the Tax Partnership referred to in Section 23 of the Collaboration Agreement.</w:t>
      </w:r>
    </w:p>
    <w:p>
      <w:pPr>
        <w:spacing w:after="0" w:line="98" w:lineRule="exact"/>
        <w:rPr>
          <w:rFonts w:ascii="Times New Roman" w:cs="Times New Roman" w:eastAsia="Times New Roman" w:hAnsi="Times New Roman"/>
          <w:sz w:val="22"/>
          <w:szCs w:val="22"/>
          <w:color w:val="auto"/>
        </w:rPr>
      </w:pPr>
    </w:p>
    <w:p>
      <w:pPr>
        <w:ind w:left="1440" w:hanging="804"/>
        <w:spacing w:after="0"/>
        <w:tabs>
          <w:tab w:leader="none" w:pos="14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Collaboration Agreement</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ind w:left="960" w:right="160" w:hanging="324"/>
        <w:spacing w:after="0" w:line="251" w:lineRule="auto"/>
        <w:tabs>
          <w:tab w:leader="none" w:pos="9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Governance</w:t>
      </w:r>
      <w:r>
        <w:rPr>
          <w:rFonts w:ascii="Times New Roman" w:cs="Times New Roman" w:eastAsia="Times New Roman" w:hAnsi="Times New Roman"/>
          <w:sz w:val="22"/>
          <w:szCs w:val="22"/>
          <w:color w:val="auto"/>
        </w:rPr>
        <w:t>. Notwithstanding anything set forth in the Collaboration Agreement, from and after the Termination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Parties shall only be required to constitute the Alliance Steering Committee (the “</w:t>
      </w:r>
      <w:r>
        <w:rPr>
          <w:rFonts w:ascii="Times New Roman" w:cs="Times New Roman" w:eastAsia="Times New Roman" w:hAnsi="Times New Roman"/>
          <w:sz w:val="22"/>
          <w:szCs w:val="22"/>
          <w:b w:val="1"/>
          <w:bCs w:val="1"/>
          <w:i w:val="1"/>
          <w:iCs w:val="1"/>
          <w:color w:val="auto"/>
        </w:rPr>
        <w:t>ASC</w:t>
      </w:r>
      <w:r>
        <w:rPr>
          <w:rFonts w:ascii="Times New Roman" w:cs="Times New Roman" w:eastAsia="Times New Roman" w:hAnsi="Times New Roman"/>
          <w:sz w:val="22"/>
          <w:szCs w:val="22"/>
          <w:color w:val="auto"/>
        </w:rPr>
        <w:t>”), the Executive Committee (the “</w:t>
      </w:r>
      <w:r>
        <w:rPr>
          <w:rFonts w:ascii="Times New Roman" w:cs="Times New Roman" w:eastAsia="Times New Roman" w:hAnsi="Times New Roman"/>
          <w:sz w:val="22"/>
          <w:szCs w:val="22"/>
          <w:b w:val="1"/>
          <w:bCs w:val="1"/>
          <w:i w:val="1"/>
          <w:iCs w:val="1"/>
          <w:color w:val="auto"/>
        </w:rPr>
        <w:t>EC</w:t>
      </w:r>
      <w:r>
        <w:rPr>
          <w:rFonts w:ascii="Times New Roman" w:cs="Times New Roman" w:eastAsia="Times New Roman" w:hAnsi="Times New Roman"/>
          <w:sz w:val="22"/>
          <w:szCs w:val="22"/>
          <w:color w:val="auto"/>
        </w:rPr>
        <w:t>”), the Joint Project Committee (the “</w:t>
      </w:r>
      <w:r>
        <w:rPr>
          <w:rFonts w:ascii="Times New Roman" w:cs="Times New Roman" w:eastAsia="Times New Roman" w:hAnsi="Times New Roman"/>
          <w:sz w:val="22"/>
          <w:szCs w:val="22"/>
          <w:b w:val="1"/>
          <w:bCs w:val="1"/>
          <w:i w:val="1"/>
          <w:iCs w:val="1"/>
          <w:color w:val="auto"/>
        </w:rPr>
        <w:t>JPC</w:t>
      </w:r>
      <w:r>
        <w:rPr>
          <w:rFonts w:ascii="Times New Roman" w:cs="Times New Roman" w:eastAsia="Times New Roman" w:hAnsi="Times New Roman"/>
          <w:sz w:val="22"/>
          <w:szCs w:val="22"/>
          <w:color w:val="auto"/>
        </w:rPr>
        <w:t>”) and any subcommittee as either the ASC or EC shall decide by unanimous written consent. For the avoidance of doubt, neither the ASC, EC or JPC shall have any responsibility with respect to, or the right to approve, U.S. marketing activities.</w:t>
      </w:r>
    </w:p>
    <w:p>
      <w:pPr>
        <w:spacing w:after="0" w:line="95" w:lineRule="exact"/>
        <w:rPr>
          <w:rFonts w:ascii="Times New Roman" w:cs="Times New Roman" w:eastAsia="Times New Roman" w:hAnsi="Times New Roman"/>
          <w:sz w:val="22"/>
          <w:szCs w:val="22"/>
          <w:color w:val="auto"/>
        </w:rPr>
      </w:pPr>
    </w:p>
    <w:p>
      <w:pPr>
        <w:ind w:left="960" w:right="40" w:hanging="324"/>
        <w:spacing w:after="0" w:line="247" w:lineRule="auto"/>
        <w:tabs>
          <w:tab w:leader="none" w:pos="9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Global Development</w:t>
      </w:r>
      <w:r>
        <w:rPr>
          <w:rFonts w:ascii="Times New Roman" w:cs="Times New Roman" w:eastAsia="Times New Roman" w:hAnsi="Times New Roman"/>
          <w:sz w:val="22"/>
          <w:szCs w:val="22"/>
          <w:color w:val="auto"/>
        </w:rPr>
        <w:t>. Except as expressly set forth in this letter, nothing in this letter is intended to modify or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alter the provisions of the Collaboration Agreement with respect to ongoing and / or future global clinical development of the Collaboration Compounds including provisions related to the sharing of costs and expenses and decision-making. Global clinical development projects refer to those development projects approved by the EC and managed globally even if such development projects may benefit the United States. For clarity, the Parties hereby acknowledge and agree that (i) the ongoing pediatric program is considered a global clinical development project for the purposes of this provision and (ii) the ongoing Phase 4 clinical studies in the United States are not considered global clinical development projects and Bayer shall be solely responsible for all costs and expenses relating thereto.</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60" w:top="369" w:right="259" w:bottom="1440" w:gutter="0" w:footer="0" w:header="0"/>
        </w:sectPr>
      </w:pPr>
    </w:p>
    <w:bookmarkStart w:id="127" w:name="page128"/>
    <w:bookmarkEnd w:id="127"/>
    <w:p>
      <w:pPr>
        <w:jc w:val="both"/>
        <w:ind w:left="980" w:right="180" w:hanging="324"/>
        <w:spacing w:after="0" w:line="259" w:lineRule="auto"/>
        <w:tabs>
          <w:tab w:leader="none" w:pos="9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Separate Development Program</w:t>
      </w:r>
      <w:r>
        <w:rPr>
          <w:rFonts w:ascii="Times New Roman" w:cs="Times New Roman" w:eastAsia="Times New Roman" w:hAnsi="Times New Roman"/>
          <w:sz w:val="22"/>
          <w:szCs w:val="22"/>
          <w:color w:val="auto"/>
        </w:rPr>
        <w:t>. The Parties hereby acknowledge and agree that, effective as of the Termination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Sections 1.86, 1.87 and 12.5 of the Collaboration Agreement are hereby deleted in their entirety and shall no longer be of any force or effect.</w:t>
      </w:r>
    </w:p>
    <w:p>
      <w:pPr>
        <w:spacing w:after="0" w:line="85" w:lineRule="exact"/>
        <w:rPr>
          <w:rFonts w:ascii="Times New Roman" w:cs="Times New Roman" w:eastAsia="Times New Roman" w:hAnsi="Times New Roman"/>
          <w:sz w:val="22"/>
          <w:szCs w:val="22"/>
          <w:color w:val="auto"/>
        </w:rPr>
      </w:pPr>
    </w:p>
    <w:p>
      <w:pPr>
        <w:ind w:left="980" w:right="80" w:hanging="324"/>
        <w:spacing w:after="0" w:line="259" w:lineRule="auto"/>
        <w:tabs>
          <w:tab w:leader="none" w:pos="9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Co-Promotion Right</w:t>
      </w:r>
      <w:r>
        <w:rPr>
          <w:rFonts w:ascii="Times New Roman" w:cs="Times New Roman" w:eastAsia="Times New Roman" w:hAnsi="Times New Roman"/>
          <w:sz w:val="22"/>
          <w:szCs w:val="22"/>
          <w:color w:val="auto"/>
        </w:rPr>
        <w:t>. The Parties acknowledge and agree that, effective as of the Termination Date, Sections 13.4, 13.5,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13.6, 13.7, 13.8, 13.9, 13.10 and 13.11 of the Collaboration Agreement are hereby deleted in their entirety and shall no longer be of any force or effect.</w:t>
      </w:r>
    </w:p>
    <w:p>
      <w:pPr>
        <w:spacing w:after="0" w:line="85" w:lineRule="exact"/>
        <w:rPr>
          <w:rFonts w:ascii="Times New Roman" w:cs="Times New Roman" w:eastAsia="Times New Roman" w:hAnsi="Times New Roman"/>
          <w:sz w:val="22"/>
          <w:szCs w:val="22"/>
          <w:color w:val="auto"/>
        </w:rPr>
      </w:pPr>
    </w:p>
    <w:p>
      <w:pPr>
        <w:ind w:left="980" w:right="580" w:hanging="324"/>
        <w:spacing w:after="0" w:line="275" w:lineRule="auto"/>
        <w:tabs>
          <w:tab w:leader="none" w:pos="9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w:t>
      </w:r>
      <w:r>
        <w:rPr>
          <w:rFonts w:ascii="Times New Roman" w:cs="Times New Roman" w:eastAsia="Times New Roman" w:hAnsi="Times New Roman"/>
          <w:sz w:val="22"/>
          <w:szCs w:val="22"/>
          <w:color w:val="auto"/>
        </w:rPr>
        <w:t>. The addresses to which notices to Bayer pursuant to Section 28.7 of the Collaboration Agreement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addressed shall be:</w:t>
      </w:r>
    </w:p>
    <w:p>
      <w:pPr>
        <w:spacing w:after="0" w:line="72"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Bayer, addressed to:</w:t>
      </w:r>
    </w:p>
    <w:p>
      <w:pPr>
        <w:spacing w:after="0" w:line="179" w:lineRule="exact"/>
        <w:rPr>
          <w:rFonts w:ascii="Times New Roman" w:cs="Times New Roman" w:eastAsia="Times New Roman" w:hAnsi="Times New Roman"/>
          <w:sz w:val="22"/>
          <w:szCs w:val="22"/>
          <w:color w:val="auto"/>
        </w:rPr>
      </w:pPr>
    </w:p>
    <w:p>
      <w:pPr>
        <w:ind w:left="980" w:right="706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Bayer HealthCare LLC 100 Bayer Boulevard Whippany, New Jersey 09781 Attention: Sr. VP and General Counsel Facsimile: XXXXXXXXXX</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a copy to:</w:t>
      </w:r>
    </w:p>
    <w:p>
      <w:pPr>
        <w:spacing w:after="0" w:line="179"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Bayer HealthCare Pharmaceuticals Inc.</w:t>
      </w:r>
    </w:p>
    <w:p>
      <w:pPr>
        <w:spacing w:after="0" w:line="27" w:lineRule="exact"/>
        <w:rPr>
          <w:rFonts w:ascii="Times New Roman" w:cs="Times New Roman" w:eastAsia="Times New Roman" w:hAnsi="Times New Roman"/>
          <w:sz w:val="22"/>
          <w:szCs w:val="22"/>
          <w:color w:val="auto"/>
        </w:rPr>
      </w:pPr>
    </w:p>
    <w:p>
      <w:pPr>
        <w:ind w:left="980" w:right="726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Bayer Boulevard Whippany, New Jersey 09781 Attention: Global Head of Oncology Facsimile: XXXXXXXXXX</w:t>
      </w:r>
    </w:p>
    <w:p>
      <w:pPr>
        <w:spacing w:after="0" w:line="140" w:lineRule="exact"/>
        <w:rPr>
          <w:rFonts w:ascii="Times New Roman" w:cs="Times New Roman" w:eastAsia="Times New Roman" w:hAnsi="Times New Roman"/>
          <w:sz w:val="22"/>
          <w:szCs w:val="22"/>
          <w:color w:val="auto"/>
        </w:rPr>
      </w:pPr>
    </w:p>
    <w:p>
      <w:pPr>
        <w:ind w:left="980" w:right="580" w:hanging="324"/>
        <w:spacing w:after="0" w:line="259" w:lineRule="auto"/>
        <w:tabs>
          <w:tab w:leader="none" w:pos="9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 and Termination</w:t>
      </w:r>
      <w:r>
        <w:rPr>
          <w:rFonts w:ascii="Times New Roman" w:cs="Times New Roman" w:eastAsia="Times New Roman" w:hAnsi="Times New Roman"/>
          <w:sz w:val="22"/>
          <w:szCs w:val="22"/>
          <w:color w:val="auto"/>
        </w:rPr>
        <w:t>. The Parties acknowledge and agree that Section 24.1(c) of the Collaboration Agreement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hereby deleted in its entirety and replaced with the following: “the last date on which any Party or its Affiliates, licensees or sublicensees markets or sells any Collaboration Product anywhere in the world.”</w:t>
      </w:r>
    </w:p>
    <w:p>
      <w:pPr>
        <w:spacing w:after="0" w:line="90" w:lineRule="exact"/>
        <w:rPr>
          <w:sz w:val="20"/>
          <w:szCs w:val="20"/>
          <w:color w:val="auto"/>
        </w:rPr>
      </w:pPr>
    </w:p>
    <w:p>
      <w:pPr>
        <w:ind w:left="1460" w:hanging="804"/>
        <w:spacing w:after="0"/>
        <w:tabs>
          <w:tab w:leader="none" w:pos="14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Full Force and Effect</w:t>
      </w:r>
      <w:r>
        <w:rPr>
          <w:rFonts w:ascii="Times New Roman" w:cs="Times New Roman" w:eastAsia="Times New Roman" w:hAnsi="Times New Roman"/>
          <w:sz w:val="21"/>
          <w:szCs w:val="21"/>
          <w:color w:val="auto"/>
        </w:rPr>
        <w:t>. Except as expressly set forth in this letter, the Collaboration Agreement remains in full force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 effect.</w:t>
      </w:r>
    </w:p>
    <w:p>
      <w:pPr>
        <w:spacing w:after="0" w:line="114" w:lineRule="exact"/>
        <w:rPr>
          <w:rFonts w:ascii="Times New Roman" w:cs="Times New Roman" w:eastAsia="Times New Roman" w:hAnsi="Times New Roman"/>
          <w:sz w:val="21"/>
          <w:szCs w:val="21"/>
          <w:color w:val="auto"/>
        </w:rPr>
      </w:pPr>
    </w:p>
    <w:p>
      <w:pPr>
        <w:ind w:right="100" w:firstLine="656"/>
        <w:spacing w:after="0" w:line="246" w:lineRule="auto"/>
        <w:tabs>
          <w:tab w:leader="none" w:pos="145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letter, together with the Collaboration Agreement, as modified hereby, contains all of the terms agreed to by the Parties regarding the subject matter of this letter and supersedes any prior oral or written agreements, understandings or arrangements between the Parties as to the subject matter hereof. This letter may not be amended, modified, altered or supplemented except by means of a written agreement or other instrument executed by both Parties. This letter may be executed in one or more counterparts, each of which shall be deemed an original, but both of which together shall constitute one and the same instrument. Each Party may execute this letter by facsimile transmission or in PDF format sent by electronic mail. Facsimile or PDF signatures of authorized signatories of the Parties will be deemed to be original signatures, will be valid and binding upon the Parties and, upon delivery, will constitute due execution of this letter. This letter shall be deemed to have been entered into and shall be construed and enforced in accordance with the laws of the State of California without giving effect to any choice or conflict of laws provision.</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365" w:right="259" w:bottom="1440" w:gutter="0" w:footer="0" w:header="0"/>
        </w:sectPr>
      </w:pPr>
    </w:p>
    <w:bookmarkStart w:id="128" w:name="page129"/>
    <w:bookmarkEnd w:id="128"/>
    <w:p>
      <w:pPr>
        <w:ind w:firstLine="648"/>
        <w:spacing w:after="0" w:line="271" w:lineRule="auto"/>
        <w:rPr>
          <w:sz w:val="20"/>
          <w:szCs w:val="20"/>
          <w:color w:val="auto"/>
        </w:rPr>
      </w:pPr>
      <w:r>
        <w:rPr>
          <w:rFonts w:ascii="Times New Roman" w:cs="Times New Roman" w:eastAsia="Times New Roman" w:hAnsi="Times New Roman"/>
          <w:sz w:val="22"/>
          <w:szCs w:val="22"/>
          <w:color w:val="auto"/>
        </w:rPr>
        <w:t>Please confirm that the foregoing is in accordance with your understanding of our agreement by signing and returning to us a copy of this letter.</w:t>
      </w:r>
    </w:p>
    <w:p>
      <w:pPr>
        <w:spacing w:after="0" w:line="200" w:lineRule="exact"/>
        <w:rPr>
          <w:sz w:val="20"/>
          <w:szCs w:val="20"/>
          <w:color w:val="auto"/>
        </w:rPr>
      </w:pPr>
    </w:p>
    <w:p>
      <w:pPr>
        <w:spacing w:after="0" w:line="3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Onyx Pharmaceuticals,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/s/ SEAN E. HARPER</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Sean E. Harper</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Bayer HealthCare LLC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DANIEL APEL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Daniel Apel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Bayer HealthCare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Cc:</w:t>
        <w:tab/>
        <w:t>Bayer HealthCare Pharmaceuticals Inc.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100 Bayer Boulevard</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PO Box 915</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Whippany, NJ 07981-0915</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Global Head of Oncology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Facsimile: XXXXXXXXXX</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20"/>
          </w:cols>
          <w:pgMar w:left="240" w:top="369"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5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Bradway, Chairman of the Board, Chief Executive Officer and President of Amgen Inc., certify that:</w:t>
      </w:r>
    </w:p>
    <w:p>
      <w:pPr>
        <w:spacing w:after="0" w:line="144"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Amgen Inc.;</w:t>
      </w:r>
    </w:p>
    <w:p>
      <w:pPr>
        <w:spacing w:after="0" w:line="144"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9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0"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9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80"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August 5, 2015</w:t>
      </w:r>
      <w:r>
        <w:rPr>
          <w:sz w:val="20"/>
          <w:szCs w:val="20"/>
          <w:color w:val="auto"/>
        </w:rPr>
        <w:tab/>
      </w:r>
      <w:r>
        <w:rPr>
          <w:rFonts w:ascii="Times New Roman" w:cs="Times New Roman" w:eastAsia="Times New Roman" w:hAnsi="Times New Roman"/>
          <w:sz w:val="17"/>
          <w:szCs w:val="17"/>
          <w:color w:val="auto"/>
        </w:rPr>
        <w:t>/s/ ROBERT A. BRADWAY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Robert A. Bradway</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30" w:name="page131"/>
    <w:bookmarkEnd w:id="130"/>
    <w:p>
      <w:pPr>
        <w:ind w:left="49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W. Meline, Executive Vice President and Chief Financial Officer of Amgen Inc., certify that:</w:t>
      </w:r>
    </w:p>
    <w:p>
      <w:pPr>
        <w:spacing w:after="0" w:line="144" w:lineRule="exact"/>
        <w:rPr>
          <w:sz w:val="20"/>
          <w:szCs w:val="20"/>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Amgen Inc.;</w:t>
      </w:r>
    </w:p>
    <w:p>
      <w:pPr>
        <w:spacing w:after="0" w:line="144"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9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0"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9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80"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August 5, 2015</w:t>
      </w:r>
      <w:r>
        <w:rPr>
          <w:sz w:val="20"/>
          <w:szCs w:val="20"/>
          <w:color w:val="auto"/>
        </w:rPr>
        <w:tab/>
      </w:r>
      <w:r>
        <w:rPr>
          <w:rFonts w:ascii="Times New Roman" w:cs="Times New Roman" w:eastAsia="Times New Roman" w:hAnsi="Times New Roman"/>
          <w:sz w:val="17"/>
          <w:szCs w:val="17"/>
          <w:color w:val="auto"/>
        </w:rPr>
        <w:t>/s/ DAVID W. 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David W. Meline</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7" w:right="2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Amgen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that:</w:t>
      </w:r>
    </w:p>
    <w:p>
      <w:pPr>
        <w:spacing w:after="0" w:line="126" w:lineRule="exact"/>
        <w:rPr>
          <w:sz w:val="20"/>
          <w:szCs w:val="20"/>
          <w:color w:val="auto"/>
        </w:rPr>
      </w:pPr>
    </w:p>
    <w:p>
      <w:pPr>
        <w:ind w:left="740" w:hanging="327"/>
        <w:spacing w:after="0" w:line="282" w:lineRule="auto"/>
        <w:tabs>
          <w:tab w:leader="none" w:pos="7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June 30, 2015 (the “Report”) fully complies with the requirements of Section 13(a) or Section 15(d), as applicable, of the Securities Exchange Act of 1934, as amended; and</w:t>
      </w:r>
    </w:p>
    <w:p>
      <w:pPr>
        <w:spacing w:after="0" w:line="8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306" w:lineRule="exact"/>
        <w:rPr>
          <w:sz w:val="20"/>
          <w:szCs w:val="20"/>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18"/>
          <w:szCs w:val="18"/>
          <w:color w:val="auto"/>
        </w:rPr>
        <w:t>Dated: August 5, 2015</w:t>
      </w:r>
      <w:r>
        <w:rPr>
          <w:sz w:val="20"/>
          <w:szCs w:val="20"/>
          <w:color w:val="auto"/>
        </w:rPr>
        <w:tab/>
      </w:r>
      <w:r>
        <w:rPr>
          <w:rFonts w:ascii="Times New Roman" w:cs="Times New Roman" w:eastAsia="Times New Roman" w:hAnsi="Times New Roman"/>
          <w:sz w:val="17"/>
          <w:szCs w:val="17"/>
          <w:color w:val="auto"/>
        </w:rPr>
        <w:t>/s/ ROBERT A. BRADWAY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Robert A. Bradway</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17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Amgen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that:</w:t>
      </w:r>
    </w:p>
    <w:p>
      <w:pPr>
        <w:spacing w:after="0" w:line="126" w:lineRule="exact"/>
        <w:rPr>
          <w:sz w:val="20"/>
          <w:szCs w:val="20"/>
          <w:color w:val="auto"/>
        </w:rPr>
      </w:pPr>
    </w:p>
    <w:p>
      <w:pPr>
        <w:ind w:left="740" w:hanging="327"/>
        <w:spacing w:after="0" w:line="282" w:lineRule="auto"/>
        <w:tabs>
          <w:tab w:leader="none" w:pos="7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June 30, 2015 (the “Report”) fully complies with the requirements of Section 13(a) or Section 15(d), as applicable, of the Securities Exchange Act of 1934, as amended; and</w:t>
      </w:r>
    </w:p>
    <w:p>
      <w:pPr>
        <w:spacing w:after="0" w:line="8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306" w:lineRule="exact"/>
        <w:rPr>
          <w:sz w:val="20"/>
          <w:szCs w:val="20"/>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18"/>
          <w:szCs w:val="18"/>
          <w:color w:val="auto"/>
        </w:rPr>
        <w:t>Dated: August 5, 2015</w:t>
      </w:r>
      <w:r>
        <w:rPr>
          <w:sz w:val="20"/>
          <w:szCs w:val="20"/>
          <w:color w:val="auto"/>
        </w:rPr>
        <w:tab/>
      </w:r>
      <w:r>
        <w:rPr>
          <w:rFonts w:ascii="Times New Roman" w:cs="Times New Roman" w:eastAsia="Times New Roman" w:hAnsi="Times New Roman"/>
          <w:sz w:val="17"/>
          <w:szCs w:val="17"/>
          <w:color w:val="auto"/>
        </w:rPr>
        <w:t>/s/ DAVID W. 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David W. Meline</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7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lowerRoman"/>
      <w:start w:val="1"/>
    </w:lvl>
  </w:abstractNum>
  <w:abstractNum w:abstractNumId="3">
    <w:nsid w:val="4B588F54"/>
    <w:multiLevelType w:val="hybridMultilevel"/>
    <w:lvl w:ilvl="0">
      <w:lvlJc w:val="left"/>
      <w:lvlText w:val="(%1)"/>
      <w:numFmt w:val="decimal"/>
      <w:start w:val="1"/>
    </w:lvl>
  </w:abstractNum>
  <w:abstractNum w:abstractNumId="4">
    <w:nsid w:val="542289EC"/>
    <w:multiLevelType w:val="hybridMultilevel"/>
    <w:lvl w:ilvl="0">
      <w:lvlJc w:val="left"/>
      <w:lvlText w:val="•"/>
      <w:numFmt w:val="bullet"/>
      <w:start w:val="1"/>
    </w:lvl>
    <w:lvl w:ilvl="1">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1"/>
      <w:numFmt w:val="bullet"/>
      <w:start w:val="1"/>
    </w:lvl>
  </w:abstractNum>
  <w:abstractNum w:abstractNumId="13">
    <w:nsid w:val="1BA026FA"/>
    <w:multiLevelType w:val="hybridMultilevel"/>
    <w:lvl w:ilvl="0">
      <w:lvlJc w:val="left"/>
      <w:lvlText w:val="%1."/>
      <w:numFmt w:val="upperLetter"/>
      <w:start w:val="9"/>
    </w:lvl>
  </w:abstractNum>
  <w:abstractNum w:abstractNumId="14">
    <w:nsid w:val="79A1DEAA"/>
    <w:multiLevelType w:val="hybridMultilevel"/>
    <w:lvl w:ilvl="0">
      <w:lvlJc w:val="left"/>
      <w:lvlText w:val="%1."/>
      <w:numFmt w:val="lowerLetter"/>
      <w:start w:val="1"/>
    </w:lvl>
  </w:abstractNum>
  <w:abstractNum w:abstractNumId="15">
    <w:nsid w:val="75C6C33A"/>
    <w:multiLevelType w:val="hybridMultilevel"/>
    <w:lvl w:ilvl="0">
      <w:lvlJc w:val="left"/>
      <w:lvlText w:val="2"/>
      <w:numFmt w:val="bullet"/>
      <w:start w:val="1"/>
    </w:lvl>
  </w:abstractNum>
  <w:abstractNum w:abstractNumId="16">
    <w:nsid w:val="12E685FB"/>
    <w:multiLevelType w:val="hybridMultilevel"/>
    <w:lvl w:ilvl="0">
      <w:lvlJc w:val="left"/>
      <w:lvlText w:val="%1."/>
      <w:numFmt w:val="lowerLetter"/>
      <w:start w:val="2"/>
    </w:lvl>
  </w:abstractNum>
  <w:abstractNum w:abstractNumId="17">
    <w:nsid w:val="70C6A529"/>
    <w:multiLevelType w:val="hybridMultilevel"/>
    <w:lvl w:ilvl="0">
      <w:lvlJc w:val="left"/>
      <w:lvlText w:val="3"/>
      <w:numFmt w:val="bullet"/>
      <w:start w:val="1"/>
    </w:lvl>
  </w:abstractNum>
  <w:abstractNum w:abstractNumId="18">
    <w:nsid w:val="520EEDD1"/>
    <w:multiLevelType w:val="hybridMultilevel"/>
    <w:lvl w:ilvl="0">
      <w:lvlJc w:val="left"/>
      <w:lvlText w:val="%1."/>
      <w:numFmt w:val="lowerLetter"/>
      <w:start w:val="5"/>
    </w:lvl>
  </w:abstractNum>
  <w:abstractNum w:abstractNumId="19">
    <w:nsid w:val="374A3FE6"/>
    <w:multiLevelType w:val="hybridMultilevel"/>
    <w:lvl w:ilvl="0">
      <w:lvlJc w:val="left"/>
      <w:lvlText w:val="(%1)"/>
      <w:numFmt w:val="lowerRoman"/>
      <w:start w:val="1"/>
    </w:lvl>
    <w:lvl w:ilvl="1">
      <w:lvlJc w:val="left"/>
      <w:lvlText w:val="(%2)"/>
      <w:numFmt w:val="lowerLetter"/>
      <w:start w:val="1"/>
    </w:lvl>
  </w:abstractNum>
  <w:abstractNum w:abstractNumId="20">
    <w:nsid w:val="4F4EF005"/>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
    </w:lvl>
  </w:abstractNum>
  <w:abstractNum w:abstractNumId="21">
    <w:nsid w:val="23F9C13C"/>
    <w:multiLevelType w:val="hybridMultilevel"/>
    <w:lvl w:ilvl="0">
      <w:lvlJc w:val="left"/>
      <w:lvlText w:val="(%1)"/>
      <w:numFmt w:val="lowerLetter"/>
      <w:start w:val="22"/>
    </w:lvl>
    <w:lvl w:ilvl="1">
      <w:lvlJc w:val="left"/>
      <w:lvlText w:val="(%2)"/>
      <w:numFmt w:val="upperLetter"/>
      <w:start w:val="1"/>
    </w:lvl>
    <w:lvl w:ilvl="2">
      <w:lvlJc w:val="left"/>
      <w:lvlText w:val="%3"/>
      <w:numFmt w:val="lowerLetter"/>
      <w:start w:val="1"/>
    </w:lvl>
  </w:abstractNum>
  <w:abstractNum w:abstractNumId="22">
    <w:nsid w:val="649BB77C"/>
    <w:multiLevelType w:val="hybridMultilevel"/>
    <w:lvl w:ilvl="0">
      <w:lvlJc w:val="left"/>
      <w:lvlText w:val="(%1)"/>
      <w:numFmt w:val="lowerRoman"/>
      <w:start w:val="6"/>
    </w:lvl>
  </w:abstractNum>
  <w:abstractNum w:abstractNumId="23">
    <w:nsid w:val="275AC794"/>
    <w:multiLevelType w:val="hybridMultilevel"/>
    <w:lvl w:ilvl="0">
      <w:lvlJc w:val="left"/>
      <w:lvlText w:val="%1."/>
      <w:numFmt w:val="upperLetter"/>
      <w:start w:val="35"/>
    </w:lvl>
  </w:abstractNum>
  <w:abstractNum w:abstractNumId="24">
    <w:nsid w:val="39386575"/>
    <w:multiLevelType w:val="hybridMultilevel"/>
    <w:lvl w:ilvl="0">
      <w:lvlJc w:val="left"/>
      <w:lvlText w:val="%1"/>
      <w:numFmt w:val="lowerRoman"/>
      <w:start w:val="1"/>
    </w:lvl>
    <w:lvl w:ilvl="1">
      <w:lvlJc w:val="left"/>
      <w:lvlText w:val="%2."/>
      <w:numFmt w:val="upperLetter"/>
      <w:start w:val="61"/>
    </w:lvl>
  </w:abstractNum>
  <w:abstractNum w:abstractNumId="25">
    <w:nsid w:val="1CF10FD8"/>
    <w:multiLevelType w:val="hybridMultilevel"/>
    <w:lvl w:ilvl="0">
      <w:lvlJc w:val="left"/>
      <w:lvlText w:val="(%1)"/>
      <w:numFmt w:val="lowerRoman"/>
      <w:start w:val="2"/>
    </w:lvl>
    <w:lvl w:ilvl="1">
      <w:lvlJc w:val="left"/>
      <w:lvlText w:val="%2"/>
      <w:numFmt w:val="upperLetter"/>
      <w:start w:val="1"/>
    </w:lvl>
  </w:abstractNum>
  <w:abstractNum w:abstractNumId="26">
    <w:nsid w:val="180115BE"/>
    <w:multiLevelType w:val="hybridMultilevel"/>
    <w:lvl w:ilvl="0">
      <w:lvlJc w:val="left"/>
      <w:lvlText w:val="(%1)"/>
      <w:numFmt w:val="lowerLetter"/>
      <w:start w:val="1"/>
    </w:lvl>
  </w:abstractNum>
  <w:abstractNum w:abstractNumId="27">
    <w:nsid w:val="235BA861"/>
    <w:multiLevelType w:val="hybridMultilevel"/>
    <w:lvl w:ilvl="0">
      <w:lvlJc w:val="left"/>
      <w:lvlText w:val="4"/>
      <w:numFmt w:val="bullet"/>
      <w:start w:val="1"/>
    </w:lvl>
  </w:abstractNum>
  <w:abstractNum w:abstractNumId="28">
    <w:nsid w:val="47398C89"/>
    <w:multiLevelType w:val="hybridMultilevel"/>
    <w:lvl w:ilvl="0">
      <w:lvlJc w:val="left"/>
      <w:lvlText w:val="(%1)"/>
      <w:numFmt w:val="lowerLetter"/>
      <w:start w:val="1"/>
    </w:lvl>
  </w:abstractNum>
  <w:abstractNum w:abstractNumId="29">
    <w:nsid w:val="354FE9F9"/>
    <w:multiLevelType w:val="hybridMultilevel"/>
    <w:lvl w:ilvl="0">
      <w:lvlJc w:val="left"/>
      <w:lvlText w:val="%1."/>
      <w:numFmt w:val="upperLetter"/>
      <w:start w:val="22"/>
    </w:lvl>
  </w:abstractNum>
  <w:abstractNum w:abstractNumId="30">
    <w:nsid w:val="15B5AF5C"/>
    <w:multiLevelType w:val="hybridMultilevel"/>
    <w:lvl w:ilvl="0">
      <w:lvlJc w:val="left"/>
      <w:lvlText w:val="%1."/>
      <w:numFmt w:val="upperLetter"/>
      <w:start w:val="24"/>
    </w:lvl>
  </w:abstractNum>
  <w:abstractNum w:abstractNumId="31">
    <w:nsid w:val="741226BB"/>
    <w:multiLevelType w:val="hybridMultilevel"/>
    <w:lvl w:ilvl="0">
      <w:lvlJc w:val="left"/>
      <w:lvlText w:val="(%1)"/>
      <w:numFmt w:val="lowerLetter"/>
      <w:start w:val="1"/>
    </w:lvl>
    <w:lvl w:ilvl="1">
      <w:lvlJc w:val="left"/>
      <w:lvlText w:val="(%2)"/>
      <w:numFmt w:val="lowerLetter"/>
      <w:start w:val="9"/>
    </w:lvl>
  </w:abstractNum>
  <w:abstractNum w:abstractNumId="32">
    <w:nsid w:val="D34B6A8"/>
    <w:multiLevelType w:val="hybridMultilevel"/>
    <w:lvl w:ilvl="0">
      <w:lvlJc w:val="left"/>
      <w:lvlText w:val="(%1)"/>
      <w:numFmt w:val="lowerRoman"/>
      <w:start w:val="2"/>
    </w:lvl>
  </w:abstractNum>
  <w:abstractNum w:abstractNumId="33">
    <w:nsid w:val="10233C99"/>
    <w:multiLevelType w:val="hybridMultilevel"/>
    <w:lvl w:ilvl="0">
      <w:lvlJc w:val="left"/>
      <w:lvlText w:val="%1."/>
      <w:numFmt w:val="lowerLetter"/>
      <w:start w:val="1"/>
    </w:lvl>
  </w:abstractNum>
  <w:abstractNum w:abstractNumId="34">
    <w:nsid w:val="3F6AB60F"/>
    <w:multiLevelType w:val="hybridMultilevel"/>
    <w:lvl w:ilvl="0">
      <w:lvlJc w:val="left"/>
      <w:lvlText w:val="(%1)"/>
      <w:numFmt w:val="lowerRoman"/>
      <w:start w:val="1"/>
    </w:lvl>
  </w:abstractNum>
  <w:abstractNum w:abstractNumId="35">
    <w:nsid w:val="61574095"/>
    <w:multiLevelType w:val="hybridMultilevel"/>
    <w:lvl w:ilvl="0">
      <w:lvlJc w:val="left"/>
      <w:lvlText w:val="(%1)"/>
      <w:numFmt w:val="decimal"/>
      <w:start w:val="5"/>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1)"/>
      <w:numFmt w:val="decimal"/>
      <w:start w:val="1"/>
    </w:lvl>
  </w:abstractNum>
  <w:abstractNum w:abstractNumId="38">
    <w:nsid w:val="579BE4F1"/>
    <w:multiLevelType w:val="hybridMultilevel"/>
    <w:lvl w:ilvl="0">
      <w:lvlJc w:val="left"/>
      <w:lvlText w:val="(%1)"/>
      <w:numFmt w:val="lowerRoman"/>
      <w:start w:val="5"/>
    </w:lvl>
  </w:abstractNum>
  <w:abstractNum w:abstractNumId="39">
    <w:nsid w:val="310C50B3"/>
    <w:multiLevelType w:val="hybridMultilevel"/>
    <w:lvl w:ilvl="0">
      <w:lvlJc w:val="left"/>
      <w:lvlText w:val="(%1)"/>
      <w:numFmt w:val="decimal"/>
      <w:start w:val="2"/>
    </w:lvl>
  </w:abstractNum>
  <w:abstractNum w:abstractNumId="40">
    <w:nsid w:val="5FF87E05"/>
    <w:multiLevelType w:val="hybridMultilevel"/>
    <w:lvl w:ilvl="0">
      <w:lvlJc w:val="left"/>
      <w:lvlText w:val="(%1)"/>
      <w:numFmt w:val="decimal"/>
      <w:start w:val="6"/>
    </w:lvl>
  </w:abstractNum>
  <w:abstractNum w:abstractNumId="41">
    <w:nsid w:val="2F305DEF"/>
    <w:multiLevelType w:val="hybridMultilevel"/>
    <w:lvl w:ilvl="0">
      <w:lvlJc w:val="left"/>
      <w:lvlText w:val="(%1)"/>
      <w:numFmt w:val="lowerRoman"/>
      <w:start w:val="1"/>
    </w:lvl>
  </w:abstractNum>
  <w:abstractNum w:abstractNumId="42">
    <w:nsid w:val="25A70BF7"/>
    <w:multiLevelType w:val="hybridMultilevel"/>
    <w:lvl w:ilvl="0">
      <w:lvlJc w:val="left"/>
      <w:lvlText w:val="1"/>
      <w:numFmt w:val="bullet"/>
      <w:start w:val="1"/>
    </w:lvl>
  </w:abstractNum>
  <w:abstractNum w:abstractNumId="43">
    <w:nsid w:val="1DBABF00"/>
    <w:multiLevelType w:val="hybridMultilevel"/>
    <w:lvl w:ilvl="0">
      <w:lvlJc w:val="left"/>
      <w:lvlText w:val="%1."/>
      <w:numFmt w:val="upperLetter"/>
      <w:start w:val="9"/>
    </w:lvl>
  </w:abstractNum>
  <w:abstractNum w:abstractNumId="44">
    <w:nsid w:val="4AD084E9"/>
    <w:multiLevelType w:val="hybridMultilevel"/>
    <w:lvl w:ilvl="0">
      <w:lvlJc w:val="left"/>
      <w:lvlText w:val="%1."/>
      <w:numFmt w:val="upperLetter"/>
      <w:start w:val="35"/>
    </w:lvl>
  </w:abstractNum>
  <w:abstractNum w:abstractNumId="45">
    <w:nsid w:val="1F48EAA1"/>
    <w:multiLevelType w:val="hybridMultilevel"/>
    <w:lvl w:ilvl="0">
      <w:lvlJc w:val="left"/>
      <w:lvlText w:val="%1."/>
      <w:numFmt w:val="upperLetter"/>
      <w:start w:val="61"/>
    </w:lvl>
  </w:abstractNum>
  <w:abstractNum w:abstractNumId="46">
    <w:nsid w:val="1381823A"/>
    <w:multiLevelType w:val="hybridMultilevel"/>
    <w:lvl w:ilvl="0">
      <w:lvlJc w:val="left"/>
      <w:lvlText w:val="%1."/>
      <w:numFmt w:val="upperLetter"/>
      <w:start w:val="22"/>
    </w:lvl>
  </w:abstractNum>
  <w:abstractNum w:abstractNumId="47">
    <w:nsid w:val="5DB70AE5"/>
    <w:multiLevelType w:val="hybridMultilevel"/>
    <w:lvl w:ilvl="0">
      <w:lvlJc w:val="left"/>
      <w:lvlText w:val="(%1)"/>
      <w:numFmt w:val="lowerLetter"/>
      <w:start w:val="1"/>
    </w:lvl>
  </w:abstractNum>
  <w:abstractNum w:abstractNumId="48">
    <w:nsid w:val="100F8FCA"/>
    <w:multiLevelType w:val="hybridMultilevel"/>
    <w:lvl w:ilvl="0">
      <w:lvlJc w:val="left"/>
      <w:lvlText w:val="(%1)"/>
      <w:numFmt w:val="lowerLetter"/>
      <w:start w:val="2"/>
    </w:lvl>
  </w:abstractNum>
  <w:abstractNum w:abstractNumId="49">
    <w:nsid w:val="6590700B"/>
    <w:multiLevelType w:val="hybridMultilevel"/>
    <w:lvl w:ilvl="0">
      <w:lvlJc w:val="left"/>
      <w:lvlText w:val="(%1)"/>
      <w:numFmt w:val="lowerLetter"/>
      <w:start w:val="1"/>
    </w:lvl>
  </w:abstractNum>
  <w:abstractNum w:abstractNumId="50">
    <w:nsid w:val="15014ACB"/>
    <w:multiLevelType w:val="hybridMultilevel"/>
    <w:lvl w:ilvl="0">
      <w:lvlJc w:val="left"/>
      <w:lvlText w:val="(%1)"/>
      <w:numFmt w:val="lowerLetter"/>
      <w:start w:val="2"/>
    </w:lvl>
  </w:abstractNum>
  <w:abstractNum w:abstractNumId="51">
    <w:nsid w:val="5F5E7FD0"/>
    <w:multiLevelType w:val="hybridMultilevel"/>
    <w:lvl w:ilvl="0">
      <w:lvlJc w:val="left"/>
      <w:lvlText w:val="(%1)"/>
      <w:numFmt w:val="lowerLetter"/>
      <w:start w:val="1"/>
    </w:lvl>
  </w:abstractNum>
  <w:abstractNum w:abstractNumId="52">
    <w:nsid w:val="98A3148"/>
    <w:multiLevelType w:val="hybridMultilevel"/>
    <w:lvl w:ilvl="0">
      <w:lvlJc w:val="left"/>
      <w:lvlText w:val="%1"/>
      <w:numFmt w:val="upperLetter"/>
      <w:start w:val="1"/>
    </w:lvl>
    <w:lvl w:ilvl="1">
      <w:lvlJc w:val="left"/>
      <w:lvlText w:val="(%2)"/>
      <w:numFmt w:val="lowerLetter"/>
      <w:start w:val="7"/>
    </w:lvl>
    <w:lvl w:ilvl="2">
      <w:lvlJc w:val="left"/>
      <w:lvlText w:val="(%3)"/>
      <w:numFmt w:val="upperLetter"/>
      <w:start w:val="1"/>
    </w:lvl>
  </w:abstractNum>
  <w:abstractNum w:abstractNumId="53">
    <w:nsid w:val="799D0247"/>
    <w:multiLevelType w:val="hybridMultilevel"/>
    <w:lvl w:ilvl="0">
      <w:lvlJc w:val="left"/>
      <w:lvlText w:val="%1."/>
      <w:numFmt w:val="upperLetter"/>
      <w:start w:val="24"/>
    </w:lvl>
    <w:lvl w:ilvl="1">
      <w:lvlJc w:val="left"/>
      <w:lvlText w:val="%2"/>
      <w:numFmt w:val="lowerLetter"/>
      <w:start w:val="1"/>
    </w:lvl>
    <w:lvl w:ilvl="2">
      <w:lvlJc w:val="left"/>
      <w:lvlText w:val="%3"/>
      <w:numFmt w:val="upperLetter"/>
      <w:start w:val="1"/>
    </w:lvl>
  </w:abstractNum>
  <w:abstractNum w:abstractNumId="54">
    <w:nsid w:val="6B94764"/>
    <w:multiLevelType w:val="hybridMultilevel"/>
    <w:lvl w:ilvl="0">
      <w:lvlJc w:val="left"/>
      <w:lvlText w:val="(%1)"/>
      <w:numFmt w:val="decimal"/>
      <w:start w:val="5"/>
    </w:lvl>
  </w:abstractNum>
  <w:abstractNum w:abstractNumId="55">
    <w:nsid w:val="42C296BD"/>
    <w:multiLevelType w:val="hybridMultilevel"/>
    <w:lvl w:ilvl="0">
      <w:lvlJc w:val="left"/>
      <w:lvlText w:val="(%1)"/>
      <w:numFmt w:val="lowerLetter"/>
      <w:start w:val="1"/>
    </w:lvl>
  </w:abstractNum>
  <w:abstractNum w:abstractNumId="56">
    <w:nsid w:val="168E121F"/>
    <w:multiLevelType w:val="hybridMultilevel"/>
    <w:lvl w:ilvl="0">
      <w:lvlJc w:val="left"/>
      <w:lvlText w:val="(%1)"/>
      <w:numFmt w:val="lowerLetter"/>
      <w:start w:val="3"/>
    </w:lvl>
  </w:abstractNum>
  <w:abstractNum w:abstractNumId="57">
    <w:nsid w:val="1EBA5D23"/>
    <w:multiLevelType w:val="hybridMultilevel"/>
    <w:lvl w:ilvl="0">
      <w:lvlJc w:val="left"/>
      <w:lvlText w:val="%1."/>
      <w:numFmt w:val="upperLetter"/>
      <w:start w:val="50"/>
    </w:lvl>
  </w:abstractNum>
  <w:abstractNum w:abstractNumId="58">
    <w:nsid w:val="661E3F1E"/>
    <w:multiLevelType w:val="hybridMultilevel"/>
    <w:lvl w:ilvl="0">
      <w:lvlJc w:val="left"/>
      <w:lvlText w:val="(%1)"/>
      <w:numFmt w:val="decimal"/>
      <w:start w:val="1"/>
    </w:lvl>
  </w:abstractNum>
  <w:abstractNum w:abstractNumId="59">
    <w:nsid w:val="5DC79EA8"/>
    <w:multiLevelType w:val="hybridMultilevel"/>
    <w:lvl w:ilvl="0">
      <w:lvlJc w:val="left"/>
      <w:lvlText w:val="(%1)"/>
      <w:numFmt w:val="decimal"/>
      <w:start w:val="5"/>
    </w:lvl>
  </w:abstractNum>
  <w:abstractNum w:abstractNumId="60">
    <w:nsid w:val="540A471C"/>
    <w:multiLevelType w:val="hybridMultilevel"/>
    <w:lvl w:ilvl="0">
      <w:lvlJc w:val="left"/>
      <w:lvlText w:val="(%1)"/>
      <w:numFmt w:val="decimal"/>
      <w:start w:val="1"/>
    </w:lvl>
  </w:abstractNum>
  <w:abstractNum w:abstractNumId="61">
    <w:nsid w:val="7BD3EE7B"/>
    <w:multiLevelType w:val="hybridMultilevel"/>
    <w:lvl w:ilvl="0">
      <w:lvlJc w:val="left"/>
      <w:lvlText w:val="(%1)"/>
      <w:numFmt w:val="decimal"/>
      <w:start w:val="1"/>
    </w:lvl>
  </w:abstractNum>
  <w:abstractNum w:abstractNumId="62">
    <w:nsid w:val="51D9C564"/>
    <w:multiLevelType w:val="hybridMultilevel"/>
    <w:lvl w:ilvl="0">
      <w:lvlJc w:val="left"/>
      <w:lvlText w:val="(%1)"/>
      <w:numFmt w:val="decimal"/>
      <w:start w:val="6"/>
    </w:lvl>
  </w:abstractNum>
  <w:abstractNum w:abstractNumId="63">
    <w:nsid w:val="613EFDC5"/>
    <w:multiLevelType w:val="hybridMultilevel"/>
    <w:lvl w:ilvl="0">
      <w:lvlJc w:val="left"/>
      <w:lvlText w:val="(%1)"/>
      <w:numFmt w:val="lowerLetter"/>
      <w:start w:val="10"/>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1"/>
      <w:numFmt w:val="upperLetter"/>
      <w:start w:val="102"/>
    </w:lvl>
  </w:abstractNum>
  <w:abstractNum w:abstractNumId="66">
    <w:nsid w:val="42963E5A"/>
    <w:multiLevelType w:val="hybridMultilevel"/>
    <w:lvl w:ilvl="0">
      <w:lvlJc w:val="left"/>
      <w:lvlText w:val="%1)"/>
      <w:numFmt w:val="upperLetter"/>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1."/>
      <w:numFmt w:val="decimal"/>
      <w:start w:val="1"/>
    </w:lvl>
    <w:lvl w:ilvl="1">
      <w:lvlJc w:val="left"/>
      <w:lvlText w:val="•"/>
      <w:numFmt w:val="bullet"/>
      <w:start w:val="1"/>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1."/>
      <w:numFmt w:val="decimal"/>
      <w:start w:val="6"/>
    </w:lvl>
  </w:abstractNum>
  <w:abstractNum w:abstractNumId="73">
    <w:nsid w:val="60B6DF70"/>
    <w:multiLevelType w:val="hybridMultilevel"/>
    <w:lvl w:ilvl="0">
      <w:lvlJc w:val="left"/>
      <w:lvlText w:val="%1."/>
      <w:numFmt w:val="decimal"/>
      <w:start w:val="1"/>
    </w:lvl>
  </w:abstractNum>
  <w:abstractNum w:abstractNumId="74">
    <w:nsid w:val="6A5EE64"/>
    <w:multiLevelType w:val="hybridMultilevel"/>
    <w:lvl w:ilvl="0">
      <w:lvlJc w:val="left"/>
      <w:lvlText w:val="%1."/>
      <w:numFmt w:val="lowerLetter"/>
      <w:start w:val="1"/>
    </w:lvl>
  </w:abstractNum>
  <w:abstractNum w:abstractNumId="75">
    <w:nsid w:val="14330624"/>
    <w:multiLevelType w:val="hybridMultilevel"/>
    <w:lvl w:ilvl="0">
      <w:lvlJc w:val="left"/>
      <w:lvlText w:val="%1."/>
      <w:numFmt w:val="lowerLetter"/>
      <w:start w:val="2"/>
    </w:lvl>
  </w:abstractNum>
  <w:abstractNum w:abstractNumId="76">
    <w:nsid w:val="7FFFCA11"/>
    <w:multiLevelType w:val="hybridMultilevel"/>
    <w:lvl w:ilvl="0">
      <w:lvlJc w:val="left"/>
      <w:lvlText w:val="%1."/>
      <w:numFmt w:val="lowerLetter"/>
      <w:start w:val="6"/>
    </w:lvl>
  </w:abstractNum>
  <w:abstractNum w:abstractNumId="77">
    <w:nsid w:val="1A27709E"/>
    <w:multiLevelType w:val="hybridMultilevel"/>
    <w:lvl w:ilvl="0">
      <w:lvlJc w:val="left"/>
      <w:lvlText w:val="%1."/>
      <w:numFmt w:val="decimal"/>
      <w:start w:val="2"/>
    </w:lvl>
  </w:abstractNum>
  <w:abstractNum w:abstractNumId="78">
    <w:nsid w:val="71EA1109"/>
    <w:multiLevelType w:val="hybridMultilevel"/>
    <w:lvl w:ilvl="0">
      <w:lvlJc w:val="left"/>
      <w:lvlText w:val="%1."/>
      <w:numFmt w:val="lowerLetter"/>
      <w:start w:val="1"/>
    </w:lvl>
  </w:abstractNum>
  <w:abstractNum w:abstractNumId="79">
    <w:nsid w:val="100F59DC"/>
    <w:multiLevelType w:val="hybridMultilevel"/>
    <w:lvl w:ilvl="0">
      <w:lvlJc w:val="left"/>
      <w:lvlText w:val="%1."/>
      <w:numFmt w:val="lowerLetter"/>
      <w:start w:val="4"/>
    </w:lvl>
  </w:abstractNum>
  <w:abstractNum w:abstractNumId="80">
    <w:nsid w:val="7FB7E0AA"/>
    <w:multiLevelType w:val="hybridMultilevel"/>
    <w:lvl w:ilvl="0">
      <w:lvlJc w:val="left"/>
      <w:lvlText w:val="%1."/>
      <w:numFmt w:val="decimal"/>
      <w:start w:val="4"/>
    </w:lvl>
  </w:abstractNum>
  <w:abstractNum w:abstractNumId="81">
    <w:nsid w:val="6EB5BD4"/>
    <w:multiLevelType w:val="hybridMultilevel"/>
    <w:lvl w:ilvl="0">
      <w:lvlJc w:val="left"/>
      <w:lvlText w:val="%1."/>
      <w:numFmt w:val="lowerLetter"/>
      <w:start w:val="1"/>
    </w:lvl>
  </w:abstractNum>
  <w:abstractNum w:abstractNumId="82">
    <w:nsid w:val="6F6DD9AC"/>
    <w:multiLevelType w:val="hybridMultilevel"/>
    <w:lvl w:ilvl="0">
      <w:lvlJc w:val="left"/>
      <w:lvlText w:val="%1."/>
      <w:numFmt w:val="lowerLetter"/>
      <w:start w:val="3"/>
    </w:lvl>
  </w:abstractNum>
  <w:abstractNum w:abstractNumId="83">
    <w:nsid w:val="94211F2"/>
    <w:multiLevelType w:val="hybridMultilevel"/>
    <w:lvl w:ilvl="0">
      <w:lvlJc w:val="left"/>
      <w:lvlText w:val="%1."/>
      <w:numFmt w:val="decimal"/>
      <w:start w:val="6"/>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lowerRoman"/>
      <w:start w:val="1"/>
    </w:lvl>
  </w:abstractNum>
  <w:abstractNum w:abstractNumId="87">
    <w:nsid w:val="1716703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2019-12-29T15:33:12Z</dcterms:created>
  <dcterms:modified xsi:type="dcterms:W3CDTF">2019-12-29T15:33:12Z</dcterms:modified>
</cp:coreProperties>
</file>