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11-K</w:t>
      </w:r>
    </w:p>
    <w:p>
      <w:pPr>
        <w:pStyle w:val="TextBody"/>
        <w:bidi w:val="0"/>
        <w:spacing w:lineRule="auto" w:line="288" w:before="280" w:after="283"/>
        <w:jc w:val="left"/>
        <w:rPr>
          <w:rFonts w:ascii="Times New Roman;serif" w:hAnsi="Times New Roman;serif"/>
          <w:b/>
          <w:color w:val="000000"/>
          <w:sz w:val="24"/>
        </w:rPr>
      </w:pPr>
      <w:r>
        <w:rPr>
          <w:rFonts w:ascii="Times New Roman;serif" w:hAnsi="Times New Roman;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ANNUAL REPORT PURSUANT TO SECTION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Commission file number 001-37702</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AMGEN RETIREMENT AND SAVINGS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AMGEN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issuer of the securities held)</w:t>
      </w:r>
    </w:p>
    <w:p>
      <w:pPr>
        <w:pStyle w:val="TextBody"/>
        <w:bidi w:val="0"/>
        <w:spacing w:lineRule="auto" w:line="288" w:before="0" w:after="0"/>
        <w:jc w:val="left"/>
        <w:rPr>
          <w:color w:val="000000"/>
        </w:rPr>
      </w:pPr>
      <w:r>
        <w:rPr>
          <w:color w:val="000000"/>
        </w:rPr>
        <w:t> </w:t>
      </w:r>
    </w:p>
    <w:tbl>
      <w:tblPr>
        <w:tblW w:w="4212" w:type="dxa"/>
        <w:jc w:val="left"/>
        <w:tblInd w:w="0" w:type="dxa"/>
        <w:tblLayout w:type="fixed"/>
        <w:tblCellMar>
          <w:top w:w="28" w:type="dxa"/>
          <w:left w:w="28" w:type="dxa"/>
          <w:bottom w:w="28" w:type="dxa"/>
          <w:right w:w="28" w:type="dxa"/>
        </w:tblCellMar>
      </w:tblPr>
      <w:tblGrid>
        <w:gridCol w:w="1035"/>
        <w:gridCol w:w="913"/>
        <w:gridCol w:w="917"/>
        <w:gridCol w:w="109"/>
        <w:gridCol w:w="109"/>
        <w:gridCol w:w="109"/>
        <w:gridCol w:w="298"/>
        <w:gridCol w:w="298"/>
        <w:gridCol w:w="42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Amgen Center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91320-1799</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Thousand Oaks, California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Audited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and Supplemental Schedule</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Year Ended December 31, 2025</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Contents</w:t>
      </w:r>
    </w:p>
    <w:p>
      <w:pPr>
        <w:pStyle w:val="TextBody"/>
        <w:bidi w:val="0"/>
        <w:spacing w:lineRule="auto" w:line="288" w:before="180" w:after="283"/>
        <w:jc w:val="left"/>
        <w:rPr>
          <w:color w:val="000000"/>
        </w:rPr>
      </w:pPr>
      <w:r>
        <w:rPr>
          <w:color w:val="000000"/>
        </w:rPr>
        <w:t> </w:t>
      </w:r>
    </w:p>
    <w:tbl>
      <w:tblPr>
        <w:tblW w:w="8307" w:type="dxa"/>
        <w:jc w:val="left"/>
        <w:tblInd w:w="0" w:type="dxa"/>
        <w:tblLayout w:type="fixed"/>
        <w:tblCellMar>
          <w:top w:w="28" w:type="dxa"/>
          <w:left w:w="28" w:type="dxa"/>
          <w:bottom w:w="28" w:type="dxa"/>
          <w:right w:w="28" w:type="dxa"/>
        </w:tblCellMar>
      </w:tblPr>
      <w:tblGrid>
        <w:gridCol w:w="2872"/>
        <w:gridCol w:w="2524"/>
        <w:gridCol w:w="2539"/>
        <w:gridCol w:w="109"/>
        <w:gridCol w:w="109"/>
        <w:gridCol w:w="154"/>
      </w:tblGrid>
      <w:tr>
        <w:trPr/>
        <w:tc>
          <w:tcPr>
            <w:tcW w:w="2872"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7">
              <w:r>
                <w:rPr>
                  <w:rStyle w:val="InternetLink"/>
                  <w:rFonts w:ascii="Times New Roman;serif" w:hAnsi="Times New Roman;serif"/>
                  <w:b w:val="false"/>
                  <w:color w:val="0000FF"/>
                  <w:sz w:val="20"/>
                  <w:u w:val="single"/>
                </w:rPr>
                <w:t>Report of Independent Registered Public Accounting Firm</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7">
              <w:r>
                <w:rPr>
                  <w:rStyle w:val="InternetLink"/>
                  <w:rFonts w:ascii="Times New Roman;serif" w:hAnsi="Times New Roman;serif"/>
                  <w:b w:val="false"/>
                  <w:color w:val="0000FF"/>
                  <w:sz w:val="20"/>
                  <w:u w:val="single"/>
                </w:rPr>
                <w:t>1</w:t>
              </w:r>
            </w:hyperlink>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Audited 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10">
              <w:r>
                <w:rPr>
                  <w:rStyle w:val="InternetLink"/>
                  <w:rFonts w:ascii="Times New Roman;serif" w:hAnsi="Times New Roman;serif"/>
                  <w:b w:val="false"/>
                  <w:color w:val="000080"/>
                  <w:sz w:val="20"/>
                  <w:u w:val="single"/>
                </w:rPr>
                <w:t>Statements of Net Assets Available for Benefits at December 31, 202</w:t>
              </w:r>
            </w:hyperlink>
            <w:hyperlink w:anchor="ib720bf110abc42b19c167879d1712ae1_10">
              <w:r>
                <w:rPr>
                  <w:rStyle w:val="InternetLink"/>
                  <w:rFonts w:ascii="Times New Roman;serif" w:hAnsi="Times New Roman;serif"/>
                  <w:b w:val="false"/>
                  <w:color w:val="000080"/>
                  <w:sz w:val="20"/>
                  <w:u w:val="single"/>
                </w:rPr>
                <w:t>5</w:t>
              </w:r>
            </w:hyperlink>
            <w:hyperlink w:anchor="ib720bf110abc42b19c167879d1712ae1_10">
              <w:r>
                <w:rPr>
                  <w:rStyle w:val="InternetLink"/>
                  <w:rFonts w:ascii="Times New Roman;serif" w:hAnsi="Times New Roman;serif"/>
                  <w:b w:val="false"/>
                  <w:color w:val="000080"/>
                  <w:sz w:val="20"/>
                  <w:u w:val="single"/>
                </w:rPr>
                <w:t xml:space="preserve"> and 202</w:t>
              </w:r>
            </w:hyperlink>
            <w:hyperlink w:anchor="ib720bf110abc42b19c167879d1712ae1_10">
              <w:r>
                <w:rPr>
                  <w:rStyle w:val="InternetLink"/>
                  <w:rFonts w:ascii="Times New Roman;serif" w:hAnsi="Times New Roman;serif"/>
                  <w:b w:val="false"/>
                  <w:color w:val="000080"/>
                  <w:sz w:val="20"/>
                  <w:u w:val="single"/>
                </w:rPr>
                <w:t>4</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10">
              <w:r>
                <w:rPr>
                  <w:rStyle w:val="InternetLink"/>
                  <w:rFonts w:ascii="Times New Roman;serif" w:hAnsi="Times New Roman;serif"/>
                  <w:b w:val="false"/>
                  <w:color w:val="0000FF"/>
                  <w:sz w:val="20"/>
                  <w:u w:val="single"/>
                </w:rPr>
                <w:t>2</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13">
              <w:r>
                <w:rPr>
                  <w:rStyle w:val="InternetLink"/>
                  <w:rFonts w:ascii="Times New Roman;serif" w:hAnsi="Times New Roman;serif"/>
                  <w:b w:val="false"/>
                  <w:color w:val="000080"/>
                  <w:sz w:val="20"/>
                  <w:u w:val="single"/>
                </w:rPr>
                <w:t>Statement of Changes in Net Assets Available for Benefits for the year ended December 31, 202</w:t>
              </w:r>
            </w:hyperlink>
            <w:hyperlink w:anchor="ib720bf110abc42b19c167879d1712ae1_13">
              <w:r>
                <w:rPr>
                  <w:rStyle w:val="InternetLink"/>
                  <w:rFonts w:ascii="Times New Roman;serif" w:hAnsi="Times New Roman;serif"/>
                  <w:b w:val="false"/>
                  <w:color w:val="00008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13">
              <w:r>
                <w:rPr>
                  <w:rStyle w:val="InternetLink"/>
                  <w:rFonts w:ascii="Times New Roman;serif" w:hAnsi="Times New Roman;serif"/>
                  <w:b w:val="false"/>
                  <w:color w:val="0000FF"/>
                  <w:sz w:val="20"/>
                  <w:u w:val="single"/>
                </w:rPr>
                <w:t>3</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16">
              <w:r>
                <w:rPr>
                  <w:rStyle w:val="InternetLink"/>
                  <w:rFonts w:ascii="Times New Roman;serif" w:hAnsi="Times New Roman;serif"/>
                  <w:b w:val="false"/>
                  <w:color w:val="0000FF"/>
                  <w:sz w:val="20"/>
                  <w:u w:val="single"/>
                </w:rPr>
                <w:t>Notes to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16">
              <w:r>
                <w:rPr>
                  <w:rStyle w:val="InternetLink"/>
                  <w:rFonts w:ascii="Times New Roman;serif" w:hAnsi="Times New Roman;serif"/>
                  <w:b w:val="false"/>
                  <w:color w:val="0000FF"/>
                  <w:sz w:val="20"/>
                  <w:u w:val="single"/>
                </w:rPr>
                <w:t>4</w:t>
              </w:r>
            </w:hyperlink>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Schedule: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34">
              <w:r>
                <w:rPr>
                  <w:rStyle w:val="InternetLink"/>
                  <w:rFonts w:ascii="Times New Roman;serif" w:hAnsi="Times New Roman;serif"/>
                  <w:b w:val="false"/>
                  <w:color w:val="0000FF"/>
                  <w:sz w:val="20"/>
                  <w:u w:val="single"/>
                </w:rPr>
                <w:t>Schedule of Assets (Held at End of Year)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34">
              <w:r>
                <w:rPr>
                  <w:rStyle w:val="InternetLink"/>
                  <w:rFonts w:ascii="Times New Roman;serif" w:hAnsi="Times New Roman;serif"/>
                  <w:b w:val="false"/>
                  <w:color w:val="0000FF"/>
                  <w:sz w:val="20"/>
                  <w:u w:val="single"/>
                </w:rPr>
                <w:t>11</w:t>
              </w:r>
            </w:hyperlink>
          </w:p>
        </w:tc>
      </w:tr>
      <w:tr>
        <w:trPr/>
        <w:tc>
          <w:tcPr>
            <w:tcW w:w="793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37">
              <w:r>
                <w:rPr>
                  <w:rStyle w:val="InternetLink"/>
                  <w:rFonts w:ascii="Times New Roman;serif" w:hAnsi="Times New Roman;serif"/>
                  <w:b w:val="false"/>
                  <w:color w:val="0000FF"/>
                  <w:sz w:val="20"/>
                  <w:u w:val="single"/>
                </w:rPr>
                <w:t>Index to Exhibit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37">
              <w:r>
                <w:rPr>
                  <w:rStyle w:val="InternetLink"/>
                  <w:rFonts w:ascii="Times New Roman;serif" w:hAnsi="Times New Roman;serif"/>
                  <w:b w:val="false"/>
                  <w:color w:val="0000FF"/>
                  <w:sz w:val="20"/>
                  <w:u w:val="single"/>
                </w:rPr>
                <w:t>15</w:t>
              </w:r>
            </w:hyperlink>
          </w:p>
        </w:tc>
      </w:tr>
      <w:tr>
        <w:trPr/>
        <w:tc>
          <w:tcPr>
            <w:tcW w:w="79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20bf110abc42b19c167879d1712ae1_40">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20bf110abc42b19c167879d1712ae1_40">
              <w:r>
                <w:rPr>
                  <w:rStyle w:val="InternetLink"/>
                  <w:rFonts w:ascii="Times New Roman;serif" w:hAnsi="Times New Roman;serif"/>
                  <w:b w:val="false"/>
                  <w:color w:val="0000FF"/>
                  <w:sz w:val="20"/>
                  <w:u w:val="single"/>
                </w:rPr>
                <w:t>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Independent Registered Public Accounting Firm</w:t>
      </w:r>
    </w:p>
    <w:p>
      <w:pPr>
        <w:pStyle w:val="TextBody"/>
        <w:bidi w:val="0"/>
        <w:spacing w:before="0" w:after="0"/>
        <w:jc w:val="left"/>
        <w:rPr/>
      </w:pPr>
      <w:r>
        <w:rPr/>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To the Plan Participants and the Plan Administrator of the Amgen Retirement and Savings Plan</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the Amgen Retirement and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 ended December 31, 2025, in conformity with U.S. generally accepted accounting principles.</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160"/>
        <w:jc w:val="left"/>
        <w:rPr>
          <w:rFonts w:ascii="Times New Roman;serif" w:hAnsi="Times New Roman;serif"/>
          <w:b/>
          <w:color w:val="000000"/>
          <w:sz w:val="20"/>
        </w:rPr>
      </w:pPr>
      <w:r>
        <w:rPr>
          <w:rFonts w:ascii="Times New Roman;serif" w:hAnsi="Times New Roman;serif"/>
          <w:b/>
          <w:color w:val="000000"/>
          <w:sz w:val="20"/>
        </w:rPr>
        <w:t>Supplemental Schedule Required by ERISA</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pStyle w:val="TextBody"/>
        <w:bidi w:val="0"/>
        <w:spacing w:lineRule="auto" w:line="288" w:before="0" w:after="160"/>
        <w:jc w:val="righ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160"/>
        <w:jc w:val="right"/>
        <w:rPr/>
      </w:pPr>
      <w:r>
        <w:rPr/>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We have served as the Plan’s auditor since at least 1989, but we are unable to determine the specific year.</w:t>
      </w:r>
    </w:p>
    <w:p>
      <w:pPr>
        <w:pStyle w:val="TextBody"/>
        <w:bidi w:val="0"/>
        <w:spacing w:lineRule="auto" w:line="288" w:before="180" w:after="16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June 11, 2026</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Statements of Net Assets Available for Benefits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46"/>
        <w:gridCol w:w="1972"/>
        <w:gridCol w:w="1974"/>
        <w:gridCol w:w="109"/>
        <w:gridCol w:w="109"/>
        <w:gridCol w:w="109"/>
        <w:gridCol w:w="211"/>
        <w:gridCol w:w="1336"/>
        <w:gridCol w:w="109"/>
        <w:gridCol w:w="109"/>
        <w:gridCol w:w="109"/>
        <w:gridCol w:w="109"/>
        <w:gridCol w:w="211"/>
        <w:gridCol w:w="1336"/>
        <w:gridCol w:w="156"/>
      </w:tblGrid>
      <w:tr>
        <w:trPr/>
        <w:tc>
          <w:tcPr>
            <w:tcW w:w="224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8,165,509,482 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7,032,543,261 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fully benefit-responsive investment contracts at contract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761,085,480 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688,059,315 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from participants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39,060,714 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35,591,211 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principally due from broker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8,971,584,788 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7,759,626,877 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principally due to broker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available for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8,963,481,280 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7,755,448,034 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Statement of Changes in Net Assets Available for Benefits</w:t>
      </w:r>
    </w:p>
    <w:p>
      <w:pPr>
        <w:pStyle w:val="TextBody"/>
        <w:bidi w:val="0"/>
        <w:spacing w:before="0" w:after="0"/>
        <w:jc w:val="left"/>
        <w:rPr/>
      </w:pPr>
      <w:r>
        <w:rPr/>
      </w:r>
    </w:p>
    <w:tbl>
      <w:tblPr>
        <w:tblW w:w="6723" w:type="dxa"/>
        <w:jc w:val="center"/>
        <w:tblInd w:w="0" w:type="dxa"/>
        <w:tblLayout w:type="fixed"/>
        <w:tblCellMar>
          <w:top w:w="28" w:type="dxa"/>
          <w:left w:w="28" w:type="dxa"/>
          <w:bottom w:w="28" w:type="dxa"/>
          <w:right w:w="28" w:type="dxa"/>
        </w:tblCellMar>
      </w:tblPr>
      <w:tblGrid>
        <w:gridCol w:w="1595"/>
        <w:gridCol w:w="1403"/>
        <w:gridCol w:w="1411"/>
        <w:gridCol w:w="109"/>
        <w:gridCol w:w="109"/>
        <w:gridCol w:w="109"/>
        <w:gridCol w:w="219"/>
        <w:gridCol w:w="1392"/>
        <w:gridCol w:w="113"/>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(deductions from)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287,949,077 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254,053,776 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Rollover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45,442,845 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58,852,063 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1,207,787,460 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on 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2,830,276 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(640,689,220)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administrative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(8,193,031)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1,208,033,246 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7,755,448,034 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at end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8,963,481,280 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December 31, 2025</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Description of the Plan</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description of the Amgen Retirement and Savings Plan (the Plan) provides only general information. Participants should refer to the Plan document for a more complete description of the Plan’s provisions.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0" w:after="160"/>
        <w:ind w:left="0" w:right="0" w:firstLine="225"/>
        <w:jc w:val="both"/>
        <w:rPr/>
      </w:pPr>
      <w:r>
        <w:rPr>
          <w:rFonts w:ascii="Times New Roman;serif" w:hAnsi="Times New Roman;serif"/>
          <w:b w:val="false"/>
          <w:color w:val="000000"/>
          <w:sz w:val="20"/>
          <w:shd w:fill="FFFFFF" w:val="clear"/>
        </w:rPr>
        <w:t xml:space="preserve">The Plan was established effective April 1, 1985, was amended and restated effective January 1, 2017, and was subsequently amended with the most recent amendment effective on or prior to December 31, 2025 adopted on March 5, 2025. The Plan was subsequently amended and restated effective January 1, 2026. </w:t>
      </w:r>
      <w:r>
        <w:rPr>
          <w:rFonts w:ascii="Times New Roman;serif" w:hAnsi="Times New Roman;serif"/>
          <w:b w:val="false"/>
          <w:color w:val="000000"/>
          <w:sz w:val="20"/>
        </w:rPr>
        <w:t xml:space="preserve">The Plan is a defined contribution plan covering substantially all domestic employees of Amgen Inc. (the Company or Amgen) and participating subsidiaries. The Plan is intended to qualify under sections 401(a) and 401(k) of the Internal Revenue Code of 1986 (the Code) (see Note 4, </w:t>
      </w:r>
      <w:r>
        <w:rPr>
          <w:rFonts w:ascii="Times New Roman;serif" w:hAnsi="Times New Roman;serif"/>
          <w:b w:val="false"/>
          <w:i/>
          <w:color w:val="000000"/>
          <w:sz w:val="20"/>
        </w:rPr>
        <w:t>Income Tax Status</w:t>
      </w:r>
      <w:r>
        <w:rPr>
          <w:rFonts w:ascii="Times New Roman;serif" w:hAnsi="Times New Roman;serif"/>
          <w:b w:val="false"/>
          <w:color w:val="000000"/>
          <w:sz w:val="20"/>
        </w:rPr>
        <w:t>) and section 407(d)(3)(A) of the Employee Retirement Income Security Act of 1974 (ERISA).</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Contributions</w:t>
      </w:r>
    </w:p>
    <w:p>
      <w:pPr>
        <w:pStyle w:val="TextBody"/>
        <w:bidi w:val="0"/>
        <w:spacing w:lineRule="auto" w:line="288" w:before="0" w:after="160"/>
        <w:ind w:left="0" w:right="0" w:firstLine="225"/>
        <w:jc w:val="both"/>
        <w:rPr/>
      </w:pPr>
      <w:r>
        <w:rPr>
          <w:rFonts w:ascii="Times New Roman;serif" w:hAnsi="Times New Roman;serif"/>
          <w:b w:val="false"/>
          <w:color w:val="000000"/>
          <w:sz w:val="20"/>
        </w:rPr>
        <w:t>Subject to certain limitations (as defined in the Plan), participants may elect to contribute up to 30% of their eligible compensation in pre-tax contributions, Roth contributions (in accordance with the Code), after-tax contributions or a combination of these types of contributions (together, Individual Contributions). A participant’s combined pre-tax contributions and Roth contributions (exclusive of catch-up contributions discussed below) are subject to Internal Revenue Service (IRS) and Plan limits and could not exceed a ma</w:t>
      </w:r>
      <w:r>
        <w:rPr>
          <w:rFonts w:ascii="Times New Roman;serif" w:hAnsi="Times New Roman;serif"/>
          <w:b w:val="false"/>
          <w:color w:val="000000"/>
          <w:sz w:val="20"/>
          <w:shd w:fill="FFFFFF" w:val="clear"/>
        </w:rPr>
        <w:t>ximum of $23,500 i</w:t>
      </w:r>
      <w:r>
        <w:rPr>
          <w:rFonts w:ascii="Times New Roman;serif" w:hAnsi="Times New Roman;serif"/>
          <w:b w:val="false"/>
          <w:color w:val="000000"/>
          <w:sz w:val="20"/>
        </w:rPr>
        <w:t>n 2025. Participant after-tax contributions are subject to IRS and Plan limitations and could not exceed a maximu</w:t>
      </w:r>
      <w:r>
        <w:rPr>
          <w:rFonts w:ascii="Times New Roman;serif" w:hAnsi="Times New Roman;serif"/>
          <w:b w:val="false"/>
          <w:color w:val="000000"/>
          <w:sz w:val="20"/>
          <w:shd w:fill="FFFFFF" w:val="clear"/>
        </w:rPr>
        <w:t>m of $11,500 in</w:t>
      </w:r>
      <w:r>
        <w:rPr>
          <w:color w:val="000000"/>
        </w:rPr>
        <w:t xml:space="preserve"> </w:t>
      </w:r>
      <w:r>
        <w:rPr>
          <w:rFonts w:ascii="Times New Roman;serif" w:hAnsi="Times New Roman;serif"/>
          <w:b w:val="false"/>
          <w:color w:val="000000"/>
          <w:sz w:val="20"/>
        </w:rPr>
        <w:t>2025. Unless an employee has voluntarily enrolled in the Plan or has declined to participate in the Plan within the first 30 days of employment, all newly eligible participants are automatically enrolled in the Plan, and contributions equal to 5% of their eligible compensation are withheld and contributed to the Plan as pre-tax contributions; such contributions are automatically increased by 1% per year until their contributions reach 10% of their eligible compensation. Participants may elect to adjust, cease or resume their Individual Contributions at any time.</w:t>
      </w:r>
    </w:p>
    <w:p>
      <w:pPr>
        <w:pStyle w:val="TextBody"/>
        <w:bidi w:val="0"/>
        <w:spacing w:lineRule="auto" w:line="288" w:before="0" w:after="160"/>
        <w:ind w:left="0" w:right="0" w:firstLine="225"/>
        <w:jc w:val="both"/>
        <w:rPr/>
      </w:pPr>
      <w:r>
        <w:rPr>
          <w:rFonts w:ascii="Times New Roman;serif" w:hAnsi="Times New Roman;serif"/>
          <w:b w:val="false"/>
          <w:color w:val="000000"/>
          <w:sz w:val="20"/>
        </w:rPr>
        <w:t>Participants who are at least age 50 by the close of the Plan year may also elect to make certain additional Individual Contributions, referred to as catch-up contributions, that are subject to IRS and Plan limitations and could n</w:t>
      </w:r>
      <w:r>
        <w:rPr>
          <w:rFonts w:ascii="Times New Roman;serif" w:hAnsi="Times New Roman;serif"/>
          <w:b w:val="false"/>
          <w:color w:val="000000"/>
          <w:sz w:val="20"/>
          <w:shd w:fill="FFFFFF" w:val="clear"/>
        </w:rPr>
        <w:t>ot exceed $7,500 in</w:t>
      </w:r>
      <w:r>
        <w:rPr>
          <w:color w:val="000000"/>
        </w:rPr>
        <w:t xml:space="preserve"> </w:t>
      </w:r>
      <w:r>
        <w:rPr>
          <w:rFonts w:ascii="Times New Roman;serif" w:hAnsi="Times New Roman;serif"/>
          <w:b w:val="false"/>
          <w:color w:val="000000"/>
          <w:sz w:val="20"/>
        </w:rPr>
        <w:t>2025, or $11,250 in 2025 for participants who attain ages 60 through 63 during the Plan year. Catch-up contributions may be made as pre-tax contributions, Roth contributions or a combination of these types of contributions. Participants may also contribute pre-tax, Roth and after-tax amounts representing distributions from certain retirement plans qualified in the United States or certain individual retirement accounts (IRAs), referred to as rollover contributions (as defined in the Plan).</w:t>
      </w:r>
    </w:p>
    <w:p>
      <w:pPr>
        <w:pStyle w:val="TextBody"/>
        <w:bidi w:val="0"/>
        <w:spacing w:lineRule="auto" w:line="288" w:before="0" w:after="160"/>
        <w:ind w:left="0" w:right="0" w:firstLine="225"/>
        <w:jc w:val="both"/>
        <w:rPr/>
      </w:pPr>
      <w:r>
        <w:rPr>
          <w:rFonts w:ascii="Times New Roman;serif" w:hAnsi="Times New Roman;serif"/>
          <w:b w:val="false"/>
          <w:color w:val="000000"/>
          <w:sz w:val="20"/>
        </w:rPr>
        <w:t>Each pay period, the Company makes a non-elective contribution for all eligible participants, whether or not they have elected to make Individual Contributions to the Plan, equal to 5% of each participant’s eligible compensation (Core Contributions) up to a maximu</w:t>
      </w:r>
      <w:r>
        <w:rPr>
          <w:rFonts w:ascii="Times New Roman;serif" w:hAnsi="Times New Roman;serif"/>
          <w:b w:val="false"/>
          <w:color w:val="000000"/>
          <w:sz w:val="20"/>
          <w:shd w:fill="FFFFFF" w:val="clear"/>
        </w:rPr>
        <w:t>m of $17,500 in 2025. In addition, the Company makes a contribution equal to amounts contributed by the participant as pre-tax contributions or Roth contributions, including such contributions designated as catch-up contributions, of up to 5% of eligible compensation (Matching Contributions) up to a maximum of $17,500 in 2025.</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Also, the Company can, at its discretion, make a special contribution (Special Contribution) on behalf of a participant who is in his or her initial year of employment with the Company and who could not make the maximum participant contribution permitted under the Plan because in the same Plan year he or she previously made pre-tax salary deferrals under a prior unrelated employer’s qualified plan.</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Participants select the investments in which their Individual Contributions, including their Core Contributions, Matching Contributions and Special Contributions, if any, (collectively, Company Contributions) are to be invested, electing among various alternatives, including Amgen common stock (Amgen stock). Participants may direct a maximum of 20% of contributions to be invested in Amgen stock. In addition, participants may transfer amounts among the investment options at any time, subject to certain limitations. Notwithstanding the foregoing, if 20% or more of the value of a participant’s Plan account is invested in Amgen stock, the Plan document provides that no transfers from other investment options can be made to invest in Amgen stock.</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accounts of participants who have not made an investment election are allocated to investments under a qualified default investment alternative, which is intended to be compliant with ERISA regulations. At any time, participants may elect to alter the investments in their accounts made under a qualified default investment alternative.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0" w:after="1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Vesting and Forfeitures</w:t>
      </w:r>
    </w:p>
    <w:p>
      <w:pPr>
        <w:pStyle w:val="TextBody"/>
        <w:bidi w:val="0"/>
        <w:spacing w:lineRule="auto" w:line="288" w:before="0" w:after="160"/>
        <w:ind w:left="0" w:right="0" w:firstLine="22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Participants are immediately vested with respect to their Individual Contributions, Matching Contributions and Special Contributions, if any, and earnings and losses (hereafter referred to as earnings) thereon. Participants hired prior to January 1, 2020, are also immediately vested with respect to their Core Contributions and earnings thereon. Participants hired on or after January 1, 2020, vest in full with respect to their Core Contributions and earnings thereon after three years of service, as defined by the terms of the Plan, or upon reaching age 65 while employed by Amgen, if earlier. If a participant ceases to be an employee before fully vesting in their account, the non-vested Core Contributions and earnings thereon of the participant’s account is treated as a forfeiture, as defined by the terms of the Plan, on the earlier of (a) the date the participant incurs a five-year break in service, as defined by the terms of the Plan or, (b) the date the participant receives a distribution of the entire vested portion of their account. Forfeitures are applied, in accordance with Plan provisions, to reduce Core or Matching Contributions, to reinstate forfeitures of reemployed participants, to reinstate the accounts of lost participants or beneficiaries (as defined in the Plan), to reduce Plan administrative expenses for the current or immediately following Plan year, and/or for any other purpose permitted under federal regulations or other applicable authority.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Participant Accounts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Each participant’s account is credited with: (a) the participant’s Individual Contributions; (b) an allocation of Company Contributions; and (c) earnings. The benefit to which a participant is entitled is the benefit that can be provided from the participant’s account.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Plan Investments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Plan participants can invest in seven different asset classes as well as Amgen stock or can actively manage their account under a self-directed brokerage arrangement in which a wider array of investment options are available. The value of an investment in an asset class is determined by its underlying investment vehicles, which may include one or more of the following: mutual funds, collective trust funds and portfolios which are separately managed exclusively for the benefit of Plan participants and their beneficiaries (separately managed portfolios). The separately managed portfolios invest in various types of assets, including publicly traded common and preferred stocks, collective trust funds and investment contracts. The asset classes are designed to provide participants with choices among a variety of investment objectives.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Payments of Benefits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Subject to Plan limitations, upon termination of employment, including termination due to disability (as defined in the Plan) or retirement, participants may elect to receive a full or partial distribution of their account balance in: (a) a single payment in cash; (b) a single distribution in full shares of Amgen stock (with any fractional shares paid in cash); (c) a single distribution paid in a combination of cash and full shares of Amgen stock; (d) cash installments over 10 years; or (e) a rollover distribution to an eligible retirement plan.</w:t>
      </w:r>
    </w:p>
    <w:p>
      <w:pPr>
        <w:pStyle w:val="TextBody"/>
        <w:bidi w:val="0"/>
        <w:spacing w:lineRule="auto" w:line="288" w:before="0" w:after="1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Participants may also elect to maintain their account balance in the Plan subsequent to termination of employment, provided that their account balance is greater than $1,000.</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If a participant dies before receiving the value of his or her account balance, the participant’s beneficiary may elect to receive the distribution of remaining funds from among the alternatives described above, subject to certain Plan limitations.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No withdrawals may be made from the Plan while a participant continues to be employed by the Company except in certain circumstances including, but not limited to, financial hardship, disability and attainment of age 59 1/2.</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Amgen Stock Dividends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Participants that invest in Amgen stock may elect to receive distributions of cash with respect to dividends the Company pays on Amgen stock or reinvest such dividends to acquire additional shares of Amgen stock.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certain restrictions, a participant can have up to two loans outstanding at any one time from his or her Plan account with a combined maximum loan amount that may not exceed the lesser of: (a) 50% of the participant’s account balance (exclusive of amounts related to Roth contributions and earnings thereon) or (b) $50,000 less certain adjustments,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defined in the Plan). A participant’s loan is secured by his or her Plan account balance. Loans bear interest at fixed rates which, until changed by the Company, are based on the prime rate plus one percentage point as published in The Wall Street Journal, determined as of the last day of the calendar quarter preceding origination or such other rate as may be required by law. Loans are generally payable in installments over periods of up to five years, unless the loan is used to acquire a principal residence for which the term of the loan may be up to 20 years. Principal and interest payments are allocated to the participant’s account.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Plan Termination</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Although it has not expressed any intent to do so, the Company has the right under the Plan to terminate the Plan subject to the provisions of ERISA. Upon termination, participants would become fully vested in Core Contributions and receive distributions of their account balances.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Trustees and Custodians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Bank of America, N.A. is the Plan’s trustee and custodian with respect to the self-directed brokerage arrangement and the Amgen common stock fund. The Northern Trust Company, NA (Northern) is the Plan’s trustee and custodian with respect to the asset classes.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Accounting</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are prepared on the accrual basis of accounting. Benefits to participants are recorded when paid.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0" w:after="160"/>
        <w:ind w:left="0" w:right="0" w:firstLine="225"/>
        <w:jc w:val="both"/>
        <w:rPr/>
      </w:pPr>
      <w:r>
        <w:rPr>
          <w:rFonts w:ascii="Times New Roman;serif" w:hAnsi="Times New Roman;serif"/>
          <w:b w:val="false"/>
          <w:color w:val="000000"/>
          <w:sz w:val="20"/>
        </w:rPr>
        <w:t xml:space="preserve">The investments of the Plan are reported at fair value, except for fully benefit-responsive investment contracts, discussed below. Fair value is generally defined as the price that would be received to sell an asset or paid to transfer a liability (the exit price) in an orderly transaction between market participants at the measurement date (see Note 3,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Investment Income and Losses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Dividend income is recognized on the ex-dividend date, and interest income is recorded on an accrual basis. Unrealized gains and losses on investments are measured by the change in the difference between the fair value and cost of the securities held at the beginning of the year (or date purchased if acquired during the Plan year) and the end of the year. Realized gains and losses from security transactions are recorded based on the weighted-average cost of securities sold.</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Fully Benefit-Responsive Investment Contracts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Plan had fully benefit-responsive investment contracts, including synthetic investment contracts. The synthetic investment contracts are composed of wrapper contracts issued by insurance companies backed by the Plan’s ownership in collective trust funds that invest in fixed income securities. Contract value is the relevant measurement attribute for synthetic investment contracts because this is the amount participants would receive if they were to initiate qualified transactions related to these investments. The issuers of the Plan’s synthetic investment contracts credit the Plan with stated rates of interest, and the issuers guarantee that all qualified participant withdrawals related to the contracts will be at contract value, except as discussed below. The crediting rates provide for realized and unrealized gains and losses on the underlying assets to be amortized over the expected duration of the underlying investments through adjustments to the future interest crediting rates rather than being reflected immediately in the net assets of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 values of the Plan’s synthetic investment contracts were as follows:</w:t>
      </w:r>
    </w:p>
    <w:tbl>
      <w:tblPr>
        <w:tblW w:w="7643" w:type="dxa"/>
        <w:jc w:val="left"/>
        <w:tblInd w:w="0" w:type="dxa"/>
        <w:tblLayout w:type="fixed"/>
        <w:tblCellMar>
          <w:top w:w="28" w:type="dxa"/>
          <w:left w:w="28" w:type="dxa"/>
          <w:bottom w:w="28" w:type="dxa"/>
          <w:right w:w="28" w:type="dxa"/>
        </w:tblCellMar>
      </w:tblPr>
      <w:tblGrid>
        <w:gridCol w:w="1544"/>
        <w:gridCol w:w="1355"/>
        <w:gridCol w:w="1360"/>
        <w:gridCol w:w="211"/>
        <w:gridCol w:w="1186"/>
        <w:gridCol w:w="109"/>
        <w:gridCol w:w="109"/>
        <w:gridCol w:w="109"/>
        <w:gridCol w:w="109"/>
        <w:gridCol w:w="211"/>
        <w:gridCol w:w="1186"/>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Synthetic investment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761,085,480 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688,059,315 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benefit-responsive investment contracts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761,085,480 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688,059,315 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synthetic investment contracts provide for withdrawals at other than contract value associated with certain events which are not in the ordinary course of Plan operations. These withdrawals are made at contract value, modified by a market value adjustment as defined in the contract. Circumstances which may trigger a market value adjustment are generally defined as any event that, in the reasonable determination of the issuer, has or will have a material adverse effect on the issuer’s interest under the contract. Such events may include, but are not limited to: (a) material amendments to the Plan’s structure or administration; (b) changes in or the creation of competing investment options; (c) complete or partial termination of the Plan; (d) removal of a specifically identifiable group of employees from coverage under the Plan; (e) a change in law, regulation, ruling, administrative position, or accounting standard applicable to the Plan; or (f) communication to Plan participants designed to influence a participant not to invest in the asset class that contains these contracts. The Company does not believe that the occurrence of any such event, which would limit the Plan’s ability to transact at contract value with participants, is probable.</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These synthetic investment contracts are evergreen contracts with no maturity dates, but do contain termination provisions. The issuer is obligated to pay the excess contract value when the fair value of the underlying investments equals zero. In addition, if the Plan defaults in its obligations under the synthetic investment contract and such default is not corrected within the time permitted by the contract, then the contract may be terminated by the issuer and the Plan will receive the fair value of the underlying investments as of the date of termination.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Notes Receivable from Participants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Notes receivable from participants are carried at their unpaid balance plus accrued but unpaid interest, as applicable.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Due from/to Brokers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Purchases and sales of investments are recorded on a trade-date basis. Amounts due from and due to brokers arise from unsettled sale and purchase transactions,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generally accepted accounting principles (GAAP) requires management to make estimates and assumptions that affect the amounts reported in the financial statements, accompanying notes and supplemental schedule. Actual results could differ from those estimates.</w:t>
      </w:r>
    </w:p>
    <w:p>
      <w:pPr>
        <w:pStyle w:val="TextBody"/>
        <w:bidi w:val="0"/>
        <w:spacing w:lineRule="auto" w:line="268" w:before="0" w:after="160"/>
        <w:jc w:val="both"/>
        <w:rPr>
          <w:rFonts w:ascii="Times New Roman;serif" w:hAnsi="Times New Roman;serif"/>
          <w:b w:val="false"/>
          <w:i/>
          <w:color w:val="000000"/>
          <w:sz w:val="20"/>
        </w:rPr>
      </w:pPr>
      <w:r>
        <w:rPr>
          <w:rFonts w:ascii="Times New Roman;serif" w:hAnsi="Times New Roman;serif"/>
          <w:b w:val="false"/>
          <w:i/>
          <w:color w:val="000000"/>
          <w:sz w:val="20"/>
        </w:rPr>
        <w:t>Risks and Uncertainties</w:t>
      </w:r>
    </w:p>
    <w:p>
      <w:pPr>
        <w:pStyle w:val="TextBody"/>
        <w:bidi w:val="0"/>
        <w:spacing w:lineRule="auto" w:line="288" w:before="0" w:after="16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Plan provides for investment options representing varied combinations of equities (including Amgen stock), fixed income, and other investments. Investments, in general, particularly in securities, are exposed to various risks, such as interest rate, inflation, market and credit risks, among others. Market risk includes global events which could impact the value of investments, including securities, such as a pandemic or international conflict. Due to the level of risk associated with certain investments, including securities, it is at least reasonably possible that changes in the values of the Plan’s investments, including securities, will occur in the near term and that such changes could materially affect participant account balances and the amounts reported in the Plan’s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The Plan uses various valuation approaches in determining the fair value of investments within a hierarchy that maximizes the use of observable inputs and minimizes the use of unobservable inputs by requiring that observable inputs be used when available. Observable inputs are inputs that market participants would use in pricing the investment based on market data obtained from independent sources. Unobservable inputs are inputs that reflect assumptions about the inputs that market participants would use in pricing the investment and are developed based on the best information available in the circumstances.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fair value hierarchy is divided into three levels based on the source of inputs as follows:</w:t>
      </w:r>
    </w:p>
    <w:p>
      <w:pPr>
        <w:pStyle w:val="TextBody"/>
        <w:bidi w:val="0"/>
        <w:spacing w:lineRule="auto" w:line="288" w:before="180" w:after="160"/>
        <w:ind w:left="0" w:right="0" w:hanging="954"/>
        <w:jc w:val="both"/>
        <w:rPr>
          <w:rFonts w:ascii="Times New Roman;serif" w:hAnsi="Times New Roman;serif"/>
          <w:b w:val="false"/>
          <w:color w:val="000000"/>
          <w:sz w:val="20"/>
        </w:rPr>
      </w:pPr>
      <w:r>
        <w:rPr>
          <w:rFonts w:ascii="Times New Roman;serif" w:hAnsi="Times New Roman;serif"/>
          <w:b w:val="false"/>
          <w:color w:val="000000"/>
          <w:sz w:val="20"/>
        </w:rPr>
        <w:t>Level 1 – Valuations based on unadjusted quoted prices in active markets for identical investments that the Plan has the ability to access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Level 2 – Valuations for which all significant inputs are observable, either directly or indirectly, other than Level 1 inputs</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Level 3 – Valuations based on inputs that are unobservable and significant to the overall fair value measurement</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availability of observable inputs can vary among the various types of investments.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pStyle w:val="TextBody"/>
        <w:bidi w:val="0"/>
        <w:spacing w:lineRule="auto" w:line="288" w:before="180" w:after="1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fair value hierarchy tables present information about each major class/category of the Plan’s investments measured at fair value:</w:t>
      </w:r>
    </w:p>
    <w:tbl>
      <w:tblPr>
        <w:tblW w:w="10205" w:type="dxa"/>
        <w:jc w:val="left"/>
        <w:tblInd w:w="0" w:type="dxa"/>
        <w:tblLayout w:type="fixed"/>
        <w:tblCellMar>
          <w:top w:w="28" w:type="dxa"/>
          <w:left w:w="28" w:type="dxa"/>
          <w:bottom w:w="28" w:type="dxa"/>
          <w:right w:w="28" w:type="dxa"/>
        </w:tblCellMar>
      </w:tblPr>
      <w:tblGrid>
        <w:gridCol w:w="683"/>
        <w:gridCol w:w="550"/>
        <w:gridCol w:w="474"/>
        <w:gridCol w:w="109"/>
        <w:gridCol w:w="109"/>
        <w:gridCol w:w="109"/>
        <w:gridCol w:w="329"/>
        <w:gridCol w:w="2086"/>
        <w:gridCol w:w="170"/>
        <w:gridCol w:w="109"/>
        <w:gridCol w:w="109"/>
        <w:gridCol w:w="109"/>
        <w:gridCol w:w="211"/>
        <w:gridCol w:w="1336"/>
        <w:gridCol w:w="109"/>
        <w:gridCol w:w="109"/>
        <w:gridCol w:w="109"/>
        <w:gridCol w:w="109"/>
        <w:gridCol w:w="362"/>
        <w:gridCol w:w="696"/>
        <w:gridCol w:w="188"/>
        <w:gridCol w:w="109"/>
        <w:gridCol w:w="109"/>
        <w:gridCol w:w="109"/>
        <w:gridCol w:w="211"/>
        <w:gridCol w:w="1336"/>
        <w:gridCol w:w="156"/>
      </w:tblGrid>
      <w:tr>
        <w:trPr/>
        <w:tc>
          <w:tcPr>
            <w:tcW w:w="68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2025, using</w:t>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417,689,989 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417,689,989 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6,275,138,481 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6,275,138,481 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and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92,034,453 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92,034,453 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255,411,543 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255,411,543 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1,117,018,349 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1,119,760,757 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1,887,625,908 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6,277,883,574 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8,165,509,482 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3"/>
        <w:gridCol w:w="550"/>
        <w:gridCol w:w="474"/>
        <w:gridCol w:w="109"/>
        <w:gridCol w:w="109"/>
        <w:gridCol w:w="109"/>
        <w:gridCol w:w="329"/>
        <w:gridCol w:w="2086"/>
        <w:gridCol w:w="170"/>
        <w:gridCol w:w="109"/>
        <w:gridCol w:w="109"/>
        <w:gridCol w:w="109"/>
        <w:gridCol w:w="211"/>
        <w:gridCol w:w="1336"/>
        <w:gridCol w:w="109"/>
        <w:gridCol w:w="109"/>
        <w:gridCol w:w="109"/>
        <w:gridCol w:w="109"/>
        <w:gridCol w:w="362"/>
        <w:gridCol w:w="696"/>
        <w:gridCol w:w="188"/>
        <w:gridCol w:w="109"/>
        <w:gridCol w:w="109"/>
        <w:gridCol w:w="109"/>
        <w:gridCol w:w="211"/>
        <w:gridCol w:w="1336"/>
        <w:gridCol w:w="156"/>
      </w:tblGrid>
      <w:tr>
        <w:trPr/>
        <w:tc>
          <w:tcPr>
            <w:tcW w:w="68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2024, using</w:t>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Amgen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344,055,715 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344,055,715 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3,466,558 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 trust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5,003,198,779 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5,003,198,779 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and 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533,256,711 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533,256,711 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148,845,846 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148,845,846 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Self-directed brokerage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996,397,298 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999,716,673 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2,026,022,128 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5,006,521,133 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7,032,543,261 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fair values of substantially all common stocks (including Amgen stock), preferred stocks, publicly traded mutual funds and underlying investments of self-directed brokerage accounts are valued using quoted market prices in active markets with no valuation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Collective trust funds represent interests in pooled investment vehicles designed typically for collective investment of employee benefit trusts. The fair values of these investments are determined by reference to the net asset value per unit provided by the fund managers as the basis for current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Income Tax Status</w:t>
      </w:r>
    </w:p>
    <w:p>
      <w:pPr>
        <w:pStyle w:val="TextBody"/>
        <w:bidi w:val="0"/>
        <w:spacing w:lineRule="auto" w:line="288" w:before="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Plan received a determination letter from the IRS dated February 22, 2018, stating that, conditioned on the adoption of proposed Plan amendments submitted to the IRS on February 15, 2018, the Plan is qualified, in form, under Section 401(a) of the Code and, therefore, the related trust is exempt from taxation. There have been eight subsequent amendments to the Plan, including amendments to satisfy the conditions in the determination letter. Once qualified, the Plan is required to operate in conformity with the Code to maintain its qualification. The Company believes the Plan is currently being operated in compliance with the applicable requirements of the Code and, therefore, believes that the Plan is qualified and the related trust is tax exempt. The Company has indicated that it currently intends to continue to take the necessary steps, if any, to maintain the Plan’s compliance with the applicable requirements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5. Party-in-Interest Transactions</w:t>
      </w:r>
    </w:p>
    <w:p>
      <w:pPr>
        <w:pStyle w:val="TextBody"/>
        <w:bidi w:val="0"/>
        <w:spacing w:lineRule="auto" w:line="288" w:before="160" w:after="283"/>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Parties-in-interest are certain entities defined under Department of Labor regulations, including Amgen, and other parties that provide services to the Plan, such as the trustees, custodians and investment managers. The Plan pays the trustees certain administrative and investment management fees, and the Company pays certain administrative fees on behalf of the Plan. The Plan invests in collective trust funds managed by Northern, certain of the Plan’s investment managers and other third parties and may invest in securities of entities that are parties-in-interest. The Plan also invests in shares of common stock of Amgen and receives dividends on those shares. Notes receivable from participants are also considered party-in-interest transactions. In addition, an investment manager enters into synthetic investment contracts with certain insurance companies on behalf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Notes to Financial Statements (continued)</w:t>
      </w:r>
    </w:p>
    <w:p>
      <w:pPr>
        <w:pStyle w:val="TextBody"/>
        <w:bidi w:val="0"/>
        <w:spacing w:lineRule="auto" w:line="288" w:before="180" w:after="160"/>
        <w:jc w:val="both"/>
        <w:rPr>
          <w:rFonts w:ascii="Times New Roman;serif" w:hAnsi="Times New Roman;serif"/>
          <w:b/>
          <w:color w:val="000000"/>
          <w:sz w:val="20"/>
        </w:rPr>
      </w:pPr>
      <w:r>
        <w:rPr>
          <w:rFonts w:ascii="Times New Roman;serif" w:hAnsi="Times New Roman;serif"/>
          <w:b/>
          <w:color w:val="000000"/>
          <w:sz w:val="20"/>
        </w:rPr>
        <w:t>6. Reconciliation of Financial Statements to the Form 5500</w:t>
      </w:r>
    </w:p>
    <w:p>
      <w:pPr>
        <w:pStyle w:val="TextBody"/>
        <w:bidi w:val="0"/>
        <w:spacing w:lineRule="auto" w:line="288" w:before="1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reconciliation of net assets available for benefits per the financial statements to the Form 5500 consisted of the following:</w:t>
      </w:r>
    </w:p>
    <w:tbl>
      <w:tblPr>
        <w:tblW w:w="10071" w:type="dxa"/>
        <w:jc w:val="left"/>
        <w:tblInd w:w="0" w:type="dxa"/>
        <w:tblLayout w:type="fixed"/>
        <w:tblCellMar>
          <w:top w:w="28" w:type="dxa"/>
          <w:left w:w="28" w:type="dxa"/>
          <w:bottom w:w="28" w:type="dxa"/>
          <w:right w:w="28" w:type="dxa"/>
        </w:tblCellMar>
      </w:tblPr>
      <w:tblGrid>
        <w:gridCol w:w="2192"/>
        <w:gridCol w:w="1931"/>
        <w:gridCol w:w="1937"/>
        <w:gridCol w:w="109"/>
        <w:gridCol w:w="109"/>
        <w:gridCol w:w="109"/>
        <w:gridCol w:w="211"/>
        <w:gridCol w:w="1336"/>
        <w:gridCol w:w="109"/>
        <w:gridCol w:w="109"/>
        <w:gridCol w:w="109"/>
        <w:gridCol w:w="109"/>
        <w:gridCol w:w="211"/>
        <w:gridCol w:w="1336"/>
        <w:gridCol w:w="154"/>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available for benefits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8,963,481,280 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7,755,448,034 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 to fair value for fully benefit-responsive investment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(14,721,978)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(37,044,409)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Deemed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per the Form 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8,946,959,124 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7,715,420,902 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investment gain per the financial statements to the Form 5500: </w:t>
      </w:r>
    </w:p>
    <w:tbl>
      <w:tblPr>
        <w:tblW w:w="9836" w:type="dxa"/>
        <w:jc w:val="left"/>
        <w:tblInd w:w="0" w:type="dxa"/>
        <w:tblLayout w:type="fixed"/>
        <w:tblCellMar>
          <w:top w:w="28" w:type="dxa"/>
          <w:left w:w="28" w:type="dxa"/>
          <w:bottom w:w="28" w:type="dxa"/>
          <w:right w:w="28" w:type="dxa"/>
        </w:tblCellMar>
      </w:tblPr>
      <w:tblGrid>
        <w:gridCol w:w="2803"/>
        <w:gridCol w:w="2459"/>
        <w:gridCol w:w="2478"/>
        <w:gridCol w:w="109"/>
        <w:gridCol w:w="109"/>
        <w:gridCol w:w="109"/>
        <w:gridCol w:w="219"/>
        <w:gridCol w:w="1390"/>
        <w:gridCol w:w="160"/>
      </w:tblGrid>
      <w:tr>
        <w:trPr/>
        <w:tc>
          <w:tcPr>
            <w:tcW w:w="280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58,852,063 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1,207,787,460 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1,266,639,523 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from fair value to contract value for fully benefit-responsive investment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Prior-year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37,044,409 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Current-year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(14,721,978)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investment gain per the Form 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1,288,961,954 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expenses per the financial statements to the Form 5500:</w:t>
      </w:r>
    </w:p>
    <w:tbl>
      <w:tblPr>
        <w:tblW w:w="7841" w:type="dxa"/>
        <w:jc w:val="left"/>
        <w:tblInd w:w="0" w:type="dxa"/>
        <w:tblLayout w:type="fixed"/>
        <w:tblCellMar>
          <w:top w:w="28" w:type="dxa"/>
          <w:left w:w="28" w:type="dxa"/>
          <w:bottom w:w="28" w:type="dxa"/>
          <w:right w:w="28" w:type="dxa"/>
        </w:tblCellMar>
      </w:tblPr>
      <w:tblGrid>
        <w:gridCol w:w="2077"/>
        <w:gridCol w:w="1824"/>
        <w:gridCol w:w="1844"/>
        <w:gridCol w:w="109"/>
        <w:gridCol w:w="109"/>
        <w:gridCol w:w="109"/>
        <w:gridCol w:w="229"/>
        <w:gridCol w:w="1373"/>
        <w:gridCol w:w="167"/>
      </w:tblGrid>
      <w:tr>
        <w:trPr/>
        <w:tc>
          <w:tcPr>
            <w:tcW w:w="20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(640,689,220)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administrative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(8,193,031)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per the financial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(648,882,251)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2,576,951 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allocated to withdrawing participants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(1,342,012)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Deemed loans at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405,772 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Deemed loans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(458,166)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 per the Form 5500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(647,699,706)</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Supplemental Schedule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EIN: 95-3540776 Plan: #001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As of December 31, 2025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H, line 4i – Schedule of Assets (Held at End of Year)</w:t>
      </w:r>
    </w:p>
    <w:tbl>
      <w:tblPr>
        <w:tblW w:w="10205" w:type="dxa"/>
        <w:jc w:val="left"/>
        <w:tblInd w:w="0" w:type="dxa"/>
        <w:tblLayout w:type="fixed"/>
        <w:tblCellMar>
          <w:top w:w="28" w:type="dxa"/>
          <w:left w:w="28" w:type="dxa"/>
          <w:bottom w:w="28" w:type="dxa"/>
          <w:right w:w="28" w:type="dxa"/>
        </w:tblCellMar>
      </w:tblPr>
      <w:tblGrid>
        <w:gridCol w:w="344"/>
        <w:gridCol w:w="298"/>
        <w:gridCol w:w="238"/>
        <w:gridCol w:w="1186"/>
        <w:gridCol w:w="1142"/>
        <w:gridCol w:w="1020"/>
        <w:gridCol w:w="109"/>
        <w:gridCol w:w="109"/>
        <w:gridCol w:w="109"/>
        <w:gridCol w:w="109"/>
        <w:gridCol w:w="109"/>
        <w:gridCol w:w="520"/>
        <w:gridCol w:w="520"/>
        <w:gridCol w:w="521"/>
        <w:gridCol w:w="109"/>
        <w:gridCol w:w="249"/>
        <w:gridCol w:w="249"/>
        <w:gridCol w:w="249"/>
        <w:gridCol w:w="250"/>
        <w:gridCol w:w="196"/>
        <w:gridCol w:w="1051"/>
        <w:gridCol w:w="109"/>
        <w:gridCol w:w="196"/>
        <w:gridCol w:w="1051"/>
        <w:gridCol w:w="162"/>
      </w:tblGrid>
      <w:tr>
        <w:trPr/>
        <w:tc>
          <w:tcPr>
            <w:tcW w:w="3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28"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Investment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c>
          <w:tcPr>
            <w:tcW w:w="2765" w:type="dxa"/>
            <w:gridSpan w:val="6"/>
            <w:tcBorders/>
          </w:tcPr>
          <w:p>
            <w:pPr>
              <w:pStyle w:val="TableContents"/>
              <w:bidi w:val="0"/>
              <w:spacing w:before="0" w:after="283"/>
              <w:jc w:val="left"/>
              <w:rPr>
                <w:sz w:val="4"/>
                <w:szCs w:val="4"/>
              </w:rPr>
            </w:pPr>
            <w:r>
              <w:rPr>
                <w:sz w:val="4"/>
                <w:szCs w:val="4"/>
              </w:rPr>
            </w:r>
          </w:p>
        </w:tc>
      </w:tr>
      <w:tr>
        <w:trPr/>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Amgen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Employer Securities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417,689,989 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417,689,989 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Preservation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Galliard Intermediate Core Fund 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461,962,001 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Galliard Short Core Fund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284,401,501 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 Fund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Wrapper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Preservation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839,201,081 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Wellington Core Bond Plus Portfolio Collective Investment Trust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182,810,908 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FIAM Group Trust For Employees Benefit Plan Core Plus Commingled Pool Class 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181,975,209 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BBH Collective Investment Series Trust Series Fund Income Class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181,868,204 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Aggregate Bond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65,981,875 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Banc America Alternative Loan Trust Series 2004-6 Class 4A 15.0% Due 10-25-2048*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GMAC Mortgage Loan Trust 2003/J10 4.75% Due 01/25/2019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Master Asset Security Trust 2004/6 5.25% Due 07/25/2019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Income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612,639,163 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Aggregate Bond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970,311,143 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Income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970,311,143 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Equity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Nuveen Winslow Large Capital Growth Fund Class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220,498,952 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Blackrock Instituitional Trust Company Investment Funds Russell 3000 Alpha Tilts Fund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166,892,573 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Boston Partners CIT Large Capital Value Class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157,416,376 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Russell 3000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Harbors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Coherent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Ametek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SS&amp;C Technologies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Waste Connections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Entegris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Huntington Bancshares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tbl>
      <w:tblPr>
        <w:tblW w:w="9582" w:type="dxa"/>
        <w:jc w:val="left"/>
        <w:tblInd w:w="0" w:type="dxa"/>
        <w:tblLayout w:type="fixed"/>
        <w:tblCellMar>
          <w:top w:w="28" w:type="dxa"/>
          <w:left w:w="28" w:type="dxa"/>
          <w:bottom w:w="28" w:type="dxa"/>
          <w:right w:w="28" w:type="dxa"/>
        </w:tblCellMar>
      </w:tblPr>
      <w:tblGrid>
        <w:gridCol w:w="268"/>
        <w:gridCol w:w="236"/>
        <w:gridCol w:w="236"/>
        <w:gridCol w:w="1077"/>
        <w:gridCol w:w="1077"/>
        <w:gridCol w:w="1100"/>
        <w:gridCol w:w="109"/>
        <w:gridCol w:w="109"/>
        <w:gridCol w:w="109"/>
        <w:gridCol w:w="109"/>
        <w:gridCol w:w="109"/>
        <w:gridCol w:w="754"/>
        <w:gridCol w:w="754"/>
        <w:gridCol w:w="756"/>
        <w:gridCol w:w="109"/>
        <w:gridCol w:w="329"/>
        <w:gridCol w:w="329"/>
        <w:gridCol w:w="329"/>
        <w:gridCol w:w="331"/>
        <w:gridCol w:w="435"/>
        <w:gridCol w:w="436"/>
        <w:gridCol w:w="109"/>
        <w:gridCol w:w="109"/>
        <w:gridCol w:w="109"/>
        <w:gridCol w:w="154"/>
      </w:tblGrid>
      <w:tr>
        <w:trPr/>
        <w:tc>
          <w:tcPr>
            <w:tcW w:w="2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4"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Investment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c>
          <w:tcPr>
            <w:tcW w:w="1352" w:type="dxa"/>
            <w:gridSpan w:val="6"/>
            <w:tcBorders/>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Woodward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UGI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Rentokil Initial PLC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Charles River Laboratories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Bio-Techne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Keysight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Amphenol Corporation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Ingredion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Halozyme Therapeutics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Henry Schein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Brown &amp; Brown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Heico Corporation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Dolby Laboratories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Shift4 Payments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IDEX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STERIS plc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LKQ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Integrations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Prosperity Bancshares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WEX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Hexcel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HealthEquity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Casella Waste Systems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Mid-American Apartment Communities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Allegion PLC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Cabot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Bearings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Procore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American Financial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Copart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Ensign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Signal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Retail Properties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Fabrinet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 Measuring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Medpace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Ozk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EnPro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Moelis &amp; Company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SiteOne Landscape Supply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Paymentus Holdings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Standex International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Kadant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Ollies Bargain Outlet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Balchem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Loar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Camtek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CSW Industrials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Everus Construction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Saia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Modine Manufacturing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tbl>
      <w:tblPr>
        <w:tblW w:w="10205" w:type="dxa"/>
        <w:jc w:val="left"/>
        <w:tblInd w:w="0" w:type="dxa"/>
        <w:tblLayout w:type="fixed"/>
        <w:tblCellMar>
          <w:top w:w="28" w:type="dxa"/>
          <w:left w:w="28" w:type="dxa"/>
          <w:bottom w:w="28" w:type="dxa"/>
          <w:right w:w="28" w:type="dxa"/>
        </w:tblCellMar>
      </w:tblPr>
      <w:tblGrid>
        <w:gridCol w:w="195"/>
        <w:gridCol w:w="172"/>
        <w:gridCol w:w="172"/>
        <w:gridCol w:w="1358"/>
        <w:gridCol w:w="1201"/>
        <w:gridCol w:w="1233"/>
        <w:gridCol w:w="109"/>
        <w:gridCol w:w="109"/>
        <w:gridCol w:w="109"/>
        <w:gridCol w:w="109"/>
        <w:gridCol w:w="109"/>
        <w:gridCol w:w="524"/>
        <w:gridCol w:w="524"/>
        <w:gridCol w:w="526"/>
        <w:gridCol w:w="109"/>
        <w:gridCol w:w="251"/>
        <w:gridCol w:w="251"/>
        <w:gridCol w:w="251"/>
        <w:gridCol w:w="252"/>
        <w:gridCol w:w="593"/>
        <w:gridCol w:w="593"/>
        <w:gridCol w:w="109"/>
        <w:gridCol w:w="592"/>
        <w:gridCol w:w="594"/>
        <w:gridCol w:w="160"/>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1"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Investment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c>
          <w:tcPr>
            <w:tcW w:w="2641" w:type="dxa"/>
            <w:gridSpan w:val="6"/>
            <w:tcBorders/>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CCC Intelligent Solutions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ICF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Global-E Online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Hamilton Lane Inc. 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Markel Corporation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Five Below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Clearwater Analytics Holdings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Guidewire Software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XPEL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Certara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Wingstop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RLI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Arhaus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Valvoline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Q2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UFP Industries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Novanta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Freshpet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Morningstar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Floor &amp; Decor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Goosehead Insurance Inc. Class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Trex Company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Cohen &amp; Steers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Bellring Brands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Vita Coco Company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Pool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Equity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659,305,274 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Equity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Russell 3000 Index Fund / Non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2,598,695,401 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Equity Index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2,598,695,401 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Active Asset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Dodge &amp; Cox International Stock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Mutual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Mawer International Equity Collective Investment Trust 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252,538,156 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 Grey Trust Company</w:t>
              <w:br/>
              <w:t xml:space="preserve">GQG Partners International Equity </w:t>
              <w:br/>
              <w:t>CIT Class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248,729,768 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Mondrian Master CIT Focused All Countries World ex-US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248,622,909 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Wilmington Trust Collective Investment Trust / Jennison International Equity Opportunities CIT Class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248,011,296 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MSCI All Country World Index (ACWI) ex/US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Equity Active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1,304,068,501 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MSCI All Country World Index (ACWI) ex/US Index Fund / Non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384,229,509 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International Equity Index Asset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384,229,509 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H, line 4i – Schedule of Assets (Held at End of Year) (continued)</w:t>
      </w:r>
    </w:p>
    <w:tbl>
      <w:tblPr>
        <w:tblW w:w="10205" w:type="dxa"/>
        <w:jc w:val="left"/>
        <w:tblInd w:w="0" w:type="dxa"/>
        <w:tblLayout w:type="fixed"/>
        <w:tblCellMar>
          <w:top w:w="28" w:type="dxa"/>
          <w:left w:w="28" w:type="dxa"/>
          <w:bottom w:w="28" w:type="dxa"/>
          <w:right w:w="28" w:type="dxa"/>
        </w:tblCellMar>
      </w:tblPr>
      <w:tblGrid>
        <w:gridCol w:w="390"/>
        <w:gridCol w:w="343"/>
        <w:gridCol w:w="316"/>
        <w:gridCol w:w="1056"/>
        <w:gridCol w:w="965"/>
        <w:gridCol w:w="870"/>
        <w:gridCol w:w="109"/>
        <w:gridCol w:w="109"/>
        <w:gridCol w:w="109"/>
        <w:gridCol w:w="109"/>
        <w:gridCol w:w="109"/>
        <w:gridCol w:w="569"/>
        <w:gridCol w:w="569"/>
        <w:gridCol w:w="571"/>
        <w:gridCol w:w="109"/>
        <w:gridCol w:w="266"/>
        <w:gridCol w:w="266"/>
        <w:gridCol w:w="266"/>
        <w:gridCol w:w="267"/>
        <w:gridCol w:w="593"/>
        <w:gridCol w:w="593"/>
        <w:gridCol w:w="109"/>
        <w:gridCol w:w="196"/>
        <w:gridCol w:w="1186"/>
        <w:gridCol w:w="160"/>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40"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Identity of Issue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Investment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Value</w:t>
            </w:r>
          </w:p>
        </w:tc>
        <w:tc>
          <w:tcPr>
            <w:tcW w:w="2837" w:type="dxa"/>
            <w:gridSpan w:val="6"/>
            <w:tcBorders/>
          </w:tcPr>
          <w:p>
            <w:pPr>
              <w:pStyle w:val="TableContents"/>
              <w:bidi w:val="0"/>
              <w:spacing w:before="0" w:after="283"/>
              <w:jc w:val="left"/>
              <w:rPr>
                <w:sz w:val="4"/>
                <w:szCs w:val="4"/>
              </w:rPr>
            </w:pPr>
            <w:r>
              <w:rPr>
                <w:sz w:val="4"/>
                <w:szCs w:val="4"/>
              </w:rPr>
            </w:r>
          </w:p>
        </w:tc>
      </w:tr>
      <w:tr>
        <w:trPr/>
        <w:tc>
          <w:tcPr>
            <w:tcW w:w="39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Self-Directed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Investments</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1,119,760,757 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1,119,760,757 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4.25% - 9.50%</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38,602,548 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ML Vanguard Federal Money Market Forfeiture /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BIF Money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NT Collective Short Term Investment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Collective Trust Fund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Exide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and Preferred Stock </w:t>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5,972,166 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Grand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8,950,475,532 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77" w:type="dxa"/>
        <w:jc w:val="center"/>
        <w:tblInd w:w="0" w:type="dxa"/>
        <w:tblLayout w:type="fixed"/>
        <w:tblCellMar>
          <w:top w:w="28" w:type="dxa"/>
          <w:left w:w="28" w:type="dxa"/>
          <w:bottom w:w="28" w:type="dxa"/>
          <w:right w:w="28" w:type="dxa"/>
        </w:tblCellMar>
      </w:tblPr>
      <w:tblGrid>
        <w:gridCol w:w="624"/>
        <w:gridCol w:w="548"/>
        <w:gridCol w:w="552"/>
        <w:gridCol w:w="109"/>
        <w:gridCol w:w="109"/>
        <w:gridCol w:w="109"/>
        <w:gridCol w:w="109"/>
        <w:gridCol w:w="109"/>
        <w:gridCol w:w="109"/>
        <w:gridCol w:w="109"/>
        <w:gridCol w:w="109"/>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Indicates party-in-interest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AMGEN RETIREMENT AND SAVINGS PLAN</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INDEX TO EXHIBIT</w:t>
      </w:r>
    </w:p>
    <w:p>
      <w:pPr>
        <w:pStyle w:val="TextBody"/>
        <w:bidi w:val="0"/>
        <w:spacing w:lineRule="auto" w:line="288" w:before="180" w:after="283"/>
        <w:jc w:val="left"/>
        <w:rPr>
          <w:color w:val="000000"/>
        </w:rPr>
      </w:pPr>
      <w:r>
        <w:rPr>
          <w:color w:val="000000"/>
        </w:rPr>
        <w:t> </w:t>
      </w:r>
    </w:p>
    <w:tbl>
      <w:tblPr>
        <w:tblW w:w="6477" w:type="dxa"/>
        <w:jc w:val="left"/>
        <w:tblInd w:w="0" w:type="dxa"/>
        <w:tblLayout w:type="fixed"/>
        <w:tblCellMar>
          <w:top w:w="28" w:type="dxa"/>
          <w:left w:w="28" w:type="dxa"/>
          <w:bottom w:w="28" w:type="dxa"/>
          <w:right w:w="28" w:type="dxa"/>
        </w:tblCellMar>
      </w:tblPr>
      <w:tblGrid>
        <w:gridCol w:w="1802"/>
        <w:gridCol w:w="1584"/>
        <w:gridCol w:w="1593"/>
        <w:gridCol w:w="109"/>
        <w:gridCol w:w="109"/>
        <w:gridCol w:w="109"/>
        <w:gridCol w:w="343"/>
        <w:gridCol w:w="343"/>
        <w:gridCol w:w="485"/>
      </w:tblGrid>
      <w:tr>
        <w:trPr/>
        <w:tc>
          <w:tcPr>
            <w:tcW w:w="180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gn-ex231_20251231xus.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23.1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280" w:after="16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tbl>
      <w:tblPr>
        <w:tblW w:w="726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379"/>
        <w:gridCol w:w="379"/>
        <w:gridCol w:w="379"/>
        <w:gridCol w:w="379"/>
        <w:gridCol w:w="379"/>
        <w:gridCol w:w="379"/>
        <w:gridCol w:w="734"/>
        <w:gridCol w:w="734"/>
        <w:gridCol w:w="106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9" w:type="dxa"/>
            <w:gridSpan w:val="9"/>
            <w:tcBorders/>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w:t>
            </w:r>
            <w:r>
              <w:rPr>
                <w:rFonts w:ascii="Times New Roman;serif" w:hAnsi="Times New Roman;serif"/>
                <w:b w:val="false"/>
                <w:color w:val="000000"/>
                <w:sz w:val="20"/>
              </w:rPr>
              <w:t>Amgen Retirement and Savings Plan</w:t>
            </w:r>
          </w:p>
          <w:p>
            <w:pPr>
              <w:pStyle w:val="TableContents"/>
              <w:bidi w:val="0"/>
              <w:spacing w:lineRule="auto" w:line="240" w:before="0" w:after="0"/>
              <w:ind w:left="0" w:right="0" w:firstLine="405"/>
              <w:jc w:val="left"/>
              <w:rPr>
                <w:color w:val="000000"/>
              </w:rPr>
            </w:pPr>
            <w:r>
              <w:rPr>
                <w:color w:val="000000"/>
              </w:rPr>
              <w:t> </w:t>
            </w:r>
            <w:r>
              <w:rPr>
                <w:rFonts w:ascii="Times New Roman;serif" w:hAnsi="Times New Roman;serif"/>
                <w:b w:val="false"/>
                <w:color w:val="000000"/>
                <w:sz w:val="20"/>
              </w:rPr>
              <w:t>(Name of Plan)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Peter H. Griffith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Amgen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33"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33" w:before="0" w:after="16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(Form S-8 Nos. 033-39104, 333-144581 and 333-216719) pertaining to the Amgen Retirement and Savings Plan of Amgen Inc. of our report dated June 11, 2026, with respect to the financial statements and schedule of the Amgen Retirement and Savings Plan included in this Annual Report (Form 11-K) for the year ended December 31, 2025.</w:t>
      </w:r>
    </w:p>
    <w:p>
      <w:pPr>
        <w:pStyle w:val="TextBody"/>
        <w:bidi w:val="0"/>
        <w:spacing w:before="0" w:after="160"/>
        <w:jc w:val="both"/>
        <w:rPr/>
      </w:pPr>
      <w:r>
        <w:rPr/>
      </w:r>
    </w:p>
    <w:p>
      <w:pPr>
        <w:pStyle w:val="TextBody"/>
        <w:bidi w:val="0"/>
        <w:spacing w:lineRule="auto" w:line="333" w:before="0" w:after="160"/>
        <w:jc w:val="righ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before="0" w:after="0"/>
        <w:jc w:val="both"/>
        <w:rPr/>
      </w:pPr>
      <w:r>
        <w:rPr/>
      </w:r>
    </w:p>
    <w:p>
      <w:pPr>
        <w:pStyle w:val="TextBody"/>
        <w:bidi w:val="0"/>
        <w:spacing w:lineRule="auto" w:line="333" w:before="0" w:after="160"/>
        <w:jc w:val="both"/>
        <w:rPr>
          <w:rFonts w:ascii="Times New Roman;serif" w:hAnsi="Times New Roman;serif"/>
          <w:b w:val="false"/>
          <w:color w:val="000000"/>
          <w:sz w:val="20"/>
        </w:rPr>
      </w:pPr>
      <w:r>
        <w:rPr>
          <w:rFonts w:ascii="Times New Roman;serif" w:hAnsi="Times New Roman;serif"/>
          <w:b w:val="false"/>
          <w:color w:val="000000"/>
          <w:sz w:val="20"/>
        </w:rPr>
        <w:t>June 11, 2026</w:t>
      </w:r>
    </w:p>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6067</Words>
  <Characters>35133</Characters>
  <CharactersWithSpaces>40794</CharactersWithSpaces>
  <Paragraphs>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