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450"/>
        <w:jc w:val="left"/>
        <w:rPr/>
      </w:pPr>
      <w:r>
        <w:rPr/>
      </w:r>
    </w:p>
    <w:p>
      <w:pPr>
        <w:pStyle w:val="TextBody"/>
        <w:bidi w:val="0"/>
        <w:spacing w:lineRule="auto" w:line="288" w:before="0" w:after="3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3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30"/>
        <w:jc w:val="left"/>
        <w:rPr>
          <w:color w:val="000000"/>
        </w:rPr>
      </w:pPr>
      <w:r>
        <w:rPr>
          <w:color w:val="000000"/>
        </w:rPr>
        <w:t>  </w:t>
      </w:r>
    </w:p>
    <w:p>
      <w:pPr>
        <w:pStyle w:val="TextBody"/>
        <w:bidi w:val="0"/>
        <w:spacing w:lineRule="auto" w:line="288" w:before="0" w:after="3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30"/>
        <w:jc w:val="left"/>
        <w:rPr>
          <w:color w:val="000000"/>
        </w:rPr>
      </w:pPr>
      <w:r>
        <w:rPr>
          <w:color w:val="000000"/>
        </w:rPr>
        <w:t>  </w:t>
      </w:r>
    </w:p>
    <w:p>
      <w:pPr>
        <w:pStyle w:val="TextBody"/>
        <w:bidi w:val="0"/>
        <w:spacing w:lineRule="auto" w:line="288" w:before="0" w:after="3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3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3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November 4, 2025</w:t>
      </w:r>
    </w:p>
    <w:p>
      <w:pPr>
        <w:pStyle w:val="TextBody"/>
        <w:bidi w:val="0"/>
        <w:spacing w:lineRule="auto" w:line="288" w:before="0" w:after="30"/>
        <w:jc w:val="left"/>
        <w:rPr>
          <w:color w:val="000000"/>
        </w:rPr>
      </w:pPr>
      <w:r>
        <w:rPr>
          <w:color w:val="000000"/>
        </w:rPr>
        <w:t> </w:t>
      </w:r>
      <w:r>
        <w:rPr>
          <w:rFonts w:ascii="Times New Roman;serif" w:hAnsi="Times New Roman;serif"/>
          <w:b w:val="false"/>
          <w:color w:val="000000"/>
          <w:sz w:val="8"/>
        </w:rPr>
        <w:t>-</w:t>
      </w:r>
    </w:p>
    <w:p>
      <w:pPr>
        <w:pStyle w:val="TextBody"/>
        <w:bidi w:val="0"/>
        <w:spacing w:lineRule="auto" w:line="288" w:before="0" w:after="30"/>
        <w:jc w:val="center"/>
        <w:rPr>
          <w:rFonts w:ascii="Times New Roman;serif" w:hAnsi="Times New Roman;serif"/>
          <w:b/>
          <w:color w:val="000000"/>
          <w:sz w:val="48"/>
        </w:rPr>
      </w:pPr>
      <w:r>
        <w:rPr>
          <w:rFonts w:ascii="Times New Roman;serif" w:hAnsi="Times New Roman;serif"/>
          <w:b/>
          <w:color w:val="000000"/>
          <w:sz w:val="48"/>
        </w:rPr>
        <w:t xml:space="preserve">Amgen Inc. </w:t>
      </w:r>
    </w:p>
    <w:p>
      <w:pPr>
        <w:pStyle w:val="TextBody"/>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30"/>
        <w:jc w:val="left"/>
        <w:rPr>
          <w:color w:val="000000"/>
        </w:rPr>
      </w:pPr>
      <w:r>
        <w:rPr>
          <w:color w:val="000000"/>
        </w:rPr>
        <w:t>  </w:t>
      </w:r>
    </w:p>
    <w:tbl>
      <w:tblPr>
        <w:tblW w:w="5061" w:type="dxa"/>
        <w:jc w:val="center"/>
        <w:tblInd w:w="0" w:type="dxa"/>
        <w:tblLayout w:type="fixed"/>
        <w:tblCellMar>
          <w:top w:w="28" w:type="dxa"/>
          <w:left w:w="28" w:type="dxa"/>
          <w:bottom w:w="28" w:type="dxa"/>
          <w:right w:w="28" w:type="dxa"/>
        </w:tblCellMar>
      </w:tblPr>
      <w:tblGrid>
        <w:gridCol w:w="699"/>
        <w:gridCol w:w="613"/>
        <w:gridCol w:w="622"/>
        <w:gridCol w:w="109"/>
        <w:gridCol w:w="109"/>
        <w:gridCol w:w="109"/>
        <w:gridCol w:w="343"/>
        <w:gridCol w:w="343"/>
        <w:gridCol w:w="348"/>
        <w:gridCol w:w="109"/>
        <w:gridCol w:w="109"/>
        <w:gridCol w:w="109"/>
        <w:gridCol w:w="420"/>
        <w:gridCol w:w="420"/>
        <w:gridCol w:w="599"/>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95-3540776</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Amgen Center Drive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 Oaks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91320-1799</w:t>
            </w:r>
          </w:p>
        </w:tc>
      </w:tr>
      <w:tr>
        <w:trPr/>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3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30"/>
        <w:jc w:val="center"/>
        <w:rPr>
          <w:rFonts w:ascii="Times New Roman;serif" w:hAnsi="Times New Roman;serif"/>
          <w:b/>
          <w:color w:val="000000"/>
          <w:sz w:val="20"/>
        </w:rPr>
      </w:pPr>
      <w:r>
        <w:rPr>
          <w:rFonts w:ascii="Times New Roman;serif" w:hAnsi="Times New Roman;serif"/>
          <w:b/>
          <w:color w:val="000000"/>
          <w:sz w:val="20"/>
        </w:rPr>
        <w:t xml:space="preserve">(805) 447-1000 </w:t>
      </w:r>
    </w:p>
    <w:p>
      <w:pPr>
        <w:pStyle w:val="TextBody"/>
        <w:bidi w:val="0"/>
        <w:spacing w:before="0" w:after="30"/>
        <w:jc w:val="center"/>
        <w:rPr/>
      </w:pPr>
      <w:r>
        <w:rPr/>
      </w:r>
    </w:p>
    <w:p>
      <w:pPr>
        <w:pStyle w:val="TextBody"/>
        <w:bidi w:val="0"/>
        <w:spacing w:lineRule="auto" w:line="288" w:before="0" w:after="3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677" w:type="dxa"/>
        <w:jc w:val="left"/>
        <w:tblInd w:w="0" w:type="dxa"/>
        <w:tblLayout w:type="fixed"/>
        <w:tblCellMar>
          <w:top w:w="28" w:type="dxa"/>
          <w:left w:w="28" w:type="dxa"/>
          <w:bottom w:w="28" w:type="dxa"/>
          <w:right w:w="28" w:type="dxa"/>
        </w:tblCellMar>
      </w:tblPr>
      <w:tblGrid>
        <w:gridCol w:w="124"/>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447" w:type="dxa"/>
        <w:jc w:val="left"/>
        <w:tblInd w:w="0" w:type="dxa"/>
        <w:tblLayout w:type="fixed"/>
        <w:tblCellMar>
          <w:top w:w="28" w:type="dxa"/>
          <w:left w:w="28" w:type="dxa"/>
          <w:bottom w:w="28" w:type="dxa"/>
          <w:right w:w="28" w:type="dxa"/>
        </w:tblCellMar>
      </w:tblPr>
      <w:tblGrid>
        <w:gridCol w:w="124"/>
        <w:gridCol w:w="109"/>
        <w:gridCol w:w="109"/>
        <w:gridCol w:w="2667"/>
        <w:gridCol w:w="2667"/>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bl>
    <w:tbl>
      <w:tblPr>
        <w:tblW w:w="9386" w:type="dxa"/>
        <w:jc w:val="left"/>
        <w:tblInd w:w="0" w:type="dxa"/>
        <w:tblLayout w:type="fixed"/>
        <w:tblCellMar>
          <w:top w:w="28" w:type="dxa"/>
          <w:left w:w="28" w:type="dxa"/>
          <w:bottom w:w="28" w:type="dxa"/>
          <w:right w:w="28" w:type="dxa"/>
        </w:tblCellMar>
      </w:tblPr>
      <w:tblGrid>
        <w:gridCol w:w="124"/>
        <w:gridCol w:w="109"/>
        <w:gridCol w:w="109"/>
        <w:gridCol w:w="2649"/>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88" w:before="0" w:after="3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48" w:type="dxa"/>
        <w:jc w:val="center"/>
        <w:tblInd w:w="0" w:type="dxa"/>
        <w:tblLayout w:type="fixed"/>
        <w:tblCellMar>
          <w:top w:w="28" w:type="dxa"/>
          <w:left w:w="28" w:type="dxa"/>
          <w:bottom w:w="28" w:type="dxa"/>
          <w:right w:w="28" w:type="dxa"/>
        </w:tblCellMar>
      </w:tblPr>
      <w:tblGrid>
        <w:gridCol w:w="1087"/>
        <w:gridCol w:w="949"/>
        <w:gridCol w:w="963"/>
        <w:gridCol w:w="474"/>
        <w:gridCol w:w="474"/>
        <w:gridCol w:w="476"/>
        <w:gridCol w:w="945"/>
        <w:gridCol w:w="945"/>
        <w:gridCol w:w="1335"/>
      </w:tblGrid>
      <w:tr>
        <w:trPr/>
        <w:tc>
          <w:tcPr>
            <w:tcW w:w="108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AMGN</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 Senior Notes due 2026</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AMGN26</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0" w:after="30"/>
        <w:jc w:val="left"/>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 Emerging growth company </w:t>
      </w:r>
      <w:r>
        <w:rPr>
          <w:color w:val="000000"/>
        </w:rPr>
        <w:t xml:space="preserve">☐ </w:t>
      </w:r>
    </w:p>
    <w:p>
      <w:pPr>
        <w:pStyle w:val="TextBody"/>
        <w:bidi w:val="0"/>
        <w:spacing w:lineRule="auto" w:line="288" w:before="0" w:after="3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Third Quarter 2025 Earnings Press Release and Reconciliation of Non-GAAP Financial Measures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4, 2025, the Company issued a press release announcing its unaudited results of operations for the three and nine months ended September 30, 2025, and its unaudited financial position as of September 30, 2025. The full text of the press release is furnished as Exhibit 99.1 hereto.</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its press release the Company included certain non-U.S. Generally Accepted Accounting Principles (GAAP) financial measures as defined in Regulation G promulgated by the Securities and Exchange Commission. The non-GAAP financial measures included in the press release are non-GAAP earnings per share, non-GAAP operating income, non-GAAP operating margin, non-GAAP tax rate, non-GAAP operating expenses and sub-components of non-GAAP operating expenses such as non-GAAP cost of sales, non-GAAP research and development (R&amp;D) expenses and non-GAAP selling, general and administrative expenses. Reconciliations for such non-GAAP financial measures to the most directly comparable GAAP financial measures are included in the press release. The Company included Free Cash Flow (FCF), which is computed by subtracting capital expenditures from operating cash flow, each as determined in accordance with GAAP.</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this presentation of non-GAAP financial measures provides useful supplementary information to and facilitates additional analysis by investors. The Company uses certain non-GAAP financial measures to enhance an investor’s overall understanding of the financial performance and prospects for the future of the Company’s ongoing business activities by facilitating comparisons of results of ongoing business operations among current, past and future periods. The Company believes that FCF provides a further measure of the Company’s liquidity. The Company uses non-GAAP financial measures in connection with its own budgeting and financial planning internally to evaluate the performance of the business, including to allocate resources and to evaluate results relative to incentive compensation targets. The non-GAAP financial measures are in addition to, not a substitute for, or superior to, measures of financial performance prepared in accordance with GAAP.</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costs and other items excluded from the most directly comparable GAAP financial measures to calculate non-GAAP financial measures:</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Acquisition-related expenses: Acquisition-related charges are primarily associated with assets acquired in connection with business acquisitions, including intangible assets and acquired inventory. Such charges include amortization and impairment of developed-product-technology rights, licensing rights, R&amp;D technology rights, marketing-related rights and step-up to fair value of acquired inventory, as well as net impairment charges of in-process R&amp;D assets. Net charges for intangible assets are significantly impacted by the timing and magnitude of the Company’s acquisitions, potential product approvals and estimated future cash flows. Accordingly, these net charges may vary in amount from period to period. The Company excludes these net charges for purposes of calculating the non-GAAP financial measures presented to facilitate a more meaningful evaluation of the Company’s current operating performance and comparisons to past operating performance. The Company believes that excluding noncash net charges related to those intangible assets and inventory acquired in business acquisitions treats those assets as if the Company had developed them internally in the past and, thus, provides a supplemental measure of profitability in which these acquired assets are treated in a comparable manner to the Company's internally developed or produced assets.</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Net charges pursuant to the Company’s restructuring and cost savings initiatives: Costs from restructuring and cost savings initiatives are primarily related to facilities charges, including asset impairments and accelerated depreciation, and severance and benefits for employees terminated pursuant to our transformation and process improvement efforts. Costs from such initiatives are inconsistent in amount and are significantly impacted by the timing and nature of these events. Therefore, although the Company may incur these types of expenses in the future, it believes that eliminating these charges for purposes of calculating the non-GAAP financial measures provides a supplemental evaluation of the Company’s current operating performance and facilitates comparisons to past operating performance.</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Other items: The Company adjusts GAAP financial results for certain income and expenses (or gains and losses). These adjustments include: (1) gains and losses on our investments in equity securities; and (2) certain items associated with legal proceedings. The Company excludes these items for the purpose of calculating the non-GAAP financial measures presented because the Company believes these items are outside the ordinary course of business. The Company believes eliminating these items provides a supplemental evaluation of the Company’s current operating performance and facilitates comparisons to past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The tax effect of the adjustments between GAAP and non-GAAP results take into account the tax treatment and related tax rate(s) that apply to each adjustment in the applicable tax jurisdiction(s). Generally, the tax impact of adjustments, including the amortization of intangible assets and acquired inventory, gains and losses on our investments in equity securities and expenses related to restructuring and cost savings initiatives, depends on whether the amounts are deductible in the respective tax jurisdictions and the applicable tax rate(s) in those jurisdictions. Other income tax adjustments include the impact of tax law changes.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press release also contains a discussion of the additional purposes for which the Company’s management uses these non-GAAP financial measures.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information and the information contained in the press release shall not be deemed “filed” for purposes of Section 18 of the Securities Exchange Act of 1934, as amended, or otherwise subject to the liabilities of that section. The information in Item 2.02 of this Current Report is not incorporated by reference into any filings of the Company made under the Securities Act of 1933, as amended, whether made before or after the date of this Current Report, regardless of any general incorporation language in the filing unless specifically stated so therein.</w:t>
      </w:r>
    </w:p>
    <w:p>
      <w:pPr>
        <w:pStyle w:val="TextBody"/>
        <w:bidi w:val="0"/>
        <w:spacing w:before="0" w:after="16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88"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06" w:type="dxa"/>
        <w:jc w:val="center"/>
        <w:tblInd w:w="0" w:type="dxa"/>
        <w:tblLayout w:type="fixed"/>
        <w:tblCellMar>
          <w:top w:w="28" w:type="dxa"/>
          <w:left w:w="28" w:type="dxa"/>
          <w:bottom w:w="28" w:type="dxa"/>
          <w:right w:w="28" w:type="dxa"/>
        </w:tblCellMar>
      </w:tblPr>
      <w:tblGrid>
        <w:gridCol w:w="279"/>
        <w:gridCol w:w="247"/>
        <w:gridCol w:w="109"/>
        <w:gridCol w:w="109"/>
        <w:gridCol w:w="109"/>
        <w:gridCol w:w="109"/>
        <w:gridCol w:w="1944"/>
        <w:gridCol w:w="1944"/>
        <w:gridCol w:w="2756"/>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n-20250930earningsrelea.htm">
              <w:r>
                <w:rPr>
                  <w:rStyle w:val="InternetLink"/>
                  <w:rFonts w:ascii="Times New Roman;serif" w:hAnsi="Times New Roman;serif"/>
                  <w:b w:val="false"/>
                  <w:color w:val="0000FF"/>
                  <w:sz w:val="20"/>
                  <w:u w:val="single"/>
                </w:rPr>
                <w:t>Press Release dated November 4, 2025.</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98"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796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233"/>
        <w:gridCol w:w="197"/>
        <w:gridCol w:w="200"/>
        <w:gridCol w:w="135"/>
        <w:gridCol w:w="135"/>
        <w:gridCol w:w="135"/>
        <w:gridCol w:w="1301"/>
        <w:gridCol w:w="1301"/>
        <w:gridCol w:w="18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AMGEN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November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entury Gothic;sans-serif" w:hAnsi="Century Gothic;sans-serif"/>
          <w:b/>
          <w:color w:val="000000"/>
          <w:sz w:val="22"/>
        </w:rPr>
      </w:pPr>
      <w:r>
        <w:rPr>
          <w:rFonts w:ascii="Century Gothic;sans-serif" w:hAnsi="Century Gothic;sans-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tbl>
      <w:tblPr>
        <w:tblW w:w="7077" w:type="dxa"/>
        <w:jc w:val="center"/>
        <w:tblInd w:w="0" w:type="dxa"/>
        <w:tblLayout w:type="fixed"/>
        <w:tblCellMar>
          <w:top w:w="28" w:type="dxa"/>
          <w:left w:w="28" w:type="dxa"/>
          <w:bottom w:w="28" w:type="dxa"/>
          <w:right w:w="28" w:type="dxa"/>
        </w:tblCellMar>
      </w:tblPr>
      <w:tblGrid>
        <w:gridCol w:w="1044"/>
        <w:gridCol w:w="917"/>
        <w:gridCol w:w="919"/>
        <w:gridCol w:w="109"/>
        <w:gridCol w:w="109"/>
        <w:gridCol w:w="109"/>
        <w:gridCol w:w="1134"/>
        <w:gridCol w:w="1134"/>
        <w:gridCol w:w="1602"/>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0"/>
              <w:jc w:val="left"/>
              <w:rPr/>
            </w:pPr>
            <w:r>
              <w:rPr/>
              <w:drawing>
                <wp:inline distT="0" distB="0" distL="0" distR="0">
                  <wp:extent cx="1666875" cy="5143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666875" cy="514350"/>
                          </a:xfrm>
                          <a:prstGeom prst="rect">
                            <a:avLst/>
                          </a:prstGeom>
                        </pic:spPr>
                      </pic:pic>
                    </a:graphicData>
                  </a:graphic>
                </wp:inline>
              </w:drawing>
            </w:r>
          </w:p>
          <w:p>
            <w:pPr>
              <w:pStyle w:val="TableContents"/>
              <w:bidi w:val="0"/>
              <w:spacing w:lineRule="auto" w:line="240" w:before="0" w:after="0"/>
              <w:jc w:val="left"/>
              <w:rPr>
                <w:rFonts w:ascii="Century Gothic;sans-serif" w:hAnsi="Century Gothic;sans-serif"/>
                <w:b/>
                <w:i/>
                <w:color w:val="000000"/>
                <w:sz w:val="36"/>
              </w:rPr>
            </w:pPr>
            <w:r>
              <w:rPr>
                <w:rFonts w:ascii="Century Gothic;sans-serif" w:hAnsi="Century Gothic;sans-serif"/>
                <w:b/>
                <w:i/>
                <w:color w:val="000000"/>
                <w:sz w:val="36"/>
              </w:rPr>
              <w:t>News Release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2"/>
              </w:rPr>
            </w:pPr>
            <w:r>
              <w:rPr>
                <w:rFonts w:ascii="Century Gothic;sans-serif" w:hAnsi="Century Gothic;sans-serif"/>
                <w:b w:val="false"/>
                <w:color w:val="000000"/>
                <w:sz w:val="22"/>
              </w:rPr>
              <w:t>One Amgen Center Drive</w:t>
              <w:br/>
              <w:t>Thousand Oaks, CA 91320-1799</w:t>
              <w:br/>
              <w:t>Telephone 805-447-1000</w:t>
              <w:br/>
              <w:t>www.amgen.com</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Century Gothic;sans-serif" w:hAnsi="Century Gothic;sans-serif"/>
          <w:b/>
          <w:color w:val="000000"/>
          <w:sz w:val="32"/>
        </w:rPr>
      </w:pPr>
      <w:r>
        <w:rPr>
          <w:rFonts w:ascii="Century Gothic;sans-serif" w:hAnsi="Century Gothic;sans-serif"/>
          <w:b/>
          <w:color w:val="000000"/>
          <w:sz w:val="32"/>
        </w:rPr>
        <w:t>AMGEN REPORTS THIRD QUARTER 2025 FINANCIAL RESULTS</w:t>
      </w:r>
    </w:p>
    <w:p>
      <w:pPr>
        <w:pStyle w:val="TextBody"/>
        <w:bidi w:val="0"/>
        <w:spacing w:before="0" w:after="120"/>
        <w:jc w:val="both"/>
        <w:rPr/>
      </w:pPr>
      <w:r>
        <w:rPr/>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THOUSAND OAKS, Calif. (Nov. 4, 2025) - Amgen (NASDAQ:AMGN) today announced financial results for the third quarter of 2025.</w:t>
      </w:r>
    </w:p>
    <w:p>
      <w:pPr>
        <w:pStyle w:val="TextBody"/>
        <w:bidi w:val="0"/>
        <w:spacing w:before="0" w:after="120"/>
        <w:jc w:val="center"/>
        <w:rPr/>
      </w:pPr>
      <w:r>
        <w:rPr/>
      </w:r>
    </w:p>
    <w:p>
      <w:pPr>
        <w:pStyle w:val="TextBody"/>
        <w:bidi w:val="0"/>
        <w:spacing w:lineRule="auto" w:line="268" w:before="0" w:after="0"/>
        <w:jc w:val="center"/>
        <w:rPr>
          <w:color w:val="000000"/>
        </w:rPr>
      </w:pPr>
      <w:r>
        <w:rPr>
          <w:color w:val="000000"/>
        </w:rPr>
        <w:t>“</w:t>
      </w:r>
      <w:r>
        <w:rPr>
          <w:rFonts w:ascii="Century Gothic;sans-serif" w:hAnsi="Century Gothic;sans-serif"/>
          <w:b/>
          <w:i/>
          <w:color w:val="000000"/>
          <w:sz w:val="22"/>
        </w:rPr>
        <w:t xml:space="preserve">We delivered strong volume growth this quarter, reflecting the demand for our medicines and the impact we’re having on patients worldwide. With disciplined investment and a pipeline of first-in-class medicines, we’re focused on expanding access, advancing innovation, and sustaining long-term growth,” said Robert A. Bradway, chairman and chief executive officer. </w:t>
      </w:r>
    </w:p>
    <w:p>
      <w:pPr>
        <w:pStyle w:val="TextBody"/>
        <w:bidi w:val="0"/>
        <w:spacing w:before="0" w:after="120"/>
        <w:jc w:val="both"/>
        <w:rPr/>
      </w:pPr>
      <w:r>
        <w:rPr/>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Key results include:</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For the third quarter, total revenues increased 12% to $9.6 billion in comparison to the third quarter of 2024.</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Produ</w:t>
      </w:r>
      <w:r>
        <w:rPr>
          <w:rFonts w:ascii="Century Gothic;sans-serif" w:hAnsi="Century Gothic;sans-serif"/>
          <w:b w:val="false"/>
          <w:color w:val="000000"/>
          <w:sz w:val="22"/>
          <w:shd w:fill="FFFFFF" w:val="clear"/>
        </w:rPr>
        <w:t>ct sales grew</w:t>
      </w:r>
      <w:r>
        <w:rPr>
          <w:color w:val="000000"/>
        </w:rPr>
        <w:t xml:space="preserve"> </w:t>
      </w:r>
      <w:r>
        <w:rPr>
          <w:rFonts w:ascii="Century Gothic;sans-serif" w:hAnsi="Century Gothic;sans-serif"/>
          <w:b w:val="false"/>
          <w:color w:val="000000"/>
          <w:sz w:val="22"/>
        </w:rPr>
        <w:t>12%</w:t>
      </w:r>
      <w:r>
        <w:rPr>
          <w:rFonts w:ascii="Century Gothic;sans-serif" w:hAnsi="Century Gothic;sans-serif"/>
          <w:b w:val="false"/>
          <w:color w:val="000000"/>
          <w:sz w:val="22"/>
          <w:shd w:fill="FFFFFF" w:val="clear"/>
        </w:rPr>
        <w:t>, driven by 14% volume growth, partially offset by 4% lower net selling price</w:t>
      </w:r>
      <w:r>
        <w:rPr>
          <w:rFonts w:ascii="Century Gothic;sans-serif" w:hAnsi="Century Gothic;sans-serif"/>
          <w:b w:val="false"/>
          <w:color w:val="000000"/>
          <w:sz w:val="22"/>
        </w:rPr>
        <w:t>.</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Sixteen products delivered at least double-digit sales growth in the third quarter, including Repatha</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(evolocumab), EVENITY</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(romosozumab-aqqg), IMDELLTRA</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(tarlatamab-dlle)/IMDYLLTRA™ (tarlatamab), TEZSPIRE</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(tezepelumab-ekko), TEPEZZA</w:t>
      </w:r>
      <w:r>
        <w:rPr>
          <w:rFonts w:ascii="Century Gothic;sans-serif" w:hAnsi="Century Gothic;sans-serif"/>
          <w:b w:val="false"/>
          <w:color w:val="000000"/>
          <w:sz w:val="14"/>
        </w:rPr>
        <w:t xml:space="preserve">® </w:t>
      </w:r>
      <w:r>
        <w:rPr>
          <w:rFonts w:ascii="Century Gothic;sans-serif" w:hAnsi="Century Gothic;sans-serif"/>
          <w:b w:val="false"/>
          <w:color w:val="000000"/>
          <w:sz w:val="22"/>
        </w:rPr>
        <w:t>(teprotumumab-trbw), BLINCYTO</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(blinatumomab), UPLIZNA</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(inebilizumab-cdon), and TAVNEOS</w:t>
      </w:r>
      <w:r>
        <w:rPr>
          <w:rFonts w:ascii="Century Gothic;sans-serif" w:hAnsi="Century Gothic;sans-serif"/>
          <w:b w:val="false"/>
          <w:color w:val="000000"/>
          <w:sz w:val="14"/>
        </w:rPr>
        <w:t xml:space="preserve">® </w:t>
      </w:r>
      <w:r>
        <w:rPr>
          <w:rFonts w:ascii="Century Gothic;sans-serif" w:hAnsi="Century Gothic;sans-serif"/>
          <w:b w:val="false"/>
          <w:color w:val="000000"/>
          <w:sz w:val="22"/>
        </w:rPr>
        <w:t>(avacopan).</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GAAP earnings per share (EPS) increased 14% from $5.22 to $5.93, driven by higher revenues, partially offset by higher operating expenses, including an Otezla</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intangible asset impairment charge of $400 million recorded during the third quarter of 2025.</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 xml:space="preserve">GAAP operating income increased from $2.0 billion to $2.5 billion, and GAAP operating margin increased 2.5 percentage points to 27.6%. </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Non-GAAP EPS increased 1% from $5.58 to $5.64, primarily driven by higher revenues, partially offset by higher operating expenses and a higher effective tax rate.</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Non-GAAP operating income increased from $4.0 billion to $4.3 billion, and non-GAAP operating margin decreased 2.5 percentage points to 47.1%.</w:t>
      </w:r>
    </w:p>
    <w:p>
      <w:pPr>
        <w:pStyle w:val="TextBody"/>
        <w:bidi w:val="0"/>
        <w:spacing w:lineRule="auto" w:line="288" w:before="0" w:after="120"/>
        <w:ind w:left="0" w:right="0" w:hanging="360"/>
        <w:jc w:val="both"/>
        <w:rPr/>
      </w:pPr>
      <w:r>
        <w:rPr>
          <w:color w:val="000000"/>
        </w:rPr>
        <w:t>•</w:t>
      </w:r>
      <w:r>
        <w:rPr>
          <w:rFonts w:ascii="Century Gothic;sans-serif" w:hAnsi="Century Gothic;sans-serif"/>
          <w:b w:val="false"/>
          <w:color w:val="000000"/>
          <w:sz w:val="22"/>
        </w:rPr>
        <w:t>The Company generated $4.2 billion of free cash flow in the third quarter of 2025 versus $3.3 billion in the third quarter of 2024, driven by the timing of working capital items and lower interest payments, partially offset by higher capital expenditures.</w:t>
      </w:r>
    </w:p>
    <w:p>
      <w:pPr>
        <w:pStyle w:val="TextBody"/>
        <w:bidi w:val="0"/>
        <w:spacing w:lineRule="auto" w:line="288" w:before="0" w:after="0"/>
        <w:jc w:val="both"/>
        <w:rPr>
          <w:rFonts w:ascii="Century Gothic;sans-serif" w:hAnsi="Century Gothic;sans-serif"/>
          <w:b w:val="false"/>
          <w:i/>
          <w:color w:val="000000"/>
          <w:sz w:val="18"/>
          <w:shd w:fill="FFFFFF" w:val="clear"/>
        </w:rPr>
      </w:pPr>
      <w:r>
        <w:rPr>
          <w:rFonts w:ascii="Century Gothic;sans-serif" w:hAnsi="Century Gothic;sans-serif"/>
          <w:b w:val="false"/>
          <w:i/>
          <w:color w:val="000000"/>
          <w:sz w:val="18"/>
          <w:shd w:fill="FFFFFF" w:val="clear"/>
        </w:rPr>
        <w:t>References in this release to “non-GAAP” measures, measures presented “on a non-GAAP basis,” and “free cash flow” (computed by subtracting capital expenditures from operating cash flow) refer to non-GAAP financial measures. Adjustments to the most directly comparable GAAP financial measures and other items are presented in the attached reconciliations. Refer to Non-GAAP Financial Measures below for further discussion.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w:t>
      </w: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Product Sales Performance</w:t>
      </w:r>
    </w:p>
    <w:p>
      <w:pPr>
        <w:pStyle w:val="TextBody"/>
        <w:bidi w:val="0"/>
        <w:spacing w:lineRule="auto" w:line="288" w:before="0" w:after="0"/>
        <w:jc w:val="both"/>
        <w:rPr>
          <w:rFonts w:ascii="Century Gothic;sans-serif" w:hAnsi="Century Gothic;sans-serif"/>
          <w:b/>
          <w:i/>
          <w:color w:val="000000"/>
          <w:sz w:val="22"/>
        </w:rPr>
      </w:pPr>
      <w:r>
        <w:rPr>
          <w:rFonts w:ascii="Century Gothic;sans-serif" w:hAnsi="Century Gothic;sans-serif"/>
          <w:b/>
          <w:i/>
          <w:color w:val="000000"/>
          <w:sz w:val="22"/>
        </w:rPr>
        <w:t>General Medicine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Repatha</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(evolocumab)</w:t>
      </w:r>
      <w:r>
        <w:rPr>
          <w:color w:val="000000"/>
        </w:rPr>
        <w:t xml:space="preserve"> </w:t>
      </w:r>
      <w:r>
        <w:rPr>
          <w:rFonts w:ascii="Century Gothic;sans-serif" w:hAnsi="Century Gothic;sans-serif"/>
          <w:b w:val="false"/>
          <w:color w:val="000000"/>
          <w:sz w:val="22"/>
        </w:rPr>
        <w:t>sales increased 40% year-over-year to $794 million in the third quarter primarily driven by volume growth.</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EVENITY</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 xml:space="preserve">(romosozumab-aqqg) </w:t>
      </w:r>
      <w:r>
        <w:rPr>
          <w:rFonts w:ascii="Century Gothic;sans-serif" w:hAnsi="Century Gothic;sans-serif"/>
          <w:b w:val="false"/>
          <w:color w:val="000000"/>
          <w:sz w:val="22"/>
        </w:rPr>
        <w:t xml:space="preserve">sales increased 36% year-over-year to $541 million in the third quarter, driven by volume growth.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Prolia</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(denosumab)</w:t>
      </w:r>
      <w:r>
        <w:rPr>
          <w:color w:val="000000"/>
        </w:rPr>
        <w:t xml:space="preserve"> </w:t>
      </w:r>
      <w:r>
        <w:rPr>
          <w:rFonts w:ascii="Century Gothic;sans-serif" w:hAnsi="Century Gothic;sans-serif"/>
          <w:b w:val="false"/>
          <w:color w:val="000000"/>
          <w:sz w:val="22"/>
        </w:rPr>
        <w:t>sales increased 9% year-over-year to $1.1 billion in the third quarter, primarily driven by 14% favorable changes to estimated sales deductions, partially offset by lower net selling price. For the remainder of 2025, we expect sales erosion driven by biosimilar competition, as biosimilars have launched in the U.S. market.</w: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i/>
          <w:color w:val="000000"/>
          <w:sz w:val="22"/>
        </w:rPr>
      </w:pPr>
      <w:r>
        <w:rPr>
          <w:rFonts w:ascii="Century Gothic;sans-serif" w:hAnsi="Century Gothic;sans-serif"/>
          <w:b/>
          <w:i/>
          <w:color w:val="000000"/>
          <w:sz w:val="22"/>
        </w:rPr>
        <w:t>Rare Disease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TEPEZZA</w:t>
      </w:r>
      <w:r>
        <w:rPr>
          <w:rFonts w:ascii="Century Gothic;sans-serif" w:hAnsi="Century Gothic;sans-serif"/>
          <w:b/>
          <w:color w:val="000000"/>
          <w:sz w:val="13"/>
        </w:rPr>
        <w:t xml:space="preserve">® </w:t>
      </w:r>
      <w:r>
        <w:rPr>
          <w:rFonts w:ascii="Century Gothic;sans-serif" w:hAnsi="Century Gothic;sans-serif"/>
          <w:b/>
          <w:color w:val="000000"/>
          <w:sz w:val="22"/>
        </w:rPr>
        <w:t>(teprotumumab-trbw)</w:t>
      </w:r>
      <w:r>
        <w:rPr>
          <w:color w:val="000000"/>
        </w:rPr>
        <w:t xml:space="preserve"> </w:t>
      </w:r>
      <w:r>
        <w:rPr>
          <w:rFonts w:ascii="Century Gothic;sans-serif" w:hAnsi="Century Gothic;sans-serif"/>
          <w:b w:val="false"/>
          <w:color w:val="000000"/>
          <w:sz w:val="22"/>
        </w:rPr>
        <w:t>sales increased 15% year-over-year to $560 million in the third quarter, driven by higher inventory levels and higher net selling price.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KRYSTEXXA</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(pegloticase)</w:t>
      </w:r>
      <w:r>
        <w:rPr>
          <w:color w:val="000000"/>
        </w:rPr>
        <w:t xml:space="preserve"> </w:t>
      </w:r>
      <w:r>
        <w:rPr>
          <w:rFonts w:ascii="Century Gothic;sans-serif" w:hAnsi="Century Gothic;sans-serif"/>
          <w:b w:val="false"/>
          <w:color w:val="000000"/>
          <w:sz w:val="22"/>
        </w:rPr>
        <w:t>sales increased 3% year-over-year to $320 million in the third quarter, driven by 9% volume growth and 3% higher net selling price, partially offset by 10% lower inventory levels.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UPLIZNA</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(inebilizumab-cdon)</w:t>
      </w:r>
      <w:r>
        <w:rPr>
          <w:color w:val="000000"/>
        </w:rPr>
        <w:t xml:space="preserve"> </w:t>
      </w:r>
      <w:r>
        <w:rPr>
          <w:rFonts w:ascii="Century Gothic;sans-serif" w:hAnsi="Century Gothic;sans-serif"/>
          <w:b w:val="false"/>
          <w:color w:val="000000"/>
          <w:sz w:val="22"/>
        </w:rPr>
        <w:t xml:space="preserve">sales increased 46% year-over-year to $155 million in the third quarter, primarily driven by volume growth. Year-over-year sales were impacted by the timing of shipments to our ex-U.S. partner, as shipments similar to those that occurred in the third quarter of 2024 occurred in the second quarter of 2025. Excluding these shipments, sales grew by 101% year-over-year in the third quarter.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TAVNEOS</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(avacopan)</w:t>
      </w:r>
      <w:r>
        <w:rPr>
          <w:color w:val="000000"/>
        </w:rPr>
        <w:t xml:space="preserve"> </w:t>
      </w:r>
      <w:r>
        <w:rPr>
          <w:rFonts w:ascii="Century Gothic;sans-serif" w:hAnsi="Century Gothic;sans-serif"/>
          <w:b w:val="false"/>
          <w:color w:val="000000"/>
          <w:sz w:val="22"/>
        </w:rPr>
        <w:t xml:space="preserve">sales increased 34% year-over-year to $107 million in the third quarter, driven by 66% volume growth, partially offset by 16% lower inventory levels and 10% lower net selling price.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Ultra-Rare products</w:t>
      </w:r>
      <w:r>
        <w:rPr>
          <w:rFonts w:ascii="Century Gothic;sans-serif" w:hAnsi="Century Gothic;sans-serif"/>
          <w:b w:val="false"/>
          <w:color w:val="000000"/>
          <w:sz w:val="22"/>
        </w:rPr>
        <w:t xml:space="preserve">, which consist of </w:t>
      </w:r>
      <w:r>
        <w:rPr>
          <w:rFonts w:ascii="Century Gothic;sans-serif" w:hAnsi="Century Gothic;sans-serif"/>
          <w:b/>
          <w:color w:val="000000"/>
          <w:sz w:val="24"/>
        </w:rPr>
        <w:t>RAVICTI</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4"/>
        </w:rPr>
        <w:t>(glycerol phenylbutyrate)</w:t>
      </w:r>
      <w:r>
        <w:rPr>
          <w:rFonts w:ascii="Century Gothic;sans-serif" w:hAnsi="Century Gothic;sans-serif"/>
          <w:b w:val="false"/>
          <w:color w:val="000000"/>
          <w:sz w:val="22"/>
        </w:rPr>
        <w:t xml:space="preserve">, </w:t>
      </w:r>
      <w:r>
        <w:rPr>
          <w:rFonts w:ascii="Century Gothic;sans-serif" w:hAnsi="Century Gothic;sans-serif"/>
          <w:b/>
          <w:color w:val="000000"/>
          <w:sz w:val="24"/>
        </w:rPr>
        <w:t>PROCYSBI</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4"/>
        </w:rPr>
        <w:t>(cysteamine bitartrate)</w:t>
      </w:r>
      <w:r>
        <w:rPr>
          <w:rFonts w:ascii="Century Gothic;sans-serif" w:hAnsi="Century Gothic;sans-serif"/>
          <w:b w:val="false"/>
          <w:color w:val="000000"/>
          <w:sz w:val="22"/>
        </w:rPr>
        <w:t xml:space="preserve">, </w:t>
      </w:r>
      <w:r>
        <w:rPr>
          <w:rFonts w:ascii="Century Gothic;sans-serif" w:hAnsi="Century Gothic;sans-serif"/>
          <w:b/>
          <w:color w:val="000000"/>
          <w:sz w:val="24"/>
        </w:rPr>
        <w:t>ACTIMMUNE</w:t>
      </w:r>
      <w:r>
        <w:rPr>
          <w:rFonts w:ascii="Century Gothic;sans-serif" w:hAnsi="Century Gothic;sans-serif"/>
          <w:b w:val="false"/>
          <w:color w:val="000000"/>
          <w:sz w:val="13"/>
        </w:rPr>
        <w:t>®</w:t>
      </w:r>
      <w:r>
        <w:rPr>
          <w:color w:val="000000"/>
        </w:rPr>
        <w:t xml:space="preserve"> </w:t>
      </w:r>
      <w:r>
        <w:rPr>
          <w:rFonts w:ascii="Century Gothic;sans-serif" w:hAnsi="Century Gothic;sans-serif"/>
          <w:b/>
          <w:color w:val="000000"/>
          <w:sz w:val="24"/>
        </w:rPr>
        <w:t>(interferon gamma-1b)</w:t>
      </w:r>
      <w:r>
        <w:rPr>
          <w:rFonts w:ascii="Century Gothic;sans-serif" w:hAnsi="Century Gothic;sans-serif"/>
          <w:b w:val="false"/>
          <w:color w:val="000000"/>
          <w:sz w:val="22"/>
        </w:rPr>
        <w:t xml:space="preserve">, </w:t>
      </w:r>
      <w:r>
        <w:rPr>
          <w:rFonts w:ascii="Century Gothic;sans-serif" w:hAnsi="Century Gothic;sans-serif"/>
          <w:b/>
          <w:color w:val="000000"/>
          <w:sz w:val="24"/>
        </w:rPr>
        <w:t>BUPHENYL</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4"/>
        </w:rPr>
        <w:t>(sodium phenylbutyrate)</w:t>
      </w:r>
      <w:r>
        <w:rPr>
          <w:rFonts w:ascii="Century Gothic;sans-serif" w:hAnsi="Century Gothic;sans-serif"/>
          <w:b w:val="false"/>
          <w:color w:val="000000"/>
          <w:sz w:val="22"/>
        </w:rPr>
        <w:t>, and</w:t>
      </w:r>
      <w:r>
        <w:rPr>
          <w:color w:val="000000"/>
        </w:rPr>
        <w:t xml:space="preserve"> </w:t>
      </w:r>
      <w:r>
        <w:rPr>
          <w:rFonts w:ascii="Century Gothic;sans-serif" w:hAnsi="Century Gothic;sans-serif"/>
          <w:b/>
          <w:color w:val="000000"/>
          <w:sz w:val="24"/>
        </w:rPr>
        <w:t>QUINSAIR</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4"/>
        </w:rPr>
        <w:t xml:space="preserve">(levofloxacin) </w:t>
      </w:r>
      <w:r>
        <w:rPr>
          <w:rFonts w:ascii="Century Gothic;sans-serif" w:hAnsi="Century Gothic;sans-serif"/>
          <w:b w:val="false"/>
          <w:color w:val="000000"/>
          <w:sz w:val="22"/>
        </w:rPr>
        <w:t xml:space="preserve">generated $200 million of sales in the third quarter. Sales increased 6% year-over-year for the third quarter, primarily driven by higher inventory levels. </w: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i/>
          <w:color w:val="000000"/>
          <w:sz w:val="22"/>
        </w:rPr>
      </w:pPr>
      <w:r>
        <w:rPr>
          <w:rFonts w:ascii="Century Gothic;sans-serif" w:hAnsi="Century Gothic;sans-serif"/>
          <w:b/>
          <w:i/>
          <w:color w:val="000000"/>
          <w:sz w:val="22"/>
        </w:rPr>
        <w:t>Inflammation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TEZSPIRE</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(tezepelumab-ekko)</w:t>
      </w:r>
      <w:r>
        <w:rPr>
          <w:color w:val="000000"/>
        </w:rPr>
        <w:t xml:space="preserve"> </w:t>
      </w:r>
      <w:r>
        <w:rPr>
          <w:rFonts w:ascii="Century Gothic;sans-serif" w:hAnsi="Century Gothic;sans-serif"/>
          <w:b w:val="false"/>
          <w:color w:val="000000"/>
          <w:sz w:val="22"/>
        </w:rPr>
        <w:t>sales increased 40% year-over-year to $377 million in the third quarter, driven by 48% volume growth, partially offset by lower net selling price.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Otezla</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 xml:space="preserve">(apremilast) </w:t>
      </w:r>
      <w:r>
        <w:rPr>
          <w:rFonts w:ascii="Century Gothic;sans-serif" w:hAnsi="Century Gothic;sans-serif"/>
          <w:b w:val="false"/>
          <w:color w:val="000000"/>
          <w:sz w:val="22"/>
        </w:rPr>
        <w:t>sales increased 4% year-over-year to $585 million in the third quarter, primarily driven by 6% volume growth and 5% favorable changes to estimated sales deductions, partially offset by 5% lower net selling price.</w:t>
      </w:r>
    </w:p>
    <w:p>
      <w:pPr>
        <w:pStyle w:val="TextBody"/>
        <w:bidi w:val="0"/>
        <w:spacing w:before="0" w:after="0"/>
        <w:jc w:val="left"/>
        <w:rPr/>
      </w:pPr>
      <w:r>
        <w:rPr/>
      </w:r>
    </w:p>
    <w:p>
      <w:pPr>
        <w:pStyle w:val="TextBody"/>
        <w:bidi w:val="0"/>
        <w:spacing w:lineRule="auto" w:line="288"/>
        <w:ind w:left="0" w:right="0" w:hanging="360"/>
        <w:jc w:val="both"/>
        <w:rPr/>
      </w:pPr>
      <w:r>
        <w:rPr>
          <w:color w:val="000000"/>
        </w:rPr>
        <w:t>•</w:t>
      </w:r>
      <w:r>
        <w:rPr>
          <w:rFonts w:ascii="Century Gothic;sans-serif" w:hAnsi="Century Gothic;sans-serif"/>
          <w:b/>
          <w:color w:val="000000"/>
          <w:sz w:val="22"/>
        </w:rPr>
        <w:t>Enbrel</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 xml:space="preserve">(etanercept) </w:t>
      </w:r>
      <w:r>
        <w:rPr>
          <w:rFonts w:ascii="Century Gothic;sans-serif" w:hAnsi="Century Gothic;sans-serif"/>
          <w:b w:val="false"/>
          <w:color w:val="000000"/>
          <w:sz w:val="22"/>
        </w:rPr>
        <w:t xml:space="preserve">sales decreased 30% year-over-year to $580 million in the third quarter, primarily driven by 38% lower net selling price resulting from the impact of the U.S.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3</w:t>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 xml:space="preserve">Medicare Part D redesign and increased 340B Program mix, partially offset by favorable changes to estimated sales deductions and volume growth.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AMJEVITA</w:t>
      </w:r>
      <w:r>
        <w:rPr>
          <w:rFonts w:ascii="Century Gothic;sans-serif" w:hAnsi="Century Gothic;sans-serif"/>
          <w:b/>
          <w:color w:val="000000"/>
          <w:sz w:val="13"/>
        </w:rPr>
        <w:t xml:space="preserve">® </w:t>
      </w:r>
      <w:r>
        <w:rPr>
          <w:rFonts w:ascii="Century Gothic;sans-serif" w:hAnsi="Century Gothic;sans-serif"/>
          <w:b/>
          <w:color w:val="000000"/>
          <w:sz w:val="22"/>
        </w:rPr>
        <w:t xml:space="preserve">(adalimumab-atto)/AMGEVITA™ (adalimumab) </w:t>
      </w:r>
      <w:r>
        <w:rPr>
          <w:rFonts w:ascii="Century Gothic;sans-serif" w:hAnsi="Century Gothic;sans-serif"/>
          <w:b w:val="false"/>
          <w:color w:val="000000"/>
          <w:sz w:val="22"/>
        </w:rPr>
        <w:t xml:space="preserve">sales decreased 7% year-over-year to $154 million in the third quarter, driven by unfavorable changes to estimated sales deductions.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PAVBLU</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(aflibercept-ayyh)</w:t>
      </w:r>
      <w:r>
        <w:rPr>
          <w:color w:val="000000"/>
        </w:rPr>
        <w:t xml:space="preserve"> </w:t>
      </w:r>
      <w:r>
        <w:rPr>
          <w:rFonts w:ascii="Century Gothic;sans-serif" w:hAnsi="Century Gothic;sans-serif"/>
          <w:b w:val="false"/>
          <w:color w:val="000000"/>
          <w:sz w:val="22"/>
        </w:rPr>
        <w:t>generated $213 million of sales in the third quarter.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WEZLANA</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(ustekinumab-auub)/WEZENLA™ (ustekinumab)</w:t>
      </w:r>
      <w:r>
        <w:rPr>
          <w:color w:val="000000"/>
        </w:rPr>
        <w:t xml:space="preserve"> </w:t>
      </w:r>
      <w:r>
        <w:rPr>
          <w:rFonts w:ascii="Century Gothic;sans-serif" w:hAnsi="Century Gothic;sans-serif"/>
          <w:b w:val="false"/>
          <w:color w:val="000000"/>
          <w:sz w:val="22"/>
        </w:rPr>
        <w:t>generated $44 million of sales in the third quarter.</w: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i/>
          <w:color w:val="000000"/>
          <w:sz w:val="22"/>
        </w:rPr>
      </w:pPr>
      <w:r>
        <w:rPr>
          <w:rFonts w:ascii="Century Gothic;sans-serif" w:hAnsi="Century Gothic;sans-serif"/>
          <w:b/>
          <w:i/>
          <w:color w:val="000000"/>
          <w:sz w:val="22"/>
        </w:rPr>
        <w:t>Oncology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BLINCYTO</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(blinatumomab)</w:t>
      </w:r>
      <w:r>
        <w:rPr>
          <w:color w:val="000000"/>
        </w:rPr>
        <w:t xml:space="preserve"> </w:t>
      </w:r>
      <w:r>
        <w:rPr>
          <w:rFonts w:ascii="Century Gothic;sans-serif" w:hAnsi="Century Gothic;sans-serif"/>
          <w:b w:val="false"/>
          <w:color w:val="000000"/>
          <w:sz w:val="22"/>
        </w:rPr>
        <w:t xml:space="preserve">sales increased 20% year-over-year to $392 million in the third quarter, driven by 31% volume growth, partially offset by lower inventory levels.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Vectibix</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(panitumumab)</w:t>
      </w:r>
      <w:r>
        <w:rPr>
          <w:color w:val="000000"/>
        </w:rPr>
        <w:t xml:space="preserve"> </w:t>
      </w:r>
      <w:r>
        <w:rPr>
          <w:rFonts w:ascii="Century Gothic;sans-serif" w:hAnsi="Century Gothic;sans-serif"/>
          <w:b w:val="false"/>
          <w:color w:val="000000"/>
          <w:sz w:val="22"/>
        </w:rPr>
        <w:t xml:space="preserve">sales increased 1% year-over-year to $284 million in the third quarter.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KYPROLIS</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(carfilzomib)</w:t>
      </w:r>
      <w:r>
        <w:rPr>
          <w:color w:val="000000"/>
        </w:rPr>
        <w:t xml:space="preserve"> </w:t>
      </w:r>
      <w:r>
        <w:rPr>
          <w:rFonts w:ascii="Century Gothic;sans-serif" w:hAnsi="Century Gothic;sans-serif"/>
          <w:b w:val="false"/>
          <w:color w:val="000000"/>
          <w:sz w:val="22"/>
        </w:rPr>
        <w:t>sales decreased 5% year-over-year to $359 million in the third quarter, driven by lower volume.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LUMAKRAS</w:t>
      </w:r>
      <w:r>
        <w:rPr>
          <w:rFonts w:ascii="Century Gothic;sans-serif" w:hAnsi="Century Gothic;sans-serif"/>
          <w:b/>
          <w:color w:val="000000"/>
          <w:sz w:val="13"/>
        </w:rPr>
        <w:t>®</w:t>
      </w:r>
      <w:r>
        <w:rPr>
          <w:rFonts w:ascii="Century Gothic;sans-serif" w:hAnsi="Century Gothic;sans-serif"/>
          <w:b/>
          <w:color w:val="000000"/>
          <w:sz w:val="22"/>
        </w:rPr>
        <w:t xml:space="preserve">/LUMYKRAS™ (sotorasib) </w:t>
      </w:r>
      <w:r>
        <w:rPr>
          <w:rFonts w:ascii="Century Gothic;sans-serif" w:hAnsi="Century Gothic;sans-serif"/>
          <w:b w:val="false"/>
          <w:color w:val="000000"/>
          <w:sz w:val="22"/>
        </w:rPr>
        <w:t>sales decreased 2% year-over-year to $96 million in the third quarter.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XGEVA</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 xml:space="preserve">(denosumab) </w:t>
      </w:r>
      <w:r>
        <w:rPr>
          <w:rFonts w:ascii="Century Gothic;sans-serif" w:hAnsi="Century Gothic;sans-serif"/>
          <w:b w:val="false"/>
          <w:color w:val="000000"/>
          <w:sz w:val="22"/>
        </w:rPr>
        <w:t>sales were flat year-over-year at $539 million in the third quarter, as 6% favorable changes to estimated sales deductions were offset by 3% lower volume and lower inventory levels. For the remainder of 2025, we expect sales erosion driven by biosimilar competition, as biosimilars have launched in the U.S. market.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Nplate</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(romiplostim)</w:t>
      </w:r>
      <w:r>
        <w:rPr>
          <w:color w:val="000000"/>
        </w:rPr>
        <w:t xml:space="preserve"> </w:t>
      </w:r>
      <w:r>
        <w:rPr>
          <w:rFonts w:ascii="Century Gothic;sans-serif" w:hAnsi="Century Gothic;sans-serif"/>
          <w:b w:val="false"/>
          <w:color w:val="000000"/>
          <w:sz w:val="22"/>
        </w:rPr>
        <w:t>sales were flat year-over-year at $457 million in the third quarter. U.S. government orders were $90 million in Q3’25 compared to $128 million in Q3’24. Excluding these U.S. government orders, Nplate sales increased 12% year-over-year, driven by volume growth.</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IMDELLTRA</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(tarlatamab-dlle)/IMDYLLTRA™ (tarlatamab)</w:t>
      </w:r>
      <w:r>
        <w:rPr>
          <w:color w:val="000000"/>
        </w:rPr>
        <w:t xml:space="preserve"> </w:t>
      </w:r>
      <w:r>
        <w:rPr>
          <w:rFonts w:ascii="Century Gothic;sans-serif" w:hAnsi="Century Gothic;sans-serif"/>
          <w:b w:val="false"/>
          <w:color w:val="000000"/>
          <w:sz w:val="22"/>
        </w:rPr>
        <w:t xml:space="preserve">generated $178 million of sales in the third quarter. Sales increased 33% quarter-over-quarter, primarily driven by volume growth.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MVASI</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2"/>
        </w:rPr>
        <w:t xml:space="preserve">(bevacizumab-awwb) </w:t>
      </w:r>
      <w:r>
        <w:rPr>
          <w:rFonts w:ascii="Century Gothic;sans-serif" w:hAnsi="Century Gothic;sans-serif"/>
          <w:b w:val="false"/>
          <w:color w:val="000000"/>
          <w:sz w:val="22"/>
        </w:rPr>
        <w:t xml:space="preserve">sales increased 9% year-over-year to $213 million in the third quarter, driven by favorable changes to estimated sales deductions. </w: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i/>
          <w:color w:val="000000"/>
          <w:sz w:val="22"/>
        </w:rPr>
      </w:pPr>
      <w:r>
        <w:rPr>
          <w:rFonts w:ascii="Century Gothic;sans-serif" w:hAnsi="Century Gothic;sans-serif"/>
          <w:b/>
          <w:i/>
          <w:color w:val="000000"/>
          <w:sz w:val="22"/>
        </w:rPr>
        <w:t>Established Products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Century Gothic;sans-serif" w:hAnsi="Century Gothic;sans-serif"/>
          <w:b w:val="false"/>
          <w:color w:val="000000"/>
          <w:sz w:val="22"/>
        </w:rPr>
        <w:t xml:space="preserve">Our established products, which consist of </w:t>
      </w:r>
      <w:r>
        <w:rPr>
          <w:rFonts w:ascii="Century Gothic;sans-serif" w:hAnsi="Century Gothic;sans-serif"/>
          <w:b/>
          <w:color w:val="000000"/>
          <w:sz w:val="24"/>
        </w:rPr>
        <w:t>Aranesp</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4"/>
        </w:rPr>
        <w:t>(darbepoetin alfa)</w:t>
      </w:r>
      <w:r>
        <w:rPr>
          <w:rFonts w:ascii="Century Gothic;sans-serif" w:hAnsi="Century Gothic;sans-serif"/>
          <w:b w:val="false"/>
          <w:color w:val="000000"/>
          <w:sz w:val="22"/>
        </w:rPr>
        <w:t>,</w:t>
      </w:r>
      <w:r>
        <w:rPr>
          <w:color w:val="000000"/>
        </w:rPr>
        <w:t xml:space="preserve"> </w:t>
      </w:r>
      <w:r>
        <w:rPr>
          <w:rFonts w:ascii="Century Gothic;sans-serif" w:hAnsi="Century Gothic;sans-serif"/>
          <w:b/>
          <w:color w:val="000000"/>
          <w:sz w:val="24"/>
        </w:rPr>
        <w:t>Parsabiv</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4"/>
        </w:rPr>
        <w:t>(etelcalcetide)</w:t>
      </w:r>
      <w:r>
        <w:rPr>
          <w:rFonts w:ascii="Century Gothic;sans-serif" w:hAnsi="Century Gothic;sans-serif"/>
          <w:b w:val="false"/>
          <w:color w:val="000000"/>
          <w:sz w:val="24"/>
        </w:rPr>
        <w:t>,</w:t>
      </w:r>
      <w:r>
        <w:rPr>
          <w:color w:val="000000"/>
        </w:rPr>
        <w:t xml:space="preserve"> </w:t>
      </w:r>
      <w:r>
        <w:rPr>
          <w:rFonts w:ascii="Century Gothic;sans-serif" w:hAnsi="Century Gothic;sans-serif"/>
          <w:b w:val="false"/>
          <w:color w:val="000000"/>
          <w:sz w:val="24"/>
        </w:rPr>
        <w:t>and</w:t>
      </w:r>
      <w:r>
        <w:rPr>
          <w:color w:val="000000"/>
        </w:rPr>
        <w:t xml:space="preserve"> </w:t>
      </w:r>
      <w:r>
        <w:rPr>
          <w:rFonts w:ascii="Century Gothic;sans-serif" w:hAnsi="Century Gothic;sans-serif"/>
          <w:b/>
          <w:color w:val="000000"/>
          <w:sz w:val="24"/>
        </w:rPr>
        <w:t>Neulasta</w:t>
      </w:r>
      <w:r>
        <w:rPr>
          <w:rFonts w:ascii="Century Gothic;sans-serif" w:hAnsi="Century Gothic;sans-serif"/>
          <w:b/>
          <w:color w:val="000000"/>
          <w:sz w:val="13"/>
        </w:rPr>
        <w:t>®</w:t>
      </w:r>
      <w:r>
        <w:rPr>
          <w:color w:val="000000"/>
        </w:rPr>
        <w:t xml:space="preserve"> </w:t>
      </w:r>
      <w:r>
        <w:rPr>
          <w:rFonts w:ascii="Century Gothic;sans-serif" w:hAnsi="Century Gothic;sans-serif"/>
          <w:b/>
          <w:color w:val="000000"/>
          <w:sz w:val="24"/>
        </w:rPr>
        <w:t xml:space="preserve">(pegfilgrastim), </w:t>
      </w:r>
      <w:r>
        <w:rPr>
          <w:rFonts w:ascii="Century Gothic;sans-serif" w:hAnsi="Century Gothic;sans-serif"/>
          <w:b w:val="false"/>
          <w:color w:val="000000"/>
          <w:sz w:val="22"/>
        </w:rPr>
        <w:t>generated $533 million of sales in the third quarter. Sales increased 3% year-over-year for the third quarter, driven by 9% favorable changes to estimated sales deductions and 5% volume growth, partially offset by lower net selling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4</w:t>
      </w: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Product Sales Detail by Product and Geographic Region</w:t>
      </w:r>
    </w:p>
    <w:tbl>
      <w:tblPr>
        <w:tblW w:w="10205" w:type="dxa"/>
        <w:jc w:val="left"/>
        <w:tblInd w:w="0" w:type="dxa"/>
        <w:tblLayout w:type="fixed"/>
        <w:tblCellMar>
          <w:top w:w="28" w:type="dxa"/>
          <w:left w:w="28" w:type="dxa"/>
          <w:bottom w:w="28" w:type="dxa"/>
          <w:right w:w="28" w:type="dxa"/>
        </w:tblCellMar>
      </w:tblPr>
      <w:tblGrid>
        <w:gridCol w:w="804"/>
        <w:gridCol w:w="684"/>
        <w:gridCol w:w="686"/>
        <w:gridCol w:w="131"/>
        <w:gridCol w:w="131"/>
        <w:gridCol w:w="131"/>
        <w:gridCol w:w="272"/>
        <w:gridCol w:w="852"/>
        <w:gridCol w:w="131"/>
        <w:gridCol w:w="131"/>
        <w:gridCol w:w="131"/>
        <w:gridCol w:w="131"/>
        <w:gridCol w:w="272"/>
        <w:gridCol w:w="852"/>
        <w:gridCol w:w="131"/>
        <w:gridCol w:w="131"/>
        <w:gridCol w:w="131"/>
        <w:gridCol w:w="131"/>
        <w:gridCol w:w="272"/>
        <w:gridCol w:w="852"/>
        <w:gridCol w:w="131"/>
        <w:gridCol w:w="131"/>
        <w:gridCol w:w="131"/>
        <w:gridCol w:w="131"/>
        <w:gridCol w:w="272"/>
        <w:gridCol w:w="852"/>
        <w:gridCol w:w="131"/>
        <w:gridCol w:w="131"/>
        <w:gridCol w:w="131"/>
        <w:gridCol w:w="131"/>
        <w:gridCol w:w="300"/>
        <w:gridCol w:w="300"/>
        <w:gridCol w:w="446"/>
      </w:tblGrid>
      <w:tr>
        <w:trPr/>
        <w:tc>
          <w:tcPr>
            <w:tcW w:w="80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$Millions, except percentages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Q3 ’25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Q3 ’24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YOY Δ</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Century Gothic;sans-serif" w:hAnsi="Century Gothic;sans-serif"/>
                <w:b/>
                <w:color w:val="000000"/>
                <w:sz w:val="20"/>
              </w:rPr>
            </w:pPr>
            <w:r>
              <w:rPr>
                <w:rFonts w:ascii="Century Gothic;sans-serif" w:hAnsi="Century Gothic;sans-serif"/>
                <w:b/>
                <w:color w:val="000000"/>
                <w:sz w:val="20"/>
              </w:rPr>
              <w:t>U.S.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ROW</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TOTAL</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TOTAL</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TOTAL</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Repatha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442 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352 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794 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567 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40%</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EVENITY</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417 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399 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36%</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Prolia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806 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1,139 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1,045 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9%</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TEPEZZA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518 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560 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488 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15%</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KRYSTEXXA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320 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320 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UPLIZNA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46%</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TAVNEOS</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34%</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Ultra-Rare products</w:t>
            </w:r>
            <w:r>
              <w:rPr>
                <w:rFonts w:ascii="Century Gothic;sans-serif" w:hAnsi="Century Gothic;sans-serif"/>
                <w:b w:val="false"/>
                <w:color w:val="000000"/>
                <w:sz w:val="13"/>
              </w:rPr>
              <w:t>(1)</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6%</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TEZSPIRE</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377 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377 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269 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40%</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Otezla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473 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585 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564 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4%</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Enbrel</w:t>
            </w:r>
            <w:r>
              <w:rPr>
                <w:rFonts w:ascii="Century Gothic;sans-serif" w:hAnsi="Century Gothic;sans-serif"/>
                <w:b w:val="false"/>
                <w:color w:val="000000"/>
                <w:sz w:val="13"/>
              </w:rPr>
              <w:t>®</w:t>
            </w:r>
            <w:r>
              <w:rPr>
                <w:color w:val="000000"/>
              </w:rPr>
              <w:t>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574 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580 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825 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(30%)</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AMJEVITA</w:t>
            </w:r>
            <w:r>
              <w:rPr>
                <w:rFonts w:ascii="Century Gothic;sans-serif" w:hAnsi="Century Gothic;sans-serif"/>
                <w:b w:val="false"/>
                <w:color w:val="000000"/>
                <w:sz w:val="13"/>
              </w:rPr>
              <w:t>®</w:t>
            </w:r>
            <w:r>
              <w:rPr>
                <w:rFonts w:ascii="Century Gothic;sans-serif" w:hAnsi="Century Gothic;sans-serif"/>
                <w:b w:val="false"/>
                <w:color w:val="000000"/>
                <w:sz w:val="20"/>
              </w:rPr>
              <w:t>/AMGEVITA</w:t>
            </w: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(7%)</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PAVBLU</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212 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213 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N/A</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WEZLANA</w:t>
            </w:r>
            <w:r>
              <w:rPr>
                <w:rFonts w:ascii="Century Gothic;sans-serif" w:hAnsi="Century Gothic;sans-serif"/>
                <w:b w:val="false"/>
                <w:color w:val="000000"/>
                <w:sz w:val="13"/>
              </w:rPr>
              <w:t>®</w:t>
            </w:r>
            <w:r>
              <w:rPr>
                <w:rFonts w:ascii="Century Gothic;sans-serif" w:hAnsi="Century Gothic;sans-serif"/>
                <w:b w:val="false"/>
                <w:color w:val="000000"/>
                <w:sz w:val="20"/>
              </w:rPr>
              <w:t>/WEZENLA</w:t>
            </w: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BLINCYTO</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392 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327 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20%</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Vectibix</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KYPROLIS</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225 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378 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(5%)</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LUMAKRAS</w:t>
            </w:r>
            <w:r>
              <w:rPr>
                <w:rFonts w:ascii="Century Gothic;sans-serif" w:hAnsi="Century Gothic;sans-serif"/>
                <w:b w:val="false"/>
                <w:color w:val="000000"/>
                <w:sz w:val="13"/>
              </w:rPr>
              <w:t>®</w:t>
            </w:r>
            <w:r>
              <w:rPr>
                <w:rFonts w:ascii="Century Gothic;sans-serif" w:hAnsi="Century Gothic;sans-serif"/>
                <w:b w:val="false"/>
                <w:color w:val="000000"/>
                <w:sz w:val="20"/>
              </w:rPr>
              <w:t>/LUMYKRAS</w:t>
            </w: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XGEVA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Nplate</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457 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456 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IMDELLTRA</w:t>
            </w:r>
            <w:r>
              <w:rPr>
                <w:rFonts w:ascii="Century Gothic;sans-serif" w:hAnsi="Century Gothic;sans-serif"/>
                <w:b w:val="false"/>
                <w:color w:val="000000"/>
                <w:sz w:val="13"/>
              </w:rPr>
              <w:t>®</w:t>
            </w:r>
            <w:r>
              <w:rPr>
                <w:rFonts w:ascii="Century Gothic;sans-serif" w:hAnsi="Century Gothic;sans-serif"/>
                <w:b w:val="false"/>
                <w:color w:val="000000"/>
                <w:sz w:val="20"/>
              </w:rPr>
              <w:t>/IMDYLLTRA</w:t>
            </w: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MVASI</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213 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9%</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Aranesp</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6%</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Parsabiv</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20%</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Neulasta</w:t>
            </w:r>
            <w:r>
              <w:rPr>
                <w:rFonts w:ascii="Century Gothic;sans-serif" w:hAnsi="Century Gothic;sans-serif"/>
                <w:b w:val="false"/>
                <w:color w:val="000000"/>
                <w:sz w:val="13"/>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(16%)</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20"/>
              </w:rPr>
              <w:t>Other products</w:t>
            </w:r>
            <w:r>
              <w:rPr>
                <w:rFonts w:ascii="Century Gothic;sans-serif" w:hAnsi="Century Gothic;sans-serif"/>
                <w:b w:val="false"/>
                <w:color w:val="000000"/>
                <w:sz w:val="13"/>
              </w:rPr>
              <w:t>(2)</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267 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317 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309 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product sales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6,751 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2,386 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9,137 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8,151 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12%</w:t>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20"/>
              </w:rPr>
            </w:pPr>
            <w:r>
              <w:rPr>
                <w:rFonts w:ascii="Century Gothic;sans-serif" w:hAnsi="Century Gothic;sans-serif"/>
                <w:b w:val="false"/>
                <w:color w:val="000000"/>
                <w:sz w:val="20"/>
              </w:rPr>
              <w:t>N/A = not applicable</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20"/>
              </w:rPr>
            </w:pPr>
            <w:r>
              <w:rPr>
                <w:rFonts w:ascii="Century Gothic;sans-serif" w:hAnsi="Century Gothic;sans-serif"/>
                <w:b w:val="false"/>
                <w:color w:val="000000"/>
                <w:sz w:val="20"/>
              </w:rPr>
              <w:t>* Change in excess of 100%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40"/>
              <w:jc w:val="both"/>
              <w:rPr/>
            </w:pPr>
            <w:r>
              <w:rPr>
                <w:rFonts w:ascii="Century Gothic;sans-serif" w:hAnsi="Century Gothic;sans-serif"/>
                <w:b w:val="false"/>
                <w:color w:val="000000"/>
                <w:sz w:val="13"/>
              </w:rPr>
              <w:t>(1)</w:t>
            </w:r>
            <w:r>
              <w:rPr>
                <w:color w:val="000000"/>
              </w:rPr>
              <w:t xml:space="preserve"> </w:t>
            </w:r>
            <w:r>
              <w:rPr>
                <w:rFonts w:ascii="Century Gothic;sans-serif" w:hAnsi="Century Gothic;sans-serif"/>
                <w:b w:val="false"/>
                <w:color w:val="000000"/>
                <w:sz w:val="20"/>
              </w:rPr>
              <w:t>Ultra-Rare products consist of RAVICTI</w:t>
            </w:r>
            <w:r>
              <w:rPr>
                <w:rFonts w:ascii="Century Gothic;sans-serif" w:hAnsi="Century Gothic;sans-serif"/>
                <w:b w:val="false"/>
                <w:color w:val="000000"/>
                <w:sz w:val="13"/>
              </w:rPr>
              <w:t>®</w:t>
            </w:r>
            <w:r>
              <w:rPr>
                <w:rFonts w:ascii="Century Gothic;sans-serif" w:hAnsi="Century Gothic;sans-serif"/>
                <w:b w:val="false"/>
                <w:color w:val="000000"/>
                <w:sz w:val="20"/>
              </w:rPr>
              <w:t>, PROCYSBI</w:t>
            </w:r>
            <w:r>
              <w:rPr>
                <w:rFonts w:ascii="Century Gothic;sans-serif" w:hAnsi="Century Gothic;sans-serif"/>
                <w:b w:val="false"/>
                <w:color w:val="000000"/>
                <w:sz w:val="13"/>
              </w:rPr>
              <w:t>®</w:t>
            </w:r>
            <w:r>
              <w:rPr>
                <w:rFonts w:ascii="Century Gothic;sans-serif" w:hAnsi="Century Gothic;sans-serif"/>
                <w:b w:val="false"/>
                <w:color w:val="000000"/>
                <w:sz w:val="20"/>
              </w:rPr>
              <w:t>, ACTIMMUNE</w:t>
            </w:r>
            <w:r>
              <w:rPr>
                <w:rFonts w:ascii="Century Gothic;sans-serif" w:hAnsi="Century Gothic;sans-serif"/>
                <w:b w:val="false"/>
                <w:color w:val="000000"/>
                <w:sz w:val="13"/>
              </w:rPr>
              <w:t>®</w:t>
            </w:r>
            <w:r>
              <w:rPr>
                <w:rFonts w:ascii="Century Gothic;sans-serif" w:hAnsi="Century Gothic;sans-serif"/>
                <w:b w:val="false"/>
                <w:color w:val="000000"/>
                <w:sz w:val="20"/>
              </w:rPr>
              <w:t>, BUPHENYL</w:t>
            </w:r>
            <w:r>
              <w:rPr>
                <w:rFonts w:ascii="Century Gothic;sans-serif" w:hAnsi="Century Gothic;sans-serif"/>
                <w:b w:val="false"/>
                <w:color w:val="000000"/>
                <w:sz w:val="13"/>
              </w:rPr>
              <w:t>®</w:t>
            </w:r>
            <w:r>
              <w:rPr>
                <w:color w:val="000000"/>
              </w:rPr>
              <w:t xml:space="preserve"> </w:t>
            </w:r>
            <w:r>
              <w:rPr>
                <w:rFonts w:ascii="Century Gothic;sans-serif" w:hAnsi="Century Gothic;sans-serif"/>
                <w:b w:val="false"/>
                <w:color w:val="000000"/>
                <w:sz w:val="20"/>
              </w:rPr>
              <w:t>and QUINSAIR</w:t>
            </w:r>
            <w:r>
              <w:rPr>
                <w:rFonts w:ascii="Century Gothic;sans-serif" w:hAnsi="Century Gothic;sans-serif"/>
                <w:b w:val="false"/>
                <w:color w:val="000000"/>
                <w:sz w:val="13"/>
              </w:rPr>
              <w:t xml:space="preserve">® </w:t>
            </w:r>
            <w:r>
              <w:rPr>
                <w:rFonts w:ascii="Century Gothic;sans-serif" w:hAnsi="Century Gothic;sans-serif"/>
                <w:b w:val="false"/>
                <w:color w:val="000000"/>
                <w:sz w:val="20"/>
              </w:rPr>
              <w:t>.</w:t>
            </w:r>
          </w:p>
        </w:tc>
      </w:tr>
      <w:tr>
        <w:trPr/>
        <w:tc>
          <w:tcPr>
            <w:tcW w:w="10205" w:type="dxa"/>
            <w:gridSpan w:val="3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40"/>
              <w:jc w:val="both"/>
              <w:rPr/>
            </w:pPr>
            <w:r>
              <w:rPr>
                <w:rFonts w:ascii="Century Gothic;sans-serif" w:hAnsi="Century Gothic;sans-serif"/>
                <w:b w:val="false"/>
                <w:color w:val="000000"/>
                <w:sz w:val="13"/>
              </w:rPr>
              <w:t>(2)</w:t>
            </w:r>
            <w:r>
              <w:rPr>
                <w:color w:val="000000"/>
              </w:rPr>
              <w:t xml:space="preserve"> </w:t>
            </w:r>
            <w:r>
              <w:rPr>
                <w:rFonts w:ascii="Century Gothic;sans-serif" w:hAnsi="Century Gothic;sans-serif"/>
                <w:b w:val="false"/>
                <w:color w:val="000000"/>
                <w:sz w:val="20"/>
              </w:rPr>
              <w:t>Other products consist of Aimovig</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AVSOLA</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KANJINTI</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EPOGEN</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RIABNI</w:t>
            </w:r>
            <w:r>
              <w:rPr>
                <w:rFonts w:ascii="Century Gothic;sans-serif" w:hAnsi="Century Gothic;sans-serif"/>
                <w:b w:val="false"/>
                <w:color w:val="000000"/>
                <w:sz w:val="13"/>
              </w:rPr>
              <w:t>®</w:t>
            </w:r>
            <w:r>
              <w:rPr>
                <w:rFonts w:ascii="Century Gothic;sans-serif" w:hAnsi="Century Gothic;sans-serif"/>
                <w:b w:val="false"/>
                <w:color w:val="000000"/>
                <w:sz w:val="20"/>
              </w:rPr>
              <w:t>, BKEMV</w:t>
            </w:r>
            <w:r>
              <w:rPr>
                <w:rFonts w:ascii="Century Gothic;sans-serif" w:hAnsi="Century Gothic;sans-serif"/>
                <w:b w:val="false"/>
                <w:color w:val="000000"/>
                <w:sz w:val="13"/>
              </w:rPr>
              <w:t>®</w:t>
            </w:r>
            <w:r>
              <w:rPr>
                <w:rFonts w:ascii="Century Gothic;sans-serif" w:hAnsi="Century Gothic;sans-serif"/>
                <w:b w:val="false"/>
                <w:color w:val="000000"/>
                <w:sz w:val="20"/>
              </w:rPr>
              <w:t>/BEKEMV</w:t>
            </w:r>
            <w:r>
              <w:rPr>
                <w:color w:val="000000"/>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NEUPOGEN</w:t>
            </w:r>
            <w:r>
              <w:rPr>
                <w:rFonts w:ascii="Century Gothic;sans-serif" w:hAnsi="Century Gothic;sans-serif"/>
                <w:b w:val="false"/>
                <w:color w:val="000000"/>
                <w:sz w:val="13"/>
              </w:rPr>
              <w:t>®</w:t>
            </w:r>
            <w:r>
              <w:rPr>
                <w:rFonts w:ascii="Century Gothic;sans-serif" w:hAnsi="Century Gothic;sans-serif"/>
                <w:b w:val="false"/>
                <w:color w:val="000000"/>
                <w:sz w:val="20"/>
              </w:rPr>
              <w:t>, IMLYGIC</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Corlanor</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DUEXIS</w:t>
            </w:r>
            <w:r>
              <w:rPr>
                <w:rFonts w:ascii="Century Gothic;sans-serif" w:hAnsi="Century Gothic;sans-serif"/>
                <w:b w:val="false"/>
                <w:color w:val="000000"/>
                <w:sz w:val="13"/>
              </w:rPr>
              <w:t>®</w:t>
            </w:r>
            <w:r>
              <w:rPr>
                <w:rFonts w:ascii="Century Gothic;sans-serif" w:hAnsi="Century Gothic;sans-serif"/>
                <w:b w:val="false"/>
                <w:color w:val="000000"/>
                <w:sz w:val="20"/>
              </w:rPr>
              <w:t>, RAYOS</w:t>
            </w:r>
            <w:r>
              <w:rPr>
                <w:rFonts w:ascii="Century Gothic;sans-serif" w:hAnsi="Century Gothic;sans-serif"/>
                <w:b w:val="false"/>
                <w:color w:val="000000"/>
                <w:sz w:val="13"/>
              </w:rPr>
              <w:t>®</w:t>
            </w:r>
            <w:r>
              <w:rPr>
                <w:rFonts w:ascii="Century Gothic;sans-serif" w:hAnsi="Century Gothic;sans-serif"/>
                <w:b w:val="false"/>
                <w:color w:val="000000"/>
                <w:sz w:val="20"/>
              </w:rPr>
              <w:t>,</w:t>
            </w:r>
            <w:r>
              <w:rPr>
                <w:color w:val="000000"/>
              </w:rPr>
              <w:t xml:space="preserve"> </w:t>
            </w:r>
            <w:r>
              <w:rPr>
                <w:rFonts w:ascii="Century Gothic;sans-serif" w:hAnsi="Century Gothic;sans-serif"/>
                <w:b w:val="false"/>
                <w:color w:val="000000"/>
                <w:sz w:val="20"/>
              </w:rPr>
              <w:t>Sensipar</w:t>
            </w:r>
            <w:r>
              <w:rPr>
                <w:rFonts w:ascii="Century Gothic;sans-serif" w:hAnsi="Century Gothic;sans-serif"/>
                <w:b w:val="false"/>
                <w:color w:val="000000"/>
                <w:sz w:val="13"/>
              </w:rPr>
              <w:t>®</w:t>
            </w:r>
            <w:r>
              <w:rPr>
                <w:rFonts w:ascii="Century Gothic;sans-serif" w:hAnsi="Century Gothic;sans-serif"/>
                <w:b w:val="false"/>
                <w:color w:val="000000"/>
                <w:sz w:val="20"/>
              </w:rPr>
              <w:t>/Mimpara</w:t>
            </w:r>
            <w:r>
              <w:rPr>
                <w:color w:val="000000"/>
              </w:rPr>
              <w:t xml:space="preserve">™ </w:t>
            </w:r>
            <w:r>
              <w:rPr>
                <w:rFonts w:ascii="Century Gothic;sans-serif" w:hAnsi="Century Gothic;sans-serif"/>
                <w:b w:val="false"/>
                <w:color w:val="000000"/>
                <w:sz w:val="20"/>
              </w:rPr>
              <w:t>and PENNSAID</w:t>
            </w:r>
            <w:r>
              <w:rPr>
                <w:rFonts w:ascii="Century Gothic;sans-serif" w:hAnsi="Century Gothic;sans-serif"/>
                <w:b w:val="false"/>
                <w:color w:val="000000"/>
                <w:sz w:val="13"/>
              </w:rPr>
              <w:t>®</w:t>
            </w:r>
            <w:r>
              <w:rPr>
                <w:rFonts w:ascii="Century Gothic;sans-serif" w:hAnsi="Century Gothic;sans-serif"/>
                <w:b w:val="false"/>
                <w:color w:val="000000"/>
                <w:sz w:val="20"/>
              </w:rPr>
              <w:t>, where Biosimilars total $151 million in Q3 ’25 and $143 million in Q3 ’24.</w:t>
            </w:r>
          </w:p>
        </w:tc>
      </w:tr>
    </w:tbl>
    <w:p>
      <w:pPr>
        <w:pStyle w:val="TextBody"/>
        <w:bidi w:val="0"/>
        <w:spacing w:before="0" w:after="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5</w:t>
      </w:r>
    </w:p>
    <w:p>
      <w:pPr>
        <w:pStyle w:val="TextBody"/>
        <w:bidi w:val="0"/>
        <w:spacing w:lineRule="auto" w:line="288" w:before="0" w:after="20"/>
        <w:jc w:val="both"/>
        <w:rPr>
          <w:rFonts w:ascii="Century Gothic;sans-serif" w:hAnsi="Century Gothic;sans-serif"/>
          <w:b/>
          <w:color w:val="000000"/>
          <w:sz w:val="22"/>
        </w:rPr>
      </w:pPr>
      <w:r>
        <w:rPr>
          <w:rFonts w:ascii="Century Gothic;sans-serif" w:hAnsi="Century Gothic;sans-serif"/>
          <w:b/>
          <w:color w:val="000000"/>
          <w:sz w:val="22"/>
        </w:rPr>
        <w:t>Operating Expense, Operating Margin and Tax Rate Analysis</w:t>
      </w:r>
    </w:p>
    <w:p>
      <w:pPr>
        <w:pStyle w:val="TextBody"/>
        <w:bidi w:val="0"/>
        <w:spacing w:lineRule="auto" w:line="288" w:before="120" w:after="120"/>
        <w:jc w:val="both"/>
        <w:rPr>
          <w:rFonts w:ascii="Century Gothic;sans-serif" w:hAnsi="Century Gothic;sans-serif"/>
          <w:b w:val="false"/>
          <w:color w:val="000000"/>
          <w:sz w:val="22"/>
        </w:rPr>
      </w:pPr>
      <w:r>
        <w:rPr>
          <w:rFonts w:ascii="Century Gothic;sans-serif" w:hAnsi="Century Gothic;sans-serif"/>
          <w:b w:val="false"/>
          <w:color w:val="000000"/>
          <w:sz w:val="22"/>
        </w:rPr>
        <w:t>On a GAAP basis:</w:t>
      </w:r>
    </w:p>
    <w:p>
      <w:pPr>
        <w:pStyle w:val="TextBody"/>
        <w:bidi w:val="0"/>
        <w:spacing w:lineRule="auto" w:line="288" w:before="120" w:after="120"/>
        <w:ind w:left="0" w:right="0" w:hanging="360"/>
        <w:jc w:val="both"/>
        <w:rPr/>
      </w:pPr>
      <w:r>
        <w:rPr>
          <w:color w:val="000000"/>
        </w:rPr>
        <w:t>•</w:t>
      </w:r>
      <w:r>
        <w:rPr>
          <w:rFonts w:ascii="Century Gothic;sans-serif" w:hAnsi="Century Gothic;sans-serif"/>
          <w:b/>
          <w:color w:val="000000"/>
          <w:sz w:val="22"/>
        </w:rPr>
        <w:t xml:space="preserve">Total Operating Expenses </w:t>
      </w:r>
      <w:r>
        <w:rPr>
          <w:rFonts w:ascii="Century Gothic;sans-serif" w:hAnsi="Century Gothic;sans-serif"/>
          <w:b w:val="false"/>
          <w:color w:val="000000"/>
          <w:sz w:val="22"/>
        </w:rPr>
        <w:t xml:space="preserve">increased 9% year-over-year for the third quarter. </w:t>
      </w:r>
      <w:r>
        <w:rPr>
          <w:rFonts w:ascii="Century Gothic;sans-serif" w:hAnsi="Century Gothic;sans-serif"/>
          <w:b/>
          <w:color w:val="000000"/>
          <w:sz w:val="22"/>
        </w:rPr>
        <w:t>Cost of Sales</w:t>
      </w:r>
      <w:r>
        <w:rPr>
          <w:color w:val="000000"/>
        </w:rPr>
        <w:t xml:space="preserve"> </w:t>
      </w:r>
      <w:r>
        <w:rPr>
          <w:rFonts w:ascii="Century Gothic;sans-serif" w:hAnsi="Century Gothic;sans-serif"/>
          <w:b w:val="false"/>
          <w:color w:val="000000"/>
          <w:sz w:val="22"/>
        </w:rPr>
        <w:t xml:space="preserve">as a percentage of product sales decreased 6.9 percentage points driven by lower amortization expense from the fair value step-up of inventory acquired from Horizon and lower manufacturing costs, partially offset by higher profit share expense and changes in our sales mix. </w:t>
      </w:r>
      <w:r>
        <w:rPr>
          <w:rFonts w:ascii="Century Gothic;sans-serif" w:hAnsi="Century Gothic;sans-serif"/>
          <w:b/>
          <w:color w:val="000000"/>
          <w:sz w:val="22"/>
        </w:rPr>
        <w:t xml:space="preserve">Research &amp; Development (R&amp;D) </w:t>
      </w:r>
      <w:r>
        <w:rPr>
          <w:rFonts w:ascii="Century Gothic;sans-serif" w:hAnsi="Century Gothic;sans-serif"/>
          <w:b w:val="false"/>
          <w:color w:val="000000"/>
          <w:sz w:val="22"/>
        </w:rPr>
        <w:t xml:space="preserve">expenses increased 31% driven by higher spend in later-stage clinical programs, including those related to MariTide, for which six global Phase 3 studies are underway. </w:t>
      </w:r>
      <w:r>
        <w:rPr>
          <w:rFonts w:ascii="Century Gothic;sans-serif" w:hAnsi="Century Gothic;sans-serif"/>
          <w:b/>
          <w:color w:val="000000"/>
          <w:sz w:val="22"/>
        </w:rPr>
        <w:t>Selling, General &amp; Administrative (SG&amp;A)</w:t>
      </w:r>
      <w:r>
        <w:rPr>
          <w:color w:val="000000"/>
        </w:rPr>
        <w:t xml:space="preserve"> </w:t>
      </w:r>
      <w:r>
        <w:rPr>
          <w:rFonts w:ascii="Century Gothic;sans-serif" w:hAnsi="Century Gothic;sans-serif"/>
          <w:b w:val="false"/>
          <w:color w:val="000000"/>
          <w:sz w:val="22"/>
        </w:rPr>
        <w:t xml:space="preserve">expenses increased 6% driven by higher general and administrative expenses, partially offset by lower Horizon acquisition-related expenses. </w:t>
      </w:r>
      <w:r>
        <w:rPr>
          <w:rFonts w:ascii="Century Gothic;sans-serif" w:hAnsi="Century Gothic;sans-serif"/>
          <w:b/>
          <w:color w:val="000000"/>
          <w:sz w:val="22"/>
        </w:rPr>
        <w:t>Other</w:t>
      </w:r>
      <w:r>
        <w:rPr>
          <w:color w:val="000000"/>
        </w:rPr>
        <w:t xml:space="preserve"> </w:t>
      </w:r>
      <w:r>
        <w:rPr>
          <w:rFonts w:ascii="Century Gothic;sans-serif" w:hAnsi="Century Gothic;sans-serif"/>
          <w:b w:val="false"/>
          <w:color w:val="000000"/>
          <w:sz w:val="22"/>
        </w:rPr>
        <w:t>operating expenses</w:t>
      </w:r>
      <w:r>
        <w:rPr>
          <w:color w:val="EE2724"/>
        </w:rPr>
        <w:t xml:space="preserve"> </w:t>
      </w:r>
      <w:r>
        <w:rPr>
          <w:rFonts w:ascii="Century Gothic;sans-serif" w:hAnsi="Century Gothic;sans-serif"/>
          <w:b w:val="false"/>
          <w:color w:val="000000"/>
          <w:sz w:val="22"/>
        </w:rPr>
        <w:t>included the Otezla</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intangible asset impairment charge of $400 million.</w:t>
      </w:r>
    </w:p>
    <w:p>
      <w:pPr>
        <w:pStyle w:val="TextBody"/>
        <w:bidi w:val="0"/>
        <w:spacing w:lineRule="auto" w:line="288" w:before="120" w:after="120"/>
        <w:ind w:left="0" w:right="0" w:hanging="360"/>
        <w:jc w:val="both"/>
        <w:rPr/>
      </w:pPr>
      <w:r>
        <w:rPr>
          <w:color w:val="000000"/>
        </w:rPr>
        <w:t>•</w:t>
      </w:r>
      <w:r>
        <w:rPr>
          <w:rFonts w:ascii="Century Gothic;sans-serif" w:hAnsi="Century Gothic;sans-serif"/>
          <w:b/>
          <w:color w:val="000000"/>
          <w:sz w:val="22"/>
        </w:rPr>
        <w:t>Operating Margin</w:t>
      </w:r>
      <w:r>
        <w:rPr>
          <w:color w:val="000000"/>
        </w:rPr>
        <w:t xml:space="preserve"> </w:t>
      </w:r>
      <w:r>
        <w:rPr>
          <w:rFonts w:ascii="Century Gothic;sans-serif" w:hAnsi="Century Gothic;sans-serif"/>
          <w:b w:val="false"/>
          <w:color w:val="000000"/>
          <w:sz w:val="22"/>
        </w:rPr>
        <w:t>as a percentage of product sales increased 2.5 percentage points in the third quarter to 27.6%.</w:t>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Tax Rate</w:t>
      </w:r>
      <w:r>
        <w:rPr>
          <w:color w:val="000000"/>
        </w:rPr>
        <w:t xml:space="preserve"> </w:t>
      </w:r>
      <w:r>
        <w:rPr>
          <w:rFonts w:ascii="Century Gothic;sans-serif" w:hAnsi="Century Gothic;sans-serif"/>
          <w:b w:val="false"/>
          <w:color w:val="000000"/>
          <w:sz w:val="22"/>
        </w:rPr>
        <w:t>increased 9.3 percentage points in the third quarter due to the change in earnings mix, including lower amortization expense from the fair value step-up of inventory acquired from Horizon.</w:t>
      </w:r>
    </w:p>
    <w:p>
      <w:pPr>
        <w:pStyle w:val="TextBody"/>
        <w:bidi w:val="0"/>
        <w:spacing w:lineRule="auto" w:line="288" w:before="120" w:after="120"/>
        <w:jc w:val="both"/>
        <w:rPr>
          <w:rFonts w:ascii="Century Gothic;sans-serif" w:hAnsi="Century Gothic;sans-serif"/>
          <w:b w:val="false"/>
          <w:color w:val="000000"/>
          <w:sz w:val="22"/>
        </w:rPr>
      </w:pPr>
      <w:r>
        <w:rPr>
          <w:rFonts w:ascii="Century Gothic;sans-serif" w:hAnsi="Century Gothic;sans-serif"/>
          <w:b w:val="false"/>
          <w:color w:val="000000"/>
          <w:sz w:val="22"/>
        </w:rPr>
        <w:t>On a non-GAAP basis:</w:t>
      </w:r>
    </w:p>
    <w:p>
      <w:pPr>
        <w:pStyle w:val="TextBody"/>
        <w:bidi w:val="0"/>
        <w:spacing w:lineRule="auto" w:line="288" w:before="120" w:after="283"/>
        <w:ind w:left="0" w:right="0" w:hanging="360"/>
        <w:jc w:val="both"/>
        <w:rPr/>
      </w:pPr>
      <w:r>
        <w:rPr>
          <w:color w:val="000000"/>
        </w:rPr>
        <w:t>•</w:t>
      </w:r>
      <w:r>
        <w:rPr>
          <w:rFonts w:ascii="Century Gothic;sans-serif" w:hAnsi="Century Gothic;sans-serif"/>
          <w:b/>
          <w:color w:val="000000"/>
          <w:sz w:val="22"/>
        </w:rPr>
        <w:t xml:space="preserve">Total Operating Expenses </w:t>
      </w:r>
      <w:r>
        <w:rPr>
          <w:rFonts w:ascii="Century Gothic;sans-serif" w:hAnsi="Century Gothic;sans-serif"/>
          <w:b w:val="false"/>
          <w:color w:val="000000"/>
          <w:sz w:val="22"/>
        </w:rPr>
        <w:t xml:space="preserve">increased 18% year-over-year for the third quarter. </w:t>
      </w:r>
      <w:r>
        <w:rPr>
          <w:rFonts w:ascii="Century Gothic;sans-serif" w:hAnsi="Century Gothic;sans-serif"/>
          <w:b/>
          <w:color w:val="000000"/>
          <w:sz w:val="22"/>
        </w:rPr>
        <w:t>Cost of Sales</w:t>
      </w:r>
      <w:r>
        <w:rPr>
          <w:color w:val="000000"/>
        </w:rPr>
        <w:t xml:space="preserve"> </w:t>
      </w:r>
      <w:r>
        <w:rPr>
          <w:rFonts w:ascii="Century Gothic;sans-serif" w:hAnsi="Century Gothic;sans-serif"/>
          <w:b w:val="false"/>
          <w:color w:val="000000"/>
          <w:sz w:val="22"/>
        </w:rPr>
        <w:t xml:space="preserve">as a percentage of product sales increased 0.4 percentage points driven by higher profit share expense and changes in our sales mix, partially offset by lower manufacturing costs. </w:t>
      </w:r>
      <w:r>
        <w:rPr>
          <w:rFonts w:ascii="Century Gothic;sans-serif" w:hAnsi="Century Gothic;sans-serif"/>
          <w:b/>
          <w:color w:val="000000"/>
          <w:sz w:val="22"/>
        </w:rPr>
        <w:t xml:space="preserve">R&amp;D </w:t>
      </w:r>
      <w:r>
        <w:rPr>
          <w:rFonts w:ascii="Century Gothic;sans-serif" w:hAnsi="Century Gothic;sans-serif"/>
          <w:b w:val="false"/>
          <w:color w:val="000000"/>
          <w:sz w:val="22"/>
        </w:rPr>
        <w:t xml:space="preserve">expenses increased 31% driven by higher spend in later-stage clinical programs, including those related to MariTide, for which six global Phase 3 studies are underway. </w:t>
      </w:r>
      <w:r>
        <w:rPr>
          <w:rFonts w:ascii="Century Gothic;sans-serif" w:hAnsi="Century Gothic;sans-serif"/>
          <w:b/>
          <w:color w:val="000000"/>
          <w:sz w:val="22"/>
        </w:rPr>
        <w:t>SG&amp;A</w:t>
      </w:r>
      <w:r>
        <w:rPr>
          <w:color w:val="000000"/>
        </w:rPr>
        <w:t xml:space="preserve"> </w:t>
      </w:r>
      <w:r>
        <w:rPr>
          <w:rFonts w:ascii="Century Gothic;sans-serif" w:hAnsi="Century Gothic;sans-serif"/>
          <w:b w:val="false"/>
          <w:color w:val="000000"/>
          <w:sz w:val="22"/>
        </w:rPr>
        <w:t>expenses increased 9% driven by higher general and administrative expenses.</w:t>
      </w:r>
    </w:p>
    <w:p>
      <w:pPr>
        <w:pStyle w:val="TextBody"/>
        <w:bidi w:val="0"/>
        <w:spacing w:lineRule="auto" w:line="288" w:before="120" w:after="120"/>
        <w:ind w:left="0" w:right="0" w:hanging="360"/>
        <w:jc w:val="both"/>
        <w:rPr/>
      </w:pPr>
      <w:r>
        <w:rPr>
          <w:color w:val="000000"/>
        </w:rPr>
        <w:t>•</w:t>
      </w:r>
      <w:r>
        <w:rPr>
          <w:rFonts w:ascii="Century Gothic;sans-serif" w:hAnsi="Century Gothic;sans-serif"/>
          <w:b/>
          <w:color w:val="000000"/>
          <w:sz w:val="22"/>
        </w:rPr>
        <w:t>Operating Margin</w:t>
      </w:r>
      <w:r>
        <w:rPr>
          <w:color w:val="000000"/>
        </w:rPr>
        <w:t xml:space="preserve"> </w:t>
      </w:r>
      <w:r>
        <w:rPr>
          <w:rFonts w:ascii="Century Gothic;sans-serif" w:hAnsi="Century Gothic;sans-serif"/>
          <w:b w:val="false"/>
          <w:color w:val="000000"/>
          <w:sz w:val="22"/>
        </w:rPr>
        <w:t>as a percentage of product sales decreased 2.5 percentage points in the third quarter to 47.1%.</w:t>
      </w:r>
    </w:p>
    <w:p>
      <w:pPr>
        <w:pStyle w:val="TextBody"/>
        <w:bidi w:val="0"/>
        <w:spacing w:lineRule="auto" w:line="288" w:before="0" w:after="120"/>
        <w:ind w:left="0" w:right="0" w:hanging="360"/>
        <w:jc w:val="both"/>
        <w:rPr/>
      </w:pPr>
      <w:r>
        <w:rPr>
          <w:color w:val="000000"/>
        </w:rPr>
        <w:t>•</w:t>
      </w:r>
      <w:r>
        <w:rPr>
          <w:rFonts w:ascii="Century Gothic;sans-serif" w:hAnsi="Century Gothic;sans-serif"/>
          <w:b/>
          <w:color w:val="000000"/>
          <w:sz w:val="22"/>
        </w:rPr>
        <w:t>Tax Rate</w:t>
      </w:r>
      <w:r>
        <w:rPr>
          <w:color w:val="000000"/>
        </w:rPr>
        <w:t xml:space="preserve"> </w:t>
      </w:r>
      <w:r>
        <w:rPr>
          <w:rFonts w:ascii="Century Gothic;sans-serif" w:hAnsi="Century Gothic;sans-serif"/>
          <w:b w:val="false"/>
          <w:color w:val="000000"/>
          <w:sz w:val="22"/>
        </w:rPr>
        <w:t>increased 4.8 percentage points in the third quarter due to the change in earnings mix.</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6</w:t>
      </w:r>
    </w:p>
    <w:tbl>
      <w:tblPr>
        <w:tblW w:w="10205" w:type="dxa"/>
        <w:jc w:val="left"/>
        <w:tblInd w:w="0" w:type="dxa"/>
        <w:tblLayout w:type="fixed"/>
        <w:tblCellMar>
          <w:top w:w="28" w:type="dxa"/>
          <w:left w:w="28" w:type="dxa"/>
          <w:bottom w:w="28" w:type="dxa"/>
          <w:right w:w="28" w:type="dxa"/>
        </w:tblCellMar>
      </w:tblPr>
      <w:tblGrid>
        <w:gridCol w:w="931"/>
        <w:gridCol w:w="427"/>
        <w:gridCol w:w="428"/>
        <w:gridCol w:w="109"/>
        <w:gridCol w:w="109"/>
        <w:gridCol w:w="109"/>
        <w:gridCol w:w="241"/>
        <w:gridCol w:w="781"/>
        <w:gridCol w:w="301"/>
        <w:gridCol w:w="109"/>
        <w:gridCol w:w="109"/>
        <w:gridCol w:w="109"/>
        <w:gridCol w:w="241"/>
        <w:gridCol w:w="781"/>
        <w:gridCol w:w="301"/>
        <w:gridCol w:w="109"/>
        <w:gridCol w:w="109"/>
        <w:gridCol w:w="109"/>
        <w:gridCol w:w="196"/>
        <w:gridCol w:w="181"/>
        <w:gridCol w:w="182"/>
        <w:gridCol w:w="109"/>
        <w:gridCol w:w="109"/>
        <w:gridCol w:w="109"/>
        <w:gridCol w:w="241"/>
        <w:gridCol w:w="781"/>
        <w:gridCol w:w="301"/>
        <w:gridCol w:w="109"/>
        <w:gridCol w:w="109"/>
        <w:gridCol w:w="109"/>
        <w:gridCol w:w="241"/>
        <w:gridCol w:w="781"/>
        <w:gridCol w:w="301"/>
        <w:gridCol w:w="109"/>
        <w:gridCol w:w="109"/>
        <w:gridCol w:w="109"/>
        <w:gridCol w:w="186"/>
        <w:gridCol w:w="171"/>
        <w:gridCol w:w="249"/>
      </w:tblGrid>
      <w:tr>
        <w:trPr/>
        <w:tc>
          <w:tcPr>
            <w:tcW w:w="9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$Millions, except percentages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Non-GAAP</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Q3 ’25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Q3 ’24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YOY Δ</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Q3 ’25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Q3 ’24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YOY Δ</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3,082 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3,310 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1,662 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1,454 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14%</w:t>
            </w:r>
          </w:p>
        </w:tc>
      </w:tr>
      <w:tr>
        <w:trPr/>
        <w:tc>
          <w:tcPr>
            <w:tcW w:w="1786" w:type="dxa"/>
            <w:gridSpan w:val="3"/>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 of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33.7 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40.6 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(6.9)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0.4 pts.</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Research &amp;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1,900 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1,450 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1,890 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1,440 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31%</w:t>
            </w:r>
          </w:p>
        </w:tc>
      </w:tr>
      <w:tr>
        <w:trPr/>
        <w:tc>
          <w:tcPr>
            <w:tcW w:w="1786" w:type="dxa"/>
            <w:gridSpan w:val="3"/>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 of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3.0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20.7 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17.7 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3.0 pts.</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Selling, General &amp;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1,720 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1,625 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1,700 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1,565 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9%</w:t>
            </w:r>
          </w:p>
        </w:tc>
      </w:tr>
      <w:tr>
        <w:trPr/>
        <w:tc>
          <w:tcPr>
            <w:tcW w:w="1786" w:type="dxa"/>
            <w:gridSpan w:val="3"/>
            <w:tcBorders>
              <w:left w:val="single" w:sz="8"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 of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19.9 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(1.1)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(0.6) pts.</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329 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N/A</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7,031</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6,456</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5,252</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4,459</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18%</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Century Gothic;sans-serif" w:hAnsi="Century Gothic;sans-serif"/>
                <w:b w:val="false"/>
                <w:color w:val="000000"/>
                <w:sz w:val="20"/>
              </w:rPr>
            </w:pPr>
            <w:r>
              <w:rPr>
                <w:rFonts w:ascii="Century Gothic;sans-serif" w:hAnsi="Century Gothic;sans-serif"/>
                <w:b w:val="false"/>
                <w:color w:val="000000"/>
                <w:sz w:val="20"/>
              </w:rPr>
              <w:t>Operating income as % of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27.6 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2.5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47.1 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49.6 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(2.5) pts.</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18.0</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color w:val="000000"/>
                <w:sz w:val="20"/>
              </w:rPr>
            </w:pPr>
            <w:r>
              <w:rPr>
                <w:rFonts w:ascii="Century Gothic;sans-serif" w:hAnsi="Century Gothic;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8.7</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color w:val="000000"/>
                <w:sz w:val="20"/>
              </w:rPr>
            </w:pPr>
            <w:r>
              <w:rPr>
                <w:rFonts w:ascii="Century Gothic;sans-serif" w:hAnsi="Century Gothic;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 xml:space="preserve">9.3 pts.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18.2</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color w:val="000000"/>
                <w:sz w:val="20"/>
              </w:rPr>
            </w:pPr>
            <w:r>
              <w:rPr>
                <w:rFonts w:ascii="Century Gothic;sans-serif" w:hAnsi="Century Gothic;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Century Gothic;sans-serif" w:hAnsi="Century Gothic;sans-serif"/>
                <w:b/>
                <w:color w:val="000000"/>
                <w:sz w:val="20"/>
              </w:rPr>
              <w:t>13.4</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color w:val="000000"/>
                <w:sz w:val="20"/>
              </w:rPr>
            </w:pPr>
            <w:r>
              <w:rPr>
                <w:rFonts w:ascii="Century Gothic;sans-serif" w:hAnsi="Century Gothic;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4.8 pts.</w:t>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pts: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Century Gothic;sans-serif" w:hAnsi="Century Gothic;sans-serif"/>
                <w:b w:val="false"/>
                <w:color w:val="000000"/>
                <w:sz w:val="20"/>
              </w:rPr>
            </w:pPr>
            <w:r>
              <w:rPr>
                <w:rFonts w:ascii="Century Gothic;sans-serif" w:hAnsi="Century Gothic;sans-serif"/>
                <w:b w:val="false"/>
                <w:color w:val="000000"/>
                <w:sz w:val="20"/>
              </w:rPr>
              <w:t>* = Change in excess of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N/A = not applicable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119" w:type="dxa"/>
            <w:gridSpan w:val="24"/>
            <w:tcBorders/>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Cash Flow and Balance Sheet</w:t>
      </w:r>
    </w:p>
    <w:p>
      <w:pPr>
        <w:pStyle w:val="TextBody"/>
        <w:bidi w:val="0"/>
        <w:spacing w:lineRule="auto" w:line="288" w:before="0" w:after="0"/>
        <w:ind w:left="0" w:right="0" w:hanging="360"/>
        <w:jc w:val="both"/>
        <w:rPr/>
      </w:pPr>
      <w:r>
        <w:rPr>
          <w:color w:val="000000"/>
        </w:rPr>
        <w:t>•</w:t>
      </w:r>
      <w:r>
        <w:rPr>
          <w:rFonts w:ascii="Century Gothic;sans-serif" w:hAnsi="Century Gothic;sans-serif"/>
          <w:b w:val="false"/>
          <w:color w:val="000000"/>
          <w:sz w:val="22"/>
        </w:rPr>
        <w:t>The Company generated $4.2 billion of free cash flow in the third quarter of 2025 versus $3.3 billion in the third quarter of 2024, driven by the timing of working capital items and lower interest payments, partially offset by higher capital expenditures.</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The Company declared a third quarter 2025 dividend on August 1, 2025 of $2.38 per share that was paid on September 12, 2025 to all stockholders of record as of August 22, 2025, representing a 6% increase from the same period in 2024.</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The Company retired $1.6 billion of debt during the third quarter of 2025 and $6.0 billion year to date.</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During the third quarter of 2025, there were no repurchases of shares of common stock under our stock repurchase program.</w:t>
      </w:r>
    </w:p>
    <w:p>
      <w:pPr>
        <w:pStyle w:val="TextBody"/>
        <w:bidi w:val="0"/>
        <w:spacing w:lineRule="auto" w:line="288" w:before="120" w:after="120"/>
        <w:ind w:left="0" w:right="0" w:hanging="360"/>
        <w:jc w:val="both"/>
        <w:rPr/>
      </w:pPr>
      <w:r>
        <w:rPr>
          <w:color w:val="000000"/>
        </w:rPr>
        <w:t>•</w:t>
      </w:r>
      <w:r>
        <w:rPr>
          <w:rFonts w:ascii="Century Gothic;sans-serif" w:hAnsi="Century Gothic;sans-serif"/>
          <w:b w:val="false"/>
          <w:color w:val="000000"/>
          <w:sz w:val="22"/>
        </w:rPr>
        <w:t>Cash and cash equivalents totaled $9.4 billion and debt outstanding totaled $54.6 billion as of September 30, 2025.</w:t>
      </w:r>
    </w:p>
    <w:tbl>
      <w:tblPr>
        <w:tblW w:w="7536" w:type="dxa"/>
        <w:jc w:val="center"/>
        <w:tblInd w:w="0" w:type="dxa"/>
        <w:tblLayout w:type="fixed"/>
        <w:tblCellMar>
          <w:top w:w="28" w:type="dxa"/>
          <w:left w:w="28" w:type="dxa"/>
          <w:bottom w:w="28" w:type="dxa"/>
          <w:right w:w="28" w:type="dxa"/>
        </w:tblCellMar>
      </w:tblPr>
      <w:tblGrid>
        <w:gridCol w:w="1234"/>
        <w:gridCol w:w="1084"/>
        <w:gridCol w:w="1087"/>
        <w:gridCol w:w="109"/>
        <w:gridCol w:w="109"/>
        <w:gridCol w:w="109"/>
        <w:gridCol w:w="233"/>
        <w:gridCol w:w="480"/>
        <w:gridCol w:w="112"/>
        <w:gridCol w:w="109"/>
        <w:gridCol w:w="109"/>
        <w:gridCol w:w="109"/>
        <w:gridCol w:w="233"/>
        <w:gridCol w:w="480"/>
        <w:gridCol w:w="112"/>
        <w:gridCol w:w="109"/>
        <w:gridCol w:w="109"/>
        <w:gridCol w:w="109"/>
        <w:gridCol w:w="226"/>
        <w:gridCol w:w="466"/>
        <w:gridCol w:w="109"/>
        <w:gridCol w:w="109"/>
        <w:gridCol w:w="109"/>
        <w:gridCol w:w="109"/>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$Billions, except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Q3 ’25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Q3 ’24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YOY Δ</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Operating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4.7 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3.6 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1.1 </w:t>
            </w:r>
          </w:p>
        </w:tc>
        <w:tc>
          <w:tcPr>
            <w:tcW w:w="109"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0.2 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0.9 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0.1 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0.0 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Average Diluted Shares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7"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Note: Numbers may not add due to rounding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7</w:t>
      </w:r>
    </w:p>
    <w:tbl>
      <w:tblPr>
        <w:tblW w:w="7121" w:type="dxa"/>
        <w:jc w:val="center"/>
        <w:tblInd w:w="0" w:type="dxa"/>
        <w:tblLayout w:type="fixed"/>
        <w:tblCellMar>
          <w:top w:w="28" w:type="dxa"/>
          <w:left w:w="28" w:type="dxa"/>
          <w:bottom w:w="28" w:type="dxa"/>
          <w:right w:w="28" w:type="dxa"/>
        </w:tblCellMar>
      </w:tblPr>
      <w:tblGrid>
        <w:gridCol w:w="1110"/>
        <w:gridCol w:w="977"/>
        <w:gridCol w:w="983"/>
        <w:gridCol w:w="121"/>
        <w:gridCol w:w="121"/>
        <w:gridCol w:w="121"/>
        <w:gridCol w:w="253"/>
        <w:gridCol w:w="658"/>
        <w:gridCol w:w="122"/>
        <w:gridCol w:w="109"/>
        <w:gridCol w:w="109"/>
        <w:gridCol w:w="109"/>
        <w:gridCol w:w="261"/>
        <w:gridCol w:w="678"/>
        <w:gridCol w:w="126"/>
        <w:gridCol w:w="109"/>
        <w:gridCol w:w="109"/>
        <w:gridCol w:w="109"/>
        <w:gridCol w:w="226"/>
        <w:gridCol w:w="556"/>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$Billions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9/30/25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12/31/24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Century Gothic;sans-serif" w:hAnsi="Century Gothic;sans-serif"/>
                <w:b/>
                <w:color w:val="000000"/>
                <w:sz w:val="20"/>
              </w:rPr>
            </w:pPr>
            <w:r>
              <w:rPr>
                <w:rFonts w:ascii="Century Gothic;sans-serif" w:hAnsi="Century Gothic;sans-serif"/>
                <w:b/>
                <w:color w:val="000000"/>
                <w:sz w:val="20"/>
              </w:rPr>
              <w:t>YTD Δ</w:t>
            </w:r>
          </w:p>
        </w:tc>
      </w:tr>
      <w:tr>
        <w:trPr/>
        <w:tc>
          <w:tcPr>
            <w:tcW w:w="30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Cash and Cash Equivalents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6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9.4 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w:t>
            </w:r>
          </w:p>
        </w:tc>
        <w:tc>
          <w:tcPr>
            <w:tcW w:w="15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Debt Outstanding</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60.1 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(5.5)</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466"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Note: Numbers may not add due to rounding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2025 Guidance</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For the full year 2025, the Company expects:</w:t>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Total revenues</w:t>
      </w:r>
      <w:r>
        <w:rPr>
          <w:color w:val="000000"/>
        </w:rPr>
        <w:t xml:space="preserve"> </w:t>
      </w:r>
      <w:r>
        <w:rPr>
          <w:rFonts w:ascii="Century Gothic;sans-serif" w:hAnsi="Century Gothic;sans-serif"/>
          <w:b w:val="false"/>
          <w:color w:val="000000"/>
          <w:sz w:val="22"/>
        </w:rPr>
        <w:t>in the range of $35.8 billion to $36.6 billion.</w:t>
      </w:r>
    </w:p>
    <w:p>
      <w:pPr>
        <w:pStyle w:val="TextBody"/>
        <w:bidi w:val="0"/>
        <w:spacing w:lineRule="auto" w:line="288" w:before="0" w:after="0"/>
        <w:ind w:left="0" w:right="0" w:hanging="360"/>
        <w:jc w:val="both"/>
        <w:rPr/>
      </w:pPr>
      <w:r>
        <w:rPr>
          <w:color w:val="000000"/>
        </w:rPr>
        <w:t>•</w:t>
      </w:r>
      <w:r>
        <w:rPr>
          <w:rFonts w:ascii="Century Gothic;sans-serif" w:hAnsi="Century Gothic;sans-serif"/>
          <w:b w:val="false"/>
          <w:color w:val="000000"/>
          <w:sz w:val="22"/>
        </w:rPr>
        <w:t xml:space="preserve">On a </w:t>
      </w:r>
      <w:r>
        <w:rPr>
          <w:rFonts w:ascii="Century Gothic;sans-serif" w:hAnsi="Century Gothic;sans-serif"/>
          <w:b/>
          <w:color w:val="000000"/>
          <w:sz w:val="22"/>
        </w:rPr>
        <w:t>GAAP basis, EPS</w:t>
      </w:r>
      <w:r>
        <w:rPr>
          <w:color w:val="000000"/>
        </w:rPr>
        <w:t xml:space="preserve"> </w:t>
      </w:r>
      <w:r>
        <w:rPr>
          <w:rFonts w:ascii="Century Gothic;sans-serif" w:hAnsi="Century Gothic;sans-serif"/>
          <w:b w:val="false"/>
          <w:color w:val="000000"/>
          <w:sz w:val="22"/>
        </w:rPr>
        <w:t xml:space="preserve">in the range of $13.76 to $14.60, and a </w:t>
      </w:r>
      <w:r>
        <w:rPr>
          <w:rFonts w:ascii="Century Gothic;sans-serif" w:hAnsi="Century Gothic;sans-serif"/>
          <w:b/>
          <w:color w:val="000000"/>
          <w:sz w:val="22"/>
        </w:rPr>
        <w:t>tax rate</w:t>
      </w:r>
      <w:r>
        <w:rPr>
          <w:color w:val="000000"/>
        </w:rPr>
        <w:t xml:space="preserve"> </w:t>
      </w:r>
      <w:r>
        <w:rPr>
          <w:rFonts w:ascii="Century Gothic;sans-serif" w:hAnsi="Century Gothic;sans-serif"/>
          <w:b w:val="false"/>
          <w:color w:val="000000"/>
          <w:sz w:val="22"/>
        </w:rPr>
        <w:t>in the range of 14.5% to 16.0%.</w:t>
      </w:r>
    </w:p>
    <w:p>
      <w:pPr>
        <w:pStyle w:val="TextBody"/>
        <w:bidi w:val="0"/>
        <w:spacing w:lineRule="auto" w:line="288" w:before="0" w:after="0"/>
        <w:ind w:left="0" w:right="0" w:hanging="360"/>
        <w:jc w:val="both"/>
        <w:rPr/>
      </w:pPr>
      <w:r>
        <w:rPr>
          <w:color w:val="000000"/>
        </w:rPr>
        <w:t>•</w:t>
      </w:r>
      <w:r>
        <w:rPr>
          <w:rFonts w:ascii="Century Gothic;sans-serif" w:hAnsi="Century Gothic;sans-serif"/>
          <w:b w:val="false"/>
          <w:color w:val="000000"/>
          <w:sz w:val="22"/>
        </w:rPr>
        <w:t xml:space="preserve">On a </w:t>
      </w:r>
      <w:r>
        <w:rPr>
          <w:rFonts w:ascii="Century Gothic;sans-serif" w:hAnsi="Century Gothic;sans-serif"/>
          <w:b/>
          <w:color w:val="000000"/>
          <w:sz w:val="22"/>
        </w:rPr>
        <w:t>non-GAAP basis, EPS</w:t>
      </w:r>
      <w:r>
        <w:rPr>
          <w:color w:val="000000"/>
        </w:rPr>
        <w:t xml:space="preserve"> </w:t>
      </w:r>
      <w:r>
        <w:rPr>
          <w:rFonts w:ascii="Century Gothic;sans-serif" w:hAnsi="Century Gothic;sans-serif"/>
          <w:b w:val="false"/>
          <w:color w:val="000000"/>
          <w:sz w:val="22"/>
        </w:rPr>
        <w:t xml:space="preserve">in the range of $20.60 to $21.40, and a </w:t>
      </w:r>
      <w:r>
        <w:rPr>
          <w:rFonts w:ascii="Century Gothic;sans-serif" w:hAnsi="Century Gothic;sans-serif"/>
          <w:b/>
          <w:color w:val="000000"/>
          <w:sz w:val="22"/>
        </w:rPr>
        <w:t>tax rate</w:t>
      </w:r>
      <w:r>
        <w:rPr>
          <w:color w:val="000000"/>
        </w:rPr>
        <w:t xml:space="preserve"> </w:t>
      </w:r>
      <w:r>
        <w:rPr>
          <w:rFonts w:ascii="Century Gothic;sans-serif" w:hAnsi="Century Gothic;sans-serif"/>
          <w:b w:val="false"/>
          <w:color w:val="000000"/>
          <w:sz w:val="22"/>
        </w:rPr>
        <w:t>in the range of 15.0% to 16.5%.</w:t>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Capital expenditures</w:t>
      </w:r>
      <w:r>
        <w:rPr>
          <w:color w:val="000000"/>
        </w:rPr>
        <w:t xml:space="preserve"> </w:t>
      </w:r>
      <w:r>
        <w:rPr>
          <w:rFonts w:ascii="Century Gothic;sans-serif" w:hAnsi="Century Gothic;sans-serif"/>
          <w:b w:val="false"/>
          <w:color w:val="000000"/>
          <w:sz w:val="22"/>
        </w:rPr>
        <w:t>in the range of $2.2 billion to $2.3 billion.</w:t>
      </w:r>
    </w:p>
    <w:p>
      <w:pPr>
        <w:pStyle w:val="TextBody"/>
        <w:bidi w:val="0"/>
        <w:spacing w:lineRule="auto" w:line="288" w:before="0" w:after="0"/>
        <w:ind w:left="0" w:right="0" w:hanging="360"/>
        <w:jc w:val="both"/>
        <w:rPr/>
      </w:pPr>
      <w:r>
        <w:rPr>
          <w:color w:val="000000"/>
        </w:rPr>
        <w:t>•</w:t>
      </w:r>
      <w:r>
        <w:rPr>
          <w:rFonts w:ascii="Century Gothic;sans-serif" w:hAnsi="Century Gothic;sans-serif"/>
          <w:b/>
          <w:color w:val="000000"/>
          <w:sz w:val="22"/>
        </w:rPr>
        <w:t>Share repurchases</w:t>
      </w:r>
      <w:r>
        <w:rPr>
          <w:color w:val="000000"/>
        </w:rPr>
        <w:t xml:space="preserve"> </w:t>
      </w:r>
      <w:r>
        <w:rPr>
          <w:rFonts w:ascii="Century Gothic;sans-serif" w:hAnsi="Century Gothic;sans-serif"/>
          <w:b w:val="false"/>
          <w:color w:val="000000"/>
          <w:sz w:val="22"/>
        </w:rPr>
        <w:t>not to exceed $500 million.</w:t>
      </w:r>
    </w:p>
    <w:p>
      <w:pPr>
        <w:pStyle w:val="TextBody"/>
        <w:bidi w:val="0"/>
        <w:spacing w:lineRule="auto" w:line="268" w:before="120" w:after="283"/>
        <w:jc w:val="both"/>
        <w:rPr>
          <w:rFonts w:ascii="Century Gothic;sans-serif" w:hAnsi="Century Gothic;sans-serif"/>
          <w:b w:val="false"/>
          <w:color w:val="000000"/>
          <w:sz w:val="22"/>
        </w:rPr>
      </w:pPr>
      <w:r>
        <w:rPr>
          <w:rFonts w:ascii="Century Gothic;sans-serif" w:hAnsi="Century Gothic;sans-serif"/>
          <w:b w:val="false"/>
          <w:color w:val="000000"/>
          <w:sz w:val="22"/>
        </w:rPr>
        <w:t>This guidance includes the estimated impact of implemented tariffs, but does not account for any tariffs or potential pricing actions announced or described but not implemented as well as any tariffs, sector specific tariffs, or pricing actions that could be implemented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Third Quarter Product and Pipeline Update</w:t>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The Company provided the following updates on selected product and pipeline programs:</w:t>
      </w:r>
    </w:p>
    <w:p>
      <w:pPr>
        <w:pStyle w:val="TextBody"/>
        <w:bidi w:val="0"/>
        <w:spacing w:before="0" w:after="0"/>
        <w:jc w:val="both"/>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General Medicine</w:t>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MariTide (maridebart cafraglutide, AMG 133)</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MariTide is a differentiated antibody-peptide conjugate that activates the glucagon like peptide 1 (GLP-1) receptor and antagonizes the glucose-dependent insulinotropic polypeptide receptor (GIPR).</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MARITIME-1, a Phase 3 study of MariTide for chronic weight management, has completed enrollment of adults living with obesity or overweight, without Type 2 Diabetes (T2D).</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MARITIME-2, a Phase 3 study of MariTide for chronic weight management, has completed enrollment of adults living with obesity or overweight, with T2D.</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MARITIME-CV, a Phase 3 study of MariTide on cardiovascular (CV) outcomes, is enrolling adults living with established atherosclerotic cardiovascular disease and obesity or overweight.</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MARITIME-HF, a Phase 3 study of MariTide on reduction of heart failure events and cardiovascular risk, is enrolling adults living with heart failure with preserved or mildly reduced ejection fraction and obesity.</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MARITIME-OSA-1, a Phase 3 study of MariTide, was recently initiated in adults living with obstructive sleep apnea on positive airway pressure therapy and living with obesity or overweight.</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MARITIME-OSA-2, a Phase 3 study of MariTide, was recently initiated in adults living with obstructive sleep apnea not on positive airway pressure therapy and living with obesity or overweight.</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8</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Part 2 of the Phase 2 chronic weight management study is ongoing in adults living with obesity or overweight, with or without T2D. Data readout is anticipated in Q4 2025.</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2 study investigating MariTide for the treatment of T2D is ongoing in adults living with and without obesity. Data readout is anticipated in Q4 2025.</w:t>
      </w:r>
    </w:p>
    <w:p>
      <w:pPr>
        <w:pStyle w:val="TextBody"/>
        <w:bidi w:val="0"/>
        <w:spacing w:before="120" w:after="283"/>
        <w:jc w:val="both"/>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AMG 513</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1 study of AMG 513 is enrolling adults living with obesity.</w:t>
      </w:r>
    </w:p>
    <w:p>
      <w:pPr>
        <w:pStyle w:val="TextBody"/>
        <w:bidi w:val="0"/>
        <w:spacing w:before="0" w:after="120"/>
        <w:jc w:val="both"/>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 xml:space="preserve">Repatha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In October, the Company announced that the Phase 3 VESALIUS-CV clinical trial met its dual primary endpoints demonstrating that Repatha significantly reduced the risk of major adverse CV events (MACE) in individuals without a prior history of heart attack or stroke.</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The landmark Phase 3 VESALIUS-CV trial enrolled over 12,000 high-risk patients, approximately 85% of whom were maintained on a high or moderate intensity low-density lipoprotein cholesterol (LDL-C) reducing therapy. Patients were followed for a median of approximately 4.5 years.</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The VESALIUS-CV primary endpoints were time to first occurrence of a composite of coronary heart disease (CHD) death, heart attack or ischemic stroke as well as time to first occurrence of a composite of CHD death, heart attack, ischemic stroke or any ischemia-driven arterial revascularization. The results show that the primary endpoints were both statistically and clinically significant. No new safety signals were observed.</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Full results from the trial will be presented at the American Heart Association Scientific Sessions (AHA) on November 8th and will be submitted for publication in a peer-reviewed journal.</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Results from a real-world study of patients with established atherosclerotic CV disease treated with Repatha in clinical practice will also be presented at AHA. These data will offer new insights into the effectiveness of Repatha in secondary prevention to reduce the incidence of MACE in these patients. The primary endpoint of this study was the composite of heart attack, stroke and coronary revascularization, and the secondary endpoint was a composite of heart attack, stroke and CV disease death.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EVOLVE-MI, a Phase 4 study of Repatha administered within 10 days of an acute myocardial infarction to reduce the risk of CV events, is ongoing.</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 xml:space="preserve">Olpasiran (AMG 890)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Olpasiran is a potentially best-in-class small interfering ribonucleic acid (siRNA) molecule that reduces lipoprotein(a) (Lp(a)) synthesis in the liver.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The OCEAN(a)-Outcomes trial, a Phase 3 secondary prevention CV outcomes study, is ongoing in patients with atherosclerotic CV disease and elevated Lp(a).</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The OCEAN(a)-PreEvent trial, a Phase 3 primary prevention CV outcomes study, was initiated and is enrolling patients with elevated LP(a) at risk for a first major CV event.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9</w:t>
      </w:r>
    </w:p>
    <w:p>
      <w:pPr>
        <w:pStyle w:val="TextBody"/>
        <w:bidi w:val="0"/>
        <w:spacing w:lineRule="auto" w:line="276" w:before="120" w:after="120"/>
        <w:jc w:val="both"/>
        <w:rPr>
          <w:rFonts w:ascii="Century Gothic;sans-serif" w:hAnsi="Century Gothic;sans-serif"/>
          <w:b/>
          <w:color w:val="000000"/>
          <w:sz w:val="22"/>
        </w:rPr>
      </w:pPr>
      <w:r>
        <w:rPr>
          <w:rFonts w:ascii="Century Gothic;sans-serif" w:hAnsi="Century Gothic;sans-serif"/>
          <w:b/>
          <w:color w:val="000000"/>
          <w:sz w:val="22"/>
        </w:rPr>
        <w:t>Rare Disease</w:t>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 xml:space="preserve">UPLIZNA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In October, additional subgroup data from the Phase 3 MITIGATE trial of UPLIZNA in IgG4-related disease (IgG4-RD), grouped by baseline characteristics and organ involvement (e.g., pancreas, kidney, bile ducts), were presented at the American College of Rheumatology Annual Meeting. These analyses showed benefits comparable to those seen in the overall trial population, supporting UPLIZNA’s potential across the spectrum of IgG4-RD.</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U.S. Food and Drug Administration (FDA) review of the MINT Phase 3 data in patients with generalized myasthenia gravis is ongoing, with a PDUFA date of December 14, 2025.</w:t>
      </w:r>
    </w:p>
    <w:p>
      <w:pPr>
        <w:pStyle w:val="TextBody"/>
        <w:bidi w:val="0"/>
        <w:spacing w:before="0" w:after="120"/>
        <w:jc w:val="both"/>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TEPEZZA</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3 study of TEPEZZA in Japan has completed enrollment of patients with chronic/low clinical activity score thyroid eye disease (TED).</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3 study evaluating the subcutaneous route of administration of teprotumumab is ongoing in patients with TED.</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 xml:space="preserve">TAVNEOS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3, open-label study of TAVNEOS in combination with rituximab or a cyclophosphamide-containing regimen is enrolling patients from 6 years to &lt; 18 years of age with active ANCA-associated vasculitis (Granulomatosis with Polyangiitis (GPA)/Microscopic Polyangiitis (MPA)).</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Dazodalibep</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Dazodalibep is a fusion protein that inhibits CD40L.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Two Phase 3 studies of dazodalibep in Sjögren’s disease are underway. The first study is ongoing in patients with moderate-to-severe systemic disease activity. The second study is enrolling patients with moderate-to-severe symptomatic burden and low systemic disease activity.</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Daxdilimab</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Daxdilimab is a fully human monoclonal antibody targeting immunoglobulin-like transcript 7 (ILT7).</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2 study of daxdilimab is ongoing in patients with moderate-to-severe active primary discoid lupus erythematosus refractory to standard of care.</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2 study of daxdilimab is ongoing in patients with dermatomyositis and antisynthetase inflammatory myositis.</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AMG 329</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AMG 329 is a fully human monoclonal antibody targeting FMS-like tyrosine kinase 3 (FLT3) ligand.</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2 study of AMG 329 is ongoing in patients with Sjögren’s disease.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10</w:t>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 xml:space="preserve">AMG 732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AMG 732 is an insulin-like growth factor-1 receptor (IGF-1R) targeting monoclonal antibody.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A Phase 2 study of AMG 732 is enrolling patients with moderate-to-severe active TED. </w:t>
      </w:r>
    </w:p>
    <w:p>
      <w:pPr>
        <w:pStyle w:val="TextBody"/>
        <w:bidi w:val="0"/>
        <w:spacing w:before="0" w:after="120"/>
        <w:jc w:val="both"/>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Inflammation</w:t>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TEZSPIRE</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In October, the FDA approved TEZSPIRE for the add on maintenance treatment of adult and pediatric patients aged 12 years and older with inadequately controlled chronic rhinosinusitis with nasal polyps (CRSwNP).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Two Phase 3 studies of TEZSPIRE are enrolling adults with moderate to very severe chronic obstructive pulmonary disease (COPD) and a BEC ≥ 150 cells/µl.</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3 study of TEZSPIRE is ongoing in patients with eosinophilic esophagitis.</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 xml:space="preserve">Rocatinlimab (AMG 451/KHK4083)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Rocatinlimab is a first-in-class T-cell rebalancing monoclonal antibody that inhibits and reduces OX40-positive pathogenic T-cells.</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The eight study ROCKET Phase 3 program evaluating rocatinlimab in patients with moderate-to-severe atopic dermatitis (AD) has enrolled over 3,300 patients. Enrollment is now complete across all eight studies.</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In September, Amgen and Kyowa Kirin Co., Ltd. announced preliminary top-line results from the ASCEND study evaluating long term maintenance use of rocatinlimab with every four week and every eight-week dosing, in adults and adolescents with moderate to severe AD</w:t>
      </w:r>
      <w:r>
        <w:rPr>
          <w:rFonts w:ascii="Century Gothic;sans-serif" w:hAnsi="Century Gothic;sans-serif"/>
          <w:b w:val="false"/>
          <w:color w:val="000000"/>
          <w:sz w:val="14"/>
        </w:rPr>
        <w:t>1</w:t>
      </w:r>
      <w:r>
        <w:rPr>
          <w:rFonts w:ascii="Century Gothic;sans-serif" w:hAnsi="Century Gothic;sans-serif"/>
          <w:b w:val="false"/>
          <w:color w:val="000000"/>
          <w:sz w:val="22"/>
        </w:rPr>
        <w:t>. The ongoing ASCEND study will continue to evaluate the long-term safety profile of rocatinlimab.</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ROCKET ASTRO a 52-week study of rocatinlimab is complete. This study evaluated two doses of rocatinlimab (150 mg and 300 mg) as monotherapy and in combination with background low to medium potency topical corticosteroids and/or topical calcineurin inhibitor therapy in adolescent patients with moderate-to-severe AD. The co-primary and secondary efficacy endpoints were met. These endpoints assessed the efficacy at week 24 of rocatinlimab dosed every four weeks. Overall, safety events were consistent with other trials in the ROCKET program.</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2 study of rocatinlimab is ongoing in patients with moderate-to-severe asthma.</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3 study of rocatinlimab has completed enrollment of patients with prurigo nodularis.</w:t>
      </w:r>
    </w:p>
    <w:p>
      <w:pPr>
        <w:pStyle w:val="TextBody"/>
        <w:bidi w:val="0"/>
        <w:spacing w:before="120" w:after="283"/>
        <w:jc w:val="both"/>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Blinatumomab</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Blinatumomab is a bispecific T-cell engager (BiTE</w:t>
      </w:r>
      <w:r>
        <w:rPr>
          <w:rFonts w:ascii="Century Gothic;sans-serif" w:hAnsi="Century Gothic;sans-serif"/>
          <w:b w:val="false"/>
          <w:color w:val="000000"/>
          <w:sz w:val="14"/>
        </w:rPr>
        <w:t>®</w:t>
      </w:r>
      <w:r>
        <w:rPr>
          <w:rFonts w:ascii="Century Gothic;sans-serif" w:hAnsi="Century Gothic;sans-serif"/>
          <w:b w:val="false"/>
          <w:color w:val="000000"/>
          <w:sz w:val="22"/>
        </w:rPr>
        <w:t>) molecule targeting CD19.</w:t>
      </w:r>
    </w:p>
    <w:p>
      <w:pPr>
        <w:pStyle w:val="TextBody"/>
        <w:bidi w:val="0"/>
        <w:spacing w:lineRule="auto" w:line="288" w:before="0" w:after="0"/>
        <w:jc w:val="both"/>
        <w:rPr/>
      </w:pPr>
      <w:r>
        <w:rPr>
          <w:rFonts w:ascii="Century Gothic;sans-serif" w:hAnsi="Century Gothic;sans-serif"/>
          <w:b w:val="false"/>
          <w:color w:val="000000"/>
          <w:sz w:val="12"/>
        </w:rPr>
        <w:t>1</w:t>
      </w:r>
      <w:r>
        <w:rPr>
          <w:rFonts w:ascii="Century Gothic;sans-serif" w:hAnsi="Century Gothic;sans-serif"/>
          <w:b w:val="false"/>
          <w:color w:val="000000"/>
          <w:sz w:val="18"/>
        </w:rPr>
        <w:t>https://wwwext.amgen.com/newsroom/press-releases/2025/09/amgen-and-kyowa-kirin-announce-top-line-results-from-rocatinlimab-phase-3-ascend-long-term-extension-study-in-adults-with-moderate-to-severe-atopic-dermatitis</w:t>
      </w:r>
    </w:p>
    <w:p>
      <w:pPr>
        <w:pStyle w:val="TextBody"/>
        <w:bidi w:val="0"/>
        <w:spacing w:lineRule="auto" w:line="288"/>
        <w:jc w:val="both"/>
        <w:rPr>
          <w:rFonts w:ascii="Century Gothic;sans-serif" w:hAnsi="Century Gothic;sans-serif"/>
          <w:b w:val="false"/>
          <w:i/>
          <w:color w:val="000000"/>
          <w:sz w:val="18"/>
        </w:rPr>
      </w:pPr>
      <w:r>
        <w:rPr>
          <w:rFonts w:ascii="Century Gothic;sans-serif" w:hAnsi="Century Gothic;sans-serif"/>
          <w:b w:val="false"/>
          <w:i/>
          <w:color w:val="000000"/>
          <w:sz w:val="18"/>
        </w:rPr>
        <w:t>This website address is not intended to function as a hyperlink, and the information contained on our website is not intended to be a part of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11</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A Phase 2 study of blinatumomab in autoimmune disease is enrolling adults with systemic lupus erythematosus (SLE), with and without nephritis, and is enrolling adults with refractory rheumatoid arthritis. </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Inebilizumab</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Inebilizumab is a B-cell depleting monoclonal antibody targeting CD19.</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2 study of inebilizumab in autoimmune disease is enrolling adults with SLE with nephritis.</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AMG 104 (AZD8630)</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AMG 104 is an inhaled anti-thymic stromal lymphopoietin (TSLP) fragment antigen-binding (Fab) protein.</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A Phase 2 study has completed enrollment of patients with asthma. </w:t>
      </w:r>
    </w:p>
    <w:p>
      <w:pPr>
        <w:pStyle w:val="TextBody"/>
        <w:bidi w:val="0"/>
        <w:spacing w:before="120" w:after="120"/>
        <w:jc w:val="both"/>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Oncology</w:t>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BLINCYTO / blinatumomab</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The dose-expansion and optimization phase of a Phase 1/2 study of subcutaneous blinatumomab in adult patients with relapsed or refractory CD19-positive Philadelphia chromosome (Ph) negative B-cell precursor acute lymphoblastic leukemia (B-ALL) is complete. The potentially registration-enabling Phase 2 portion of this study was initiated and is enrolling both adults and adolescents.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Golden Gate, a Phase 3 study of BLINCYTO alternating with low-intensity chemotherapy, is enrolling older adult patients with newly diagnosed CD19-positive Ph-negative B-ALL.</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IMDELLTRA / tarlatamab</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IMDELLTRA is the first and only FDA-approved delta-like ligand 3 (DLL3) targeting BiTE molecule.</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In September, results from DeLLphi 303 a Phase 1b study of IMDELLTRA in combination with a PD-L1 inhibitor in the first-line maintenance setting of extensive-stage small cell lung cancer (ES-SCLC) were presented at the World Conference on Lung Cancer and simultaneously published in </w:t>
      </w:r>
      <w:r>
        <w:rPr>
          <w:rFonts w:ascii="Century Gothic;sans-serif" w:hAnsi="Century Gothic;sans-serif"/>
          <w:b w:val="false"/>
          <w:i/>
          <w:color w:val="000000"/>
          <w:sz w:val="22"/>
        </w:rPr>
        <w:t>Lancet Oncology</w:t>
      </w:r>
      <w:r>
        <w:rPr>
          <w:rFonts w:ascii="Century Gothic;sans-serif" w:hAnsi="Century Gothic;sans-serif"/>
          <w:b w:val="false"/>
          <w:color w:val="000000"/>
          <w:sz w:val="22"/>
        </w:rPr>
        <w:t>. The addition of IMDELLTRA to a PD-L1 inhibitor as first-line maintenance therapy for ES-SCLC demonstrated a manageable safety profile consistent with the known safety of each component, sustained disease control, and promising median overall survival of 25.3 months, supporting further investigation of this combination in the Phase 3 DeLLphi-305 study.</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In October, additional results from separate arms of the DeLLphi 303 Phase 1b study which evaluated IMDELLTRA in combination with platinum-based chemotherapy and a PD-L1 inhibitor in the first line setting of ES-SCLC were presented at the Annual Congress of the European Society for Medical Oncology (ESMO). IMDELLTRA in combination with first-line chemo-immunotherapy induction followed by IMDELLTRA with PD-L1 inhibitor maintenance therapy demonstrated a manageable safety profile consistent with the known safety of each component and promising initial survival outcomes. In this study median overall survival was not yet reached, the Kaplan-Meier estimate of overall survival at 12 months was 81%. These data support further investigation of this combination in the Phase 3 DeLLphi-312 study.</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12</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The U.S. regulatory submission of DeLLphi 304 a global Phase 3 confirmatory study evaluating IMDELLTRA vs. standard of care in subjects with relapsed ES-SCLC after platinum-based first-line chemotherapy was accepted with a PDUFA date of December 18, 2025. Regulatory reviews are also underway in a number of additional geographies.</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The Company is advancing a comprehensive, global clinical development program across extensive-stage (ES) and limited-stage (LS) SCLC:</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DeLLphi-303, a Phase 1b study of IMDELLTRA in combination with a programmed cell death protein ligand-1 (PD-L1) inhibitor, carboplatin and etoposide or separately in combination with a PD-L1 inhibitor alone, is ongoing in patients with first-line ES-SCLC.</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DeLLphi-305, a Phase 3 study of IMDELLTRA and durvalumab has completed enrollment of patients with first-line ES-SCLC in the maintenance setting.</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DeLLphi-306, a Phase 3 study of IMDELLTRA following concurrent chemoradiation therapy, is enrolling patients with LS-SCLC.</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DeLLphi-308, a Phase 1b study evaluating subcutaneous tarlatamab, is enrolling patients with second line or later ES-SCLC.</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DeLLphi-309, a Phase 2 study evaluating alternative intravenous dosing regimens of IMDELLTRA in second-line ES-SCLC, is enrolling patients.</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DeLLphi-310, a Phase 1b study of IMDELLTRA in combination with YL201, a B7-H3 targeting antibody-drug conjugate, with or without a PD-L1 inhibitor, is enrolling patients with ES-SCLC.</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DeLLphi-311, a Phase 1b study of IMDELLTRA in combination with etakafusp alfa (AB248), a novel CD8+ T-cell selective interleukin-2 (IL-2), is enrolling patients with ES-SCLC.</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DeLLphi-312, a Phase 3 study of first-line IMDELLTRA in combination with carboplatin, etoposide and durvalumab, is enrolling patients with ES-SCLC.</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Xaluritamig (AMG 509)</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Xaluritamig is a first-in-class bispecific T-cell engager targeting six-transmembrane epithelial antigen of prostate 1 (STEAP1).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XALute, a Phase 3 study of xaluritamig, is enrolling patients with metastatic castrate resistant prostate cancer (mCRPC) who have previously been treated with taxane-based chemotherapy.</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XALience, a Phase 3 study of xaluritamig in combination with abiraterone versus investigator’s choice therapy was initiated in patients with chemotherapy-naïve mCRPC.</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A Phase 1 study of xaluritamig monotherapy and xaluritamig in combination with abiraterone is ongoing in patients with mCRPC who have not yet received taxane-based chemotherapy. This study is also ongoing in patients with mCRPC who have previously received taxane-based chemotherapy in a fully outpatient treatment setting to further improve administration convenience.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A Phase 1b study of neoadjuvant xaluritamig therapy prior to radical prostatectomy is enrolling patients with newly diagnosed localized intermediate or high‐risk prostate cancer.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13</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1b study of xaluritamig is enrolling patients with high-risk biochemically recurrent prostate cancer after definitive therapy.</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1b study of xaluritamig in combination with androgen receptor pathway inhibitors was initiated and is enrolling patients with metastatic hormone-sensitive prostate cancer.</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Bemarituzumab</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Bemarituzumab is a first-in-class fibroblast growth factor receptor 2b (FGFR2b) targeting monoclonal antibody.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In October, the full results from both the interim analysis and descriptive follow-up analysis of the Phase 3 FORTITUDE-101 clinical trial of bemarituzumab plus chemotherapy (mFOLFOX6) in first-line gastric cancer were presented at ESMO. The results showed:</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At the primary analysis bemarituzumab plus chemotherapy led to a statistically significant improvement in overall survival (OS) with a median OS of 17.9 months in the bemarituzumab + mFOLFOX6 arm versus 12.5 months in the placebo + mFOLFOX6 arm, Hazard Ratio (HR) (95%): 0.61 (0.43 - 0.86; P = 0.005).</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At the descriptive follow-up analysis, median OS in the bemarituzumab plus mFOLFOX6 arm was 14.5 months (95% C.I 13.0-17.9 months) while the median OS in the placebo plus mFOLFOX6 arm was 13.2 months (95% CI 10.9-14.7 months), HR (95%): 0.82 (0.62-1.08).</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FORTITUDE-102, a Phase 1b/3 study of bemarituzumab plus chemotherapy and nivolumab in patients with first-line gastric cancer was stopped.</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FORTITUDE-103, a Phase 1b/2 study of bemarituzumab plus oral chemotherapy regimens with or without nivolumab, has completed enrollment of patients with first-line gastric cancer.</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FORTITUDE-301, a Phase 1b/2 basket study of bemarituzumab monotherapy, is ongoing in patients with solid tumors with FGFR2b overexpression.</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AMG 193</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AMG 193 is a first-in-class small molecule methylthioadenosine (MTA)-cooperative protein arginine methyltransferase 5 (PRMT5) inhibitor.</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2 study of AMG 193 is enrolling patients with methylthioadenosine phosphorylase (MTAP)-null previously treated advanced non-small cell lung cancer (NSCLC).</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1/1b/2 study of AMG 193 is enrolling patients with advanced MTAP-null solid tumors in the dose-expansion portion of the study.</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1b study of AMG 193 alone or in combination with other therapies is enrolling patients with advanced MTAP-null thoracic malignancies.</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Phase 1b study of AMG 193 in combination with other therapies is enrolling patients with advanced MTAP-null gastrointestinal, biliary tract, or pancreatic cancers.</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 xml:space="preserve">LUMAKRAS/LUMYKRAS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CodeBreaK 301, a Phase 3 study of LUMAKRAS in combination with Vectibix and FOLFIRI vs. FOLFIRI with or without bevacizumab-awwb, is enrolling patients with first-line KRAS G12C–mutated metastatic colorectal cancer.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14</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CodeBreaK 202, a Phase 3 study of LUMAKRAS plus platinum doublet chemotherapy vs. pembrolizumab plus chemotherapy, is enrolling patients with first-line KRAS G12C–mutated and PD-L1 negative advanced NSCLC.</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 xml:space="preserve">Nplate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PROCLAIM, a Phase 3 study of Nplate for the treatment of chemotherapy-induced thrombocytopenia, is enrolling patients with NSCLC, ovarian cancer, or breast cancer.</w:t>
      </w:r>
    </w:p>
    <w:p>
      <w:pPr>
        <w:pStyle w:val="TextBody"/>
        <w:bidi w:val="0"/>
        <w:spacing w:before="0" w:after="0"/>
        <w:jc w:val="left"/>
        <w:rPr/>
      </w:pPr>
      <w:r>
        <w:rPr/>
      </w:r>
    </w:p>
    <w:p>
      <w:pPr>
        <w:pStyle w:val="TextBody"/>
        <w:bidi w:val="0"/>
        <w:spacing w:lineRule="auto" w:line="276" w:before="0" w:after="120"/>
        <w:jc w:val="both"/>
        <w:rPr>
          <w:rFonts w:ascii="Century Gothic;sans-serif" w:hAnsi="Century Gothic;sans-serif"/>
          <w:b/>
          <w:color w:val="000000"/>
          <w:sz w:val="22"/>
        </w:rPr>
      </w:pPr>
      <w:r>
        <w:rPr>
          <w:rFonts w:ascii="Century Gothic;sans-serif" w:hAnsi="Century Gothic;sans-serif"/>
          <w:b/>
          <w:color w:val="000000"/>
          <w:sz w:val="22"/>
        </w:rPr>
        <w:t>Biosimilars</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randomized, double-blind pharmacokinetic similarity study of ABP 206 compared with OPDIVO</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(nivolumab) in patients with resected stage III or stage IV melanoma in the adjuvant setting met the primary endpoint of pharmacokinetic similarity.</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 xml:space="preserve">A randomized, double-blind comparative clinical study of ABP 206 compared with OPDIVO is enrolling patients with treatment-naïve unresectable or metastatic melanoma. </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randomized, double-blind pharmacokinetic similarity study of ABP 234 compared with KEYTRUDA</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(pembrolizumab) is enrolling patients with early-stage non-squamous NSCLC as adjuvant treatment.</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randomized, double-blind combined pharmacokinetic/comparative clinical study of ABP 234 compared to KEYTRUDA is enrolling patients with advanced or metastatic non-squamous NSCLC.</w:t>
      </w:r>
    </w:p>
    <w:p>
      <w:pPr>
        <w:pStyle w:val="TextBody"/>
        <w:bidi w:val="0"/>
        <w:spacing w:lineRule="auto" w:line="288" w:before="120" w:after="283"/>
        <w:ind w:left="0" w:right="0" w:hanging="360"/>
        <w:jc w:val="both"/>
        <w:rPr/>
      </w:pPr>
      <w:r>
        <w:rPr>
          <w:color w:val="000000"/>
        </w:rPr>
        <w:t>•</w:t>
      </w:r>
      <w:r>
        <w:rPr>
          <w:rFonts w:ascii="Century Gothic;sans-serif" w:hAnsi="Century Gothic;sans-serif"/>
          <w:b w:val="false"/>
          <w:color w:val="000000"/>
          <w:sz w:val="22"/>
        </w:rPr>
        <w:t>A randomized, double-blind, pharmacokinetic similarity/comparative clinical study of ABP 692 compared to OCREVUS</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 xml:space="preserve">(ocrelizumab) is enrolling patients with relapsing-remitting multiple sclerosis. </w:t>
      </w:r>
    </w:p>
    <w:p>
      <w:pPr>
        <w:pStyle w:val="TextBody"/>
        <w:bidi w:val="0"/>
        <w:spacing w:before="0" w:after="0"/>
        <w:jc w:val="both"/>
        <w:rPr/>
      </w:pPr>
      <w:r>
        <w:rPr/>
      </w:r>
    </w:p>
    <w:p>
      <w:pPr>
        <w:pStyle w:val="TextBody"/>
        <w:bidi w:val="0"/>
        <w:spacing w:lineRule="auto" w:line="288" w:before="0" w:after="0"/>
        <w:jc w:val="both"/>
        <w:rPr>
          <w:rFonts w:ascii="Century Gothic;sans-serif" w:hAnsi="Century Gothic;sans-serif"/>
          <w:b w:val="false"/>
          <w:i/>
          <w:color w:val="000000"/>
          <w:sz w:val="22"/>
        </w:rPr>
      </w:pPr>
      <w:r>
        <w:rPr>
          <w:rFonts w:ascii="Century Gothic;sans-serif" w:hAnsi="Century Gothic;sans-serif"/>
          <w:b w:val="false"/>
          <w:i/>
          <w:color w:val="000000"/>
          <w:sz w:val="22"/>
        </w:rPr>
        <w:t>TEZSPIRE is being developed in collaboration with AstraZeneca.</w:t>
      </w:r>
    </w:p>
    <w:p>
      <w:pPr>
        <w:pStyle w:val="TextBody"/>
        <w:bidi w:val="0"/>
        <w:spacing w:lineRule="auto" w:line="288" w:before="0" w:after="0"/>
        <w:jc w:val="both"/>
        <w:rPr>
          <w:rFonts w:ascii="Century Gothic;sans-serif" w:hAnsi="Century Gothic;sans-serif"/>
          <w:b w:val="false"/>
          <w:i/>
          <w:color w:val="000000"/>
          <w:sz w:val="22"/>
        </w:rPr>
      </w:pPr>
      <w:r>
        <w:rPr>
          <w:rFonts w:ascii="Century Gothic;sans-serif" w:hAnsi="Century Gothic;sans-serif"/>
          <w:b w:val="false"/>
          <w:i/>
          <w:color w:val="000000"/>
          <w:sz w:val="22"/>
        </w:rPr>
        <w:t>AMG 104 is being developed in collaboration with AstraZeneca.</w:t>
      </w:r>
    </w:p>
    <w:p>
      <w:pPr>
        <w:pStyle w:val="TextBody"/>
        <w:bidi w:val="0"/>
        <w:spacing w:lineRule="auto" w:line="288" w:before="0" w:after="0"/>
        <w:jc w:val="both"/>
        <w:rPr>
          <w:rFonts w:ascii="Century Gothic;sans-serif" w:hAnsi="Century Gothic;sans-serif"/>
          <w:b w:val="false"/>
          <w:i/>
          <w:color w:val="000000"/>
          <w:sz w:val="22"/>
        </w:rPr>
      </w:pPr>
      <w:r>
        <w:rPr>
          <w:rFonts w:ascii="Century Gothic;sans-serif" w:hAnsi="Century Gothic;sans-serif"/>
          <w:b w:val="false"/>
          <w:i/>
          <w:color w:val="000000"/>
          <w:sz w:val="22"/>
        </w:rPr>
        <w:t>Rocatinlimab, formerly AMG 451/KHK4083, is being developed in collaboration with Kyowa Kirin.</w:t>
      </w:r>
    </w:p>
    <w:p>
      <w:pPr>
        <w:pStyle w:val="TextBody"/>
        <w:bidi w:val="0"/>
        <w:spacing w:lineRule="auto" w:line="288" w:before="0" w:after="0"/>
        <w:jc w:val="both"/>
        <w:rPr>
          <w:rFonts w:ascii="Century Gothic;sans-serif" w:hAnsi="Century Gothic;sans-serif"/>
          <w:b w:val="false"/>
          <w:i/>
          <w:color w:val="000000"/>
          <w:sz w:val="22"/>
        </w:rPr>
      </w:pPr>
      <w:r>
        <w:rPr>
          <w:rFonts w:ascii="Century Gothic;sans-serif" w:hAnsi="Century Gothic;sans-serif"/>
          <w:b w:val="false"/>
          <w:i/>
          <w:color w:val="000000"/>
          <w:sz w:val="22"/>
        </w:rPr>
        <w:t xml:space="preserve">Xaluritamig, formerly AMG 509, is being developed pursuant to a research collaboration with Xencor, Inc. </w:t>
      </w:r>
    </w:p>
    <w:p>
      <w:pPr>
        <w:pStyle w:val="TextBody"/>
        <w:bidi w:val="0"/>
        <w:spacing w:lineRule="auto" w:line="288" w:before="0" w:after="0"/>
        <w:jc w:val="both"/>
        <w:rPr>
          <w:rFonts w:ascii="Century Gothic;sans-serif" w:hAnsi="Century Gothic;sans-serif"/>
          <w:b w:val="false"/>
          <w:i/>
          <w:color w:val="000000"/>
          <w:sz w:val="22"/>
        </w:rPr>
      </w:pPr>
      <w:r>
        <w:rPr>
          <w:rFonts w:ascii="Century Gothic;sans-serif" w:hAnsi="Century Gothic;sans-serif"/>
          <w:b w:val="false"/>
          <w:i/>
          <w:color w:val="000000"/>
          <w:sz w:val="22"/>
        </w:rPr>
        <w:t>YL201 is an investigational B7-H3 targeting antibody-drug conjugate being developed by MediLink.</w:t>
      </w:r>
    </w:p>
    <w:p>
      <w:pPr>
        <w:pStyle w:val="TextBody"/>
        <w:bidi w:val="0"/>
        <w:spacing w:lineRule="auto" w:line="288" w:before="0" w:after="0"/>
        <w:jc w:val="both"/>
        <w:rPr>
          <w:rFonts w:ascii="Century Gothic;sans-serif" w:hAnsi="Century Gothic;sans-serif"/>
          <w:b w:val="false"/>
          <w:i/>
          <w:color w:val="000000"/>
          <w:sz w:val="22"/>
        </w:rPr>
      </w:pPr>
      <w:r>
        <w:rPr>
          <w:rFonts w:ascii="Century Gothic;sans-serif" w:hAnsi="Century Gothic;sans-serif"/>
          <w:b w:val="false"/>
          <w:i/>
          <w:color w:val="000000"/>
          <w:sz w:val="22"/>
        </w:rPr>
        <w:t>Etakafusp alfa (AB248) is a novel CD8+ T cell selective interleukin-2 (IL-2) being developed by Asher Biotherapeutics.</w:t>
      </w:r>
    </w:p>
    <w:p>
      <w:pPr>
        <w:pStyle w:val="TextBody"/>
        <w:bidi w:val="0"/>
        <w:spacing w:lineRule="auto" w:line="288" w:before="0" w:after="0"/>
        <w:jc w:val="both"/>
        <w:rPr>
          <w:rFonts w:ascii="Century Gothic;sans-serif" w:hAnsi="Century Gothic;sans-serif"/>
          <w:b w:val="false"/>
          <w:i/>
          <w:color w:val="000000"/>
          <w:sz w:val="22"/>
        </w:rPr>
      </w:pPr>
      <w:r>
        <w:rPr>
          <w:rFonts w:ascii="Century Gothic;sans-serif" w:hAnsi="Century Gothic;sans-serif"/>
          <w:b w:val="false"/>
          <w:i/>
          <w:color w:val="000000"/>
          <w:sz w:val="22"/>
        </w:rPr>
        <w:t>OPDIVO is a registered trademark of Bristol-Myers Squibb Company.</w:t>
      </w:r>
    </w:p>
    <w:p>
      <w:pPr>
        <w:pStyle w:val="TextBody"/>
        <w:bidi w:val="0"/>
        <w:spacing w:lineRule="auto" w:line="288" w:before="0" w:after="0"/>
        <w:jc w:val="both"/>
        <w:rPr>
          <w:rFonts w:ascii="Century Gothic;sans-serif" w:hAnsi="Century Gothic;sans-serif"/>
          <w:b w:val="false"/>
          <w:i/>
          <w:color w:val="000000"/>
          <w:sz w:val="22"/>
        </w:rPr>
      </w:pPr>
      <w:r>
        <w:rPr>
          <w:rFonts w:ascii="Century Gothic;sans-serif" w:hAnsi="Century Gothic;sans-serif"/>
          <w:b w:val="false"/>
          <w:i/>
          <w:color w:val="000000"/>
          <w:sz w:val="22"/>
        </w:rPr>
        <w:t>KEYTRUDA is a registered trademark of Merck &amp; Co., Inc.</w:t>
      </w:r>
    </w:p>
    <w:p>
      <w:pPr>
        <w:pStyle w:val="TextBody"/>
        <w:bidi w:val="0"/>
        <w:spacing w:lineRule="auto" w:line="288" w:before="0" w:after="0"/>
        <w:jc w:val="both"/>
        <w:rPr>
          <w:rFonts w:ascii="Century Gothic;sans-serif" w:hAnsi="Century Gothic;sans-serif"/>
          <w:b w:val="false"/>
          <w:i/>
          <w:color w:val="000000"/>
          <w:sz w:val="22"/>
        </w:rPr>
      </w:pPr>
      <w:r>
        <w:rPr>
          <w:rFonts w:ascii="Century Gothic;sans-serif" w:hAnsi="Century Gothic;sans-serif"/>
          <w:b w:val="false"/>
          <w:i/>
          <w:color w:val="000000"/>
          <w:sz w:val="22"/>
        </w:rPr>
        <w:t>OCREVUS is a registered trademark of Genentech, Inc.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Non-GAAP Financial Measures</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 xml:space="preserve">In this news release, management has presented its operating results for the third quarters of 2025 and 2024, in accordance with U.S. Generally Accepted Accounting Principles (GAAP) and on a non-GAAP basis. In addition, management has presented its full year 2025 EPS and tax guidance in accordance with GAAP and on a non-GAAP basis. These non-GAAP financial measures are computed by excluding certain items related to acquisitions, divestitures, restructuring and certain other items from the related GAAP financial measures. Management has presented Free Cash Flow (FCF), which is a non-GAAP financial measure, for the third quarters of 2025 and 2024. FCF is computed by subtracting capital expenditures from operating cash flow, each as determined in accordance with GAAP.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15</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The Company believes that its presentation of non-GAAP financial measures provides useful supplementary information to and facilitates additional analysis by investors. The Company uses certain non-GAAP financial measures to enhance an investor’s overall understanding of the financial performance and prospects for the future of the Company’s normal and recurring business activities by facilitating comparisons of results of normal and recurring business operations among current, past and future periods. The Company believes that FCF provides a further measure of the Company’s liquidity.</w:t>
      </w:r>
    </w:p>
    <w:p>
      <w:pPr>
        <w:pStyle w:val="TextBody"/>
        <w:bidi w:val="0"/>
        <w:spacing w:lineRule="auto" w:line="288" w:before="0" w:after="120"/>
        <w:jc w:val="both"/>
        <w:rPr>
          <w:rFonts w:ascii="Century Gothic;sans-serif" w:hAnsi="Century Gothic;sans-serif"/>
          <w:b w:val="false"/>
          <w:color w:val="000000"/>
          <w:sz w:val="22"/>
        </w:rPr>
      </w:pPr>
      <w:r>
        <w:rPr>
          <w:rFonts w:ascii="Century Gothic;sans-serif" w:hAnsi="Century Gothic;sans-serif"/>
          <w:b w:val="false"/>
          <w:color w:val="000000"/>
          <w:sz w:val="22"/>
        </w:rPr>
        <w:t>The Company uses the non-GAAP financial measures set forth in the news release in connection with its own budgeting and financial planning internally to evaluate the performance of the business, including to allocate resources and to evaluate results relative to incentive compensation targets. The non-GAAP financial measures are in addition to, not a substitute for, or superior to, measures of financial performance prepared in accordance with GAAP.</w:t>
      </w: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About Amgen</w:t>
      </w:r>
    </w:p>
    <w:p>
      <w:pPr>
        <w:pStyle w:val="TextBody"/>
        <w:bidi w:val="0"/>
        <w:spacing w:lineRule="auto" w:line="288" w:before="0" w:after="120"/>
        <w:jc w:val="both"/>
        <w:rPr/>
      </w:pPr>
      <w:r>
        <w:rPr>
          <w:rFonts w:ascii="Century Gothic;sans-serif" w:hAnsi="Century Gothic;sans-serif"/>
          <w:b w:val="false"/>
          <w:color w:val="000000"/>
          <w:sz w:val="22"/>
        </w:rPr>
        <w:t>Amgen discovers, develops, manufactures and delivers innovative medicines to help millions of patients in their fight against some of the world</w:t>
      </w:r>
      <w:r>
        <w:rPr>
          <w:color w:val="000000"/>
          <w:shd w:fill="FFFFFF" w:val="clear"/>
        </w:rPr>
        <w:t>’</w:t>
      </w:r>
      <w:r>
        <w:rPr>
          <w:rFonts w:ascii="Century Gothic;sans-serif" w:hAnsi="Century Gothic;sans-serif"/>
          <w:b w:val="false"/>
          <w:color w:val="000000"/>
          <w:sz w:val="22"/>
        </w:rPr>
        <w:t>s toughest diseases. More than 40 years ago, Amgen helped to establish the biotechnology industry and remains on the cutting-edge of innovation, using technology and human genetic data to push beyond what</w:t>
      </w:r>
      <w:r>
        <w:rPr>
          <w:color w:val="000000"/>
          <w:shd w:fill="FFFFFF" w:val="clear"/>
        </w:rPr>
        <w:t>’</w:t>
      </w:r>
      <w:r>
        <w:rPr>
          <w:rFonts w:ascii="Century Gothic;sans-serif" w:hAnsi="Century Gothic;sans-serif"/>
          <w:b w:val="false"/>
          <w:color w:val="000000"/>
          <w:sz w:val="22"/>
        </w:rPr>
        <w:t>s known today. Amgen is advancing a broad and deep pipeline that builds on its existing portfolio of medicines to treat cancer, heart disease, osteoporosis, inflammatory diseases and rare diseases.</w:t>
      </w:r>
    </w:p>
    <w:p>
      <w:pPr>
        <w:pStyle w:val="TextBody"/>
        <w:bidi w:val="0"/>
        <w:spacing w:lineRule="auto" w:line="288" w:before="0" w:after="120"/>
        <w:jc w:val="both"/>
        <w:rPr/>
      </w:pPr>
      <w:r>
        <w:rPr>
          <w:rFonts w:ascii="Century Gothic;sans-serif" w:hAnsi="Century Gothic;sans-serif"/>
          <w:b w:val="false"/>
          <w:color w:val="000000"/>
          <w:sz w:val="22"/>
        </w:rPr>
        <w:t>In 2024, Amgen was named one of the “World’s Most Innovative Companies” by Fast Company and one of “America’s Best Large Employers” by Forbes, among other external recognitions. Amgen is one of the 30 companies that comprise the Dow Jones Industrial Average</w:t>
      </w:r>
      <w:r>
        <w:rPr>
          <w:rFonts w:ascii="Century Gothic;sans-serif" w:hAnsi="Century Gothic;sans-serif"/>
          <w:b w:val="false"/>
          <w:color w:val="000000"/>
          <w:sz w:val="14"/>
        </w:rPr>
        <w:t>®</w:t>
      </w:r>
      <w:r>
        <w:rPr>
          <w:rFonts w:ascii="Century Gothic;sans-serif" w:hAnsi="Century Gothic;sans-serif"/>
          <w:b w:val="false"/>
          <w:color w:val="000000"/>
          <w:sz w:val="22"/>
        </w:rPr>
        <w:t>, and it is also part of the Nasdaq-100 Index</w:t>
      </w:r>
      <w:r>
        <w:rPr>
          <w:rFonts w:ascii="Century Gothic;sans-serif" w:hAnsi="Century Gothic;sans-serif"/>
          <w:b w:val="false"/>
          <w:color w:val="000000"/>
          <w:sz w:val="14"/>
        </w:rPr>
        <w:t>®</w:t>
      </w:r>
      <w:r>
        <w:rPr>
          <w:rFonts w:ascii="Century Gothic;sans-serif" w:hAnsi="Century Gothic;sans-serif"/>
          <w:b w:val="false"/>
          <w:color w:val="000000"/>
          <w:sz w:val="22"/>
        </w:rPr>
        <w:t>, which includes the largest and most innovative non-financial companies listed on the Nasdaq Stock Market based on market capitalization.</w:t>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For more information, visit Amgen.com and follow Amgen on X, LinkedIn, Instagram, YouTube and Threads.</w:t>
      </w:r>
    </w:p>
    <w:p>
      <w:pPr>
        <w:pStyle w:val="TextBody"/>
        <w:bidi w:val="0"/>
        <w:spacing w:before="0" w:after="0"/>
        <w:jc w:val="both"/>
        <w:rPr/>
      </w:pPr>
      <w:r>
        <w:rPr/>
      </w:r>
    </w:p>
    <w:p>
      <w:pPr>
        <w:pStyle w:val="TextBody"/>
        <w:bidi w:val="0"/>
        <w:spacing w:lineRule="auto" w:line="288" w:before="0" w:after="120"/>
        <w:jc w:val="both"/>
        <w:rPr>
          <w:rFonts w:ascii="Century Gothic;sans-serif" w:hAnsi="Century Gothic;sans-serif"/>
          <w:b/>
          <w:color w:val="000000"/>
          <w:sz w:val="22"/>
        </w:rPr>
      </w:pPr>
      <w:r>
        <w:rPr>
          <w:rFonts w:ascii="Century Gothic;sans-serif" w:hAnsi="Century Gothic;sans-serif"/>
          <w:b/>
          <w:color w:val="000000"/>
          <w:sz w:val="22"/>
        </w:rPr>
        <w:t>Forward-Looking Statements</w:t>
      </w:r>
    </w:p>
    <w:p>
      <w:pPr>
        <w:pStyle w:val="TextBody"/>
        <w:bidi w:val="0"/>
        <w:spacing w:lineRule="auto" w:line="288" w:before="0" w:after="120"/>
        <w:jc w:val="both"/>
        <w:rPr/>
      </w:pPr>
      <w:r>
        <w:rPr>
          <w:rFonts w:ascii="Century Gothic;sans-serif" w:hAnsi="Century Gothic;sans-serif"/>
          <w:b w:val="false"/>
          <w:color w:val="000000"/>
          <w:sz w:val="22"/>
        </w:rPr>
        <w:t>This news release contains forward-looking statements that are based on the current expectations and beliefs of Amgen. All statements, other than statements of historical fact, are statements that could be deemed forward-looking statements, including any statements on the outcome, benefits and synergies of collaborations, or potential collaborations, with any other company (including BeOne Medicines Ltd. or Kyowa Kirin Co., Ltd.), the performance of Otezla</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(apremilast), our acquisitions of ChemoCentryx, Inc. or Horizon Therapeutics plc (including the prospective performance and outlook of Horizon's business, performance and opportunities, and any potential strategic benefits, synergies or opportunities expected as a result of such acquisition), as well as estimates of revenues, operating margins, capital expenditures, cash, other financial metrics, expected legal, arbitration, political, regulatory or clinical results or practices, customer and prescriber patterns or practices, reimbursement activities and outcomes, effects of pandemics or other widespread health problems on our business, outcomes, progress, and other such estimates and results. Forward-looking statements involve significant risks and uncertainties, including those discussed below and more fully described in the Securities and Exchange Commission reports filed by Amgen, including our most recent annual report on Form 10-K and any subsequent periodic reports on Form 10-Q and current reports on Form 8-K. Unless otherwise noted, Amgen is providing this information as of the date of this news release and does not undertake any obligation to update any forward-looking statements contained in this document as a result of new information, future events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16</w:t>
      </w:r>
    </w:p>
    <w:p>
      <w:pPr>
        <w:pStyle w:val="TextBody"/>
        <w:bidi w:val="0"/>
        <w:spacing w:lineRule="auto" w:line="288"/>
        <w:jc w:val="both"/>
        <w:rPr>
          <w:rFonts w:ascii="Century Gothic;sans-serif" w:hAnsi="Century Gothic;sans-serif"/>
          <w:b w:val="false"/>
          <w:color w:val="000000"/>
          <w:sz w:val="22"/>
        </w:rPr>
      </w:pPr>
      <w:r>
        <w:rPr>
          <w:rFonts w:ascii="Century Gothic;sans-serif" w:hAnsi="Century Gothic;sans-serif"/>
          <w:b w:val="false"/>
          <w:color w:val="000000"/>
          <w:sz w:val="22"/>
        </w:rPr>
        <w:t xml:space="preserve">No forward-looking statement can be guaranteed and actual results may differ materially from those we project. Our results may be affected by our ability to successfully market both new and existing products domestically and internationally, clinical and regulatory developments involving current and future products, sales growth of recently launched products, competition from other products including biosimilars, difficulties or delays in manufacturing our products and global economic conditions, including those resulting from geopolitical relations and government actions. In addition, sales of our products are affected by pricing pressure, political and public scrutiny and reimbursement policies imposed by third-party payers, including governments, private insurance plans and managed care providers and may be affected by regulatory, clinical and guideline developments and domestic and international trends toward managed care and healthcare cost containment. Furthermore, our research, testing, pricing, marketing and other operations are subject to extensive regulation by domestic and foreign government regulatory authorities. We or others could identify safety, side effects or manufacturing problems with our products, including our devices, after they are on the market. Our business may be impacted by government investigations, litigation and product liability claims. In addition, our business may be impacted by the adoption of new tax legislation or exposure to additional tax liabilities. Further, while we routinely obtain patents for our products and technology, the protection offered by our patents and patent applications may be challenged, invalidated or circumvented by our competitors, or we may fail to prevail in present and future intellectual property litigation. We perform a substantial amount of our commercial manufacturing activities at a few key facilities, including in Puerto Rico, and also depend on third parties for a portion of our manufacturing activities, and limits on supply may constrain sales of certain of our current products and product candidate development. An outbreak of disease or similar public health threat, and the public and governmental effort to mitigate against the spread of such disease, could have a significant adverse effect on the supply of materials for our manufacturing activities, the distribution of our products, the commercialization of our product candidates, and our clinical trial operations, and any such events may have a material adverse effect on our product development, product sales, business and results of operations. We rely on collaborations with third parties for the development of some of our product candidates and for the commercialization and sales of some of our commercial products. In addition, we compete with other companies with respect to many of our marketed products as well as for the discovery and development of new products. Discovery or identification of new product candidates or development of new indications for existing products cannot be guaranteed and movement from concept to product is uncertain; consequently, there can be no guarantee that any particular product candidate or development of a new indication for an existing product will be successful and become a commercial product. Further, some raw materials, medical devices and component parts for our products are supplied by sole third-party suppliers. Certain of our distributors, customers and payers have substantial purchasing leverage in their dealings with us. The discovery of significant problems with a product similar to one of our products that implicate an entire class of products could have a material adverse effect on sales of the affected products and on our business and results of operations. Our efforts to collaborate with or acquire other companies, products or technology, and to integrate the operations of companies or to support the products or technology we have acquired, may not be successful. There can be no guarantee that we will be able to realize any of the strategic benefits, synergies or opportunities arising from the Horizon acquisition, and such benefits, synergies or opportunities may take longer to realize than expected. We may not be able to successfully integrate Horizon, and such integration may take longer, be more difficult or cost more than expected. A breakdown, cyberattack or information security breach of our information technology systems could compromise the confidentiality, integrity and availability of our systems and our data. Our stock price is volatile and may be affected by a number of events. Our business and operations may be negatively affected by the failure, or perceived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17</w:t>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failure, of achieving our sustainability objectives. The effects of global climate change and related natural disasters could negatively affect our business and operations. Global economic conditions may magnify certain risks that affect our business. Our business performance could affect or limit the ability of our Board of Directors to declare a dividend or our ability to pay a dividend or repurchase our common stock. We may not be able to access the capital and credit markets on terms that are favorable to us, or at all.</w:t>
      </w:r>
    </w:p>
    <w:p>
      <w:pPr>
        <w:pStyle w:val="TextBody"/>
        <w:bidi w:val="0"/>
        <w:spacing w:before="0" w:after="120"/>
        <w:jc w:val="both"/>
        <w:rPr/>
      </w:pPr>
      <w:r>
        <w:rPr/>
      </w:r>
    </w:p>
    <w:p>
      <w:pPr>
        <w:pStyle w:val="TextBody"/>
        <w:bidi w:val="0"/>
        <w:spacing w:before="0" w:after="0"/>
        <w:jc w:val="center"/>
        <w:rPr/>
      </w:pPr>
      <w:r>
        <w:rPr/>
      </w:r>
    </w:p>
    <w:p>
      <w:pPr>
        <w:pStyle w:val="TextBody"/>
        <w:bidi w:val="0"/>
        <w:spacing w:lineRule="auto" w:line="288" w:before="0" w:after="0"/>
        <w:jc w:val="center"/>
        <w:rPr>
          <w:rFonts w:ascii="Century Gothic;sans-serif" w:hAnsi="Century Gothic;sans-serif"/>
          <w:b w:val="false"/>
          <w:color w:val="000000"/>
          <w:sz w:val="22"/>
        </w:rPr>
      </w:pPr>
      <w:r>
        <w:rPr>
          <w:rFonts w:ascii="Century Gothic;sans-serif" w:hAnsi="Century Gothic;sans-serif"/>
          <w:b w:val="false"/>
          <w:color w:val="000000"/>
          <w:sz w:val="22"/>
        </w:rPr>
        <w:t>###</w:t>
      </w:r>
    </w:p>
    <w:p>
      <w:pPr>
        <w:pStyle w:val="TextBody"/>
        <w:bidi w:val="0"/>
        <w:spacing w:before="0" w:after="0"/>
        <w:jc w:val="center"/>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CONTACT: Amgen, Thousand Oaks</w:t>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Elissa Snook, 609-251-1407 (media)</w:t>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Casey Capparelli, 805-447-1746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18</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 xml:space="preserve">Amgen Inc. </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Consolidated Statements of Income - GAAP</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(In millions, except per-share data)</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(Unaudited)</w:t>
      </w:r>
    </w:p>
    <w:p>
      <w:pPr>
        <w:pStyle w:val="TextBody"/>
        <w:bidi w:val="0"/>
        <w:spacing w:lineRule="auto" w:line="288" w:before="0" w:after="16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942"/>
        <w:gridCol w:w="1413"/>
        <w:gridCol w:w="1419"/>
        <w:gridCol w:w="226"/>
        <w:gridCol w:w="706"/>
        <w:gridCol w:w="109"/>
        <w:gridCol w:w="109"/>
        <w:gridCol w:w="109"/>
        <w:gridCol w:w="109"/>
        <w:gridCol w:w="226"/>
        <w:gridCol w:w="706"/>
        <w:gridCol w:w="109"/>
        <w:gridCol w:w="109"/>
        <w:gridCol w:w="109"/>
        <w:gridCol w:w="109"/>
        <w:gridCol w:w="226"/>
        <w:gridCol w:w="826"/>
        <w:gridCol w:w="109"/>
        <w:gridCol w:w="109"/>
        <w:gridCol w:w="109"/>
        <w:gridCol w:w="109"/>
        <w:gridCol w:w="226"/>
        <w:gridCol w:w="826"/>
        <w:gridCol w:w="155"/>
      </w:tblGrid>
      <w:tr>
        <w:trPr/>
        <w:tc>
          <w:tcPr>
            <w:tcW w:w="194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Nine months ended</w:t>
              <w:br/>
              <w:t>September 30,</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2024</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Revenues: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Product sales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23,310 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revenues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1,028 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8,503 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26,885 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24,338 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Operating 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Cost of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9,746 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Research and development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4,240 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Selling, 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5,218 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operating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7,031 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6,456 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20,525 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19,391 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4,947 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income (expense):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Interest expense,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(2,408)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income,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1,288 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Income before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3,827 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Provision for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364 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3,463 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Earnings per share: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Basic</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6.45 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Diluted</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6.40 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Weighted-average shares used in calculation of earnings per share: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Basic</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Diluted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19</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Amgen Inc.</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Consolidated Balance Sheets - GAAP</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(In millions)</w:t>
      </w:r>
    </w:p>
    <w:p>
      <w:pPr>
        <w:pStyle w:val="TextBody"/>
        <w:bidi w:val="0"/>
        <w:spacing w:before="0" w:after="0"/>
        <w:jc w:val="left"/>
        <w:rPr/>
      </w:pPr>
      <w:r>
        <w:rPr/>
      </w:r>
    </w:p>
    <w:tbl>
      <w:tblPr>
        <w:tblW w:w="7256" w:type="dxa"/>
        <w:jc w:val="left"/>
        <w:tblInd w:w="0" w:type="dxa"/>
        <w:tblLayout w:type="fixed"/>
        <w:tblCellMar>
          <w:top w:w="28" w:type="dxa"/>
          <w:left w:w="28" w:type="dxa"/>
          <w:bottom w:w="28" w:type="dxa"/>
          <w:right w:w="28" w:type="dxa"/>
        </w:tblCellMar>
      </w:tblPr>
      <w:tblGrid>
        <w:gridCol w:w="1465"/>
        <w:gridCol w:w="1291"/>
        <w:gridCol w:w="1294"/>
        <w:gridCol w:w="283"/>
        <w:gridCol w:w="1035"/>
        <w:gridCol w:w="136"/>
        <w:gridCol w:w="109"/>
        <w:gridCol w:w="109"/>
        <w:gridCol w:w="109"/>
        <w:gridCol w:w="267"/>
        <w:gridCol w:w="976"/>
        <w:gridCol w:w="182"/>
      </w:tblGrid>
      <w:tr>
        <w:trPr/>
        <w:tc>
          <w:tcPr>
            <w:tcW w:w="146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2024</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Assets</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Current assets: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Cash and cash equivalents</w:t>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9,445 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11,973 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Trade receivables, net</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8,490 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6,782 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Inventories</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6,346 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6,998 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current assets</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3,604 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3,277 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current assets</w:t>
            </w:r>
          </w:p>
        </w:tc>
        <w:tc>
          <w:tcPr>
            <w:tcW w:w="13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27,885 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29,030 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Property, plant and equipment, net</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7,220 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6,543 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Intangible assets, net</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23,139 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27,699 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Goodwill</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18,676 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18,637 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noncurrent assets</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13,221 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9,930 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assets</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90,141 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91,839 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Liabilities and Stockholders' Equity</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Current liabilities: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Accounts payable and accrued liabilities</w:t>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19,638 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19,549 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Current portion of long-term debt</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2,153 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3,550 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current liabilities</w:t>
            </w:r>
          </w:p>
        </w:tc>
        <w:tc>
          <w:tcPr>
            <w:tcW w:w="13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21,791 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23,099 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Long-term debt</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52,434 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56,549 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Long-term deferred tax liabilities</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1,458 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1,616 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Long-term tax liabilities</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2,616 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2,349 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 noncurrent liabilities</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2,223 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2,349 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stockholders’ equity</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9,619 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5,877 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Total liabilities and stockholders’ equity</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10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90,141 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91,839 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Shares outstanding</w:t>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537 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20</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Amgen Inc.</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GAAP to Non-GAAP Reconciliations</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(Dollars in millions)</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1907"/>
        <w:gridCol w:w="1607"/>
        <w:gridCol w:w="1511"/>
        <w:gridCol w:w="196"/>
        <w:gridCol w:w="556"/>
        <w:gridCol w:w="241"/>
        <w:gridCol w:w="109"/>
        <w:gridCol w:w="109"/>
        <w:gridCol w:w="109"/>
        <w:gridCol w:w="196"/>
        <w:gridCol w:w="556"/>
        <w:gridCol w:w="241"/>
        <w:gridCol w:w="109"/>
        <w:gridCol w:w="109"/>
        <w:gridCol w:w="109"/>
        <w:gridCol w:w="196"/>
        <w:gridCol w:w="646"/>
        <w:gridCol w:w="241"/>
        <w:gridCol w:w="109"/>
        <w:gridCol w:w="109"/>
        <w:gridCol w:w="109"/>
        <w:gridCol w:w="196"/>
        <w:gridCol w:w="646"/>
        <w:gridCol w:w="288"/>
      </w:tblGrid>
      <w:tr>
        <w:trPr/>
        <w:tc>
          <w:tcPr>
            <w:tcW w:w="19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Nine months ended</w:t>
              <w:br/>
              <w:t>September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2024</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cost of sales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3,082 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3,310 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9,061 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9,746 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cost of sales: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(1,420)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(1,856)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(4,428)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(5,546)</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cost of sales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1,662 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1,454 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4,633 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4,200 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cost of sales as a percentage of product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33.7 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40.6 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35.1 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41.8 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(15.5)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(22.8)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(23.8)</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cost of sales as a percentage of product sales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18.0 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research and development expenses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1,450 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5,130 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4,240 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research and development expenses: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(b)</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(80)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(60)</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research and development expenses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1,890 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1,440 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5,050 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4,180 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research and development expenses as a percentage of product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18.2 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(b)</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research and development expenses as a percentage of product sales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17.9 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selling, general and administrative expenses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1,720 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1,625 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5,098 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5,218 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selling, general and administrative expenses: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(c)</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(255)</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net charges pursuant to our restructuring and cost-savings initiatives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selling, general and administrative expenses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(93)</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(255)</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selling, general and administrative expenses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1,700 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1,565 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5,005 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4,963 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selling, general and administrative expenses as a percentage of product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22.4 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Acquisition-related expenses (c)</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net charges pursuant to our restructuring and cost-savings initiatives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selling, general and administrative expenses as a percentage of product sales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21.3 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operating expenses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7,031 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6,456 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20,525 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19,391 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operating expenses: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cost of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(1,420)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(1,856)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(4,428)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(5,546)</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research and development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(80)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(60)</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selling, general and administrative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(255)</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Impairment of intangible assets (d)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(400)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(1,200)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(129)</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net charges pursuant to our restructuring and cost-savings initiatives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(80)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other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128 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(62)</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operating expenses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(1,779)</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(1,997)</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(5,837)</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(6,048)</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operating expenses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5,252 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4,459 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14,688 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13,343 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21</w:t>
      </w:r>
    </w:p>
    <w:tbl>
      <w:tblPr>
        <w:tblW w:w="10205" w:type="dxa"/>
        <w:jc w:val="center"/>
        <w:tblInd w:w="0" w:type="dxa"/>
        <w:tblLayout w:type="fixed"/>
        <w:tblCellMar>
          <w:top w:w="28" w:type="dxa"/>
          <w:left w:w="28" w:type="dxa"/>
          <w:bottom w:w="28" w:type="dxa"/>
          <w:right w:w="28" w:type="dxa"/>
        </w:tblCellMar>
      </w:tblPr>
      <w:tblGrid>
        <w:gridCol w:w="1853"/>
        <w:gridCol w:w="1583"/>
        <w:gridCol w:w="1590"/>
        <w:gridCol w:w="196"/>
        <w:gridCol w:w="556"/>
        <w:gridCol w:w="241"/>
        <w:gridCol w:w="109"/>
        <w:gridCol w:w="109"/>
        <w:gridCol w:w="109"/>
        <w:gridCol w:w="196"/>
        <w:gridCol w:w="556"/>
        <w:gridCol w:w="241"/>
        <w:gridCol w:w="109"/>
        <w:gridCol w:w="109"/>
        <w:gridCol w:w="109"/>
        <w:gridCol w:w="196"/>
        <w:gridCol w:w="646"/>
        <w:gridCol w:w="241"/>
        <w:gridCol w:w="109"/>
        <w:gridCol w:w="109"/>
        <w:gridCol w:w="109"/>
        <w:gridCol w:w="196"/>
        <w:gridCol w:w="646"/>
        <w:gridCol w:w="287"/>
      </w:tblGrid>
      <w:tr>
        <w:trPr/>
        <w:tc>
          <w:tcPr>
            <w:tcW w:w="185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Nine months ended</w:t>
              <w:br/>
              <w:t>September 30,</w:t>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2"/>
              </w:rPr>
            </w:pPr>
            <w:r>
              <w:rPr>
                <w:rFonts w:ascii="Century Gothic;sans-serif" w:hAnsi="Century Gothic;sans-serif"/>
                <w:b/>
                <w:color w:val="000000"/>
                <w:sz w:val="12"/>
              </w:rPr>
              <w:t>2024</w:t>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operating income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2,526 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2,047 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6,360 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4,947 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operating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1,779 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1,997 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5,837 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6,048 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operating income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4,305 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4,044 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12,197 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10,995 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operating income as a percentage of product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27.6 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25.1 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24.7 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21.2 </w:t>
            </w:r>
          </w:p>
        </w:tc>
        <w:tc>
          <w:tcPr>
            <w:tcW w:w="287"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cost of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22.8 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23.8 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research and development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selling, general and administrative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Impairment of intangible assets (d)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0.5 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net charges pursuant to our restructuring and cost-savings initiatives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Certain other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0.3 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operating income as a percentage of product sales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47.1 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49.6 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47.3 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47.2 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other income, net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2,080 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3,204 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1,288 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other income, net</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Net gains from equity investments (e)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(1,963)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(1,608)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(2,663)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(693)</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other income, net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117 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222 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541 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595 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income before income taxes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3,921 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3,101 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7,462 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3,827 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income before income taxes: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operating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1,779 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1,997 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5,837 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6,048 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other income, net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(1,963)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(1,608)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(2,663)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(693)</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income before income taxes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(184)</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389 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3,174 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5,355 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income before income taxes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3,737 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3,490 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10,636 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9,182 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provision for income taxes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271 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1,084 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364 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provision for income taxes: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Income tax effect of the above adjustments (f)</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(81)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228 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1,007 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Other income tax adjustments (g)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(44)</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provision for income taxes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(23)</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590 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963 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provision for income taxes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682 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466 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1,674 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1,327 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tax as a percentage of income before taxes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18.0 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8.7 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9.5 </w:t>
            </w:r>
          </w:p>
        </w:tc>
        <w:tc>
          <w:tcPr>
            <w:tcW w:w="287"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provision for income taxes: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Income tax effect of the above adjustments (f)</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Other income tax adjustments (g)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(0.4)</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provision for income taxes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0.2 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5.0 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tax as a percentage of income before taxes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18.2 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13.4 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15.7 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14.5 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w:t>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GAAP net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3,216 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2,830 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6,378 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3,463 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Adjustments to net income:</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Adjustments to income before income taxes, net of the income tax effect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(103)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2,637 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4,348 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Other income tax adjustments (g)</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(53)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Total adjustments to net income</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(161)</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194 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2,584 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4,392 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4"/>
              </w:rPr>
            </w:pPr>
            <w:r>
              <w:rPr>
                <w:rFonts w:ascii="Century Gothic;sans-serif" w:hAnsi="Century Gothic;sans-serif"/>
                <w:b/>
                <w:color w:val="000000"/>
                <w:sz w:val="14"/>
              </w:rPr>
              <w:t>Non-GAAP net income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3,055 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3,024 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8,962 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4"/>
              </w:rPr>
            </w:pPr>
            <w:r>
              <w:rPr>
                <w:rFonts w:ascii="Century Gothic;sans-serif" w:hAnsi="Century Gothic;sans-serif"/>
                <w:b w:val="false"/>
                <w:color w:val="000000"/>
                <w:sz w:val="14"/>
              </w:rPr>
              <w:t>7,855 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4"/>
              </w:rPr>
            </w:pPr>
            <w:r>
              <w:rPr>
                <w:rFonts w:ascii="Century Gothic;sans-serif" w:hAnsi="Century Gothic;sans-serif"/>
                <w:b w:val="false"/>
                <w:color w:val="000000"/>
                <w:sz w:val="14"/>
              </w:rPr>
              <w:t>Note: Numbers may not add due to rounding</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22</w:t>
      </w: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Amgen Inc.</w:t>
      </w: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GAAP to Non-GAAP Reconciliations</w:t>
      </w: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(In millions, except per-share data)</w:t>
      </w:r>
    </w:p>
    <w:p>
      <w:pPr>
        <w:pStyle w:val="TextBody"/>
        <w:bidi w:val="0"/>
        <w:spacing w:lineRule="auto" w:line="288" w:before="0" w:after="0"/>
        <w:jc w:val="both"/>
        <w:rPr>
          <w:rFonts w:ascii="Century Gothic;sans-serif" w:hAnsi="Century Gothic;sans-serif"/>
          <w:b/>
          <w:color w:val="000000"/>
          <w:sz w:val="22"/>
        </w:rPr>
      </w:pPr>
      <w:r>
        <w:rPr>
          <w:rFonts w:ascii="Century Gothic;sans-serif" w:hAnsi="Century Gothic;sans-serif"/>
          <w:b/>
          <w:color w:val="000000"/>
          <w:sz w:val="22"/>
        </w:rPr>
        <w:t>(Unaudited)</w: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The following table presents the computations for GAAP and non-GAAP diluted earnings per share:</w:t>
      </w:r>
    </w:p>
    <w:p>
      <w:pPr>
        <w:pStyle w:val="TextBody"/>
        <w:bidi w:val="0"/>
        <w:spacing w:before="0" w:after="0"/>
        <w:jc w:val="left"/>
        <w:rPr/>
      </w:pPr>
      <w:r>
        <w:rPr/>
      </w:r>
    </w:p>
    <w:tbl>
      <w:tblPr>
        <w:tblW w:w="9000" w:type="dxa"/>
        <w:jc w:val="center"/>
        <w:tblInd w:w="0" w:type="dxa"/>
        <w:tblLayout w:type="fixed"/>
        <w:tblCellMar>
          <w:top w:w="28" w:type="dxa"/>
          <w:left w:w="28" w:type="dxa"/>
          <w:bottom w:w="28" w:type="dxa"/>
          <w:right w:w="28" w:type="dxa"/>
        </w:tblCellMar>
      </w:tblPr>
      <w:tblGrid>
        <w:gridCol w:w="1379"/>
        <w:gridCol w:w="1209"/>
        <w:gridCol w:w="1222"/>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Three months ended</w:t>
              <w:br/>
              <w:t>September 30, 2024</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Non-GAAP</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Net income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3,216 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3,055 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2,830 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3,024 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Weighted-average shares for diluted EPS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Diluted EPS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Nine months ended</w:t>
              <w:br/>
              <w:t>September 30, 2024</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4"/>
              </w:rPr>
            </w:pPr>
            <w:r>
              <w:rPr>
                <w:rFonts w:ascii="Century Gothic;sans-serif" w:hAnsi="Century Gothic;sans-serif"/>
                <w:b/>
                <w:color w:val="000000"/>
                <w:sz w:val="14"/>
              </w:rPr>
              <w:t>Non-GAAP</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Net income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6,378 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8,962 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3,463 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7,855 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Weighted-average shares for diluted EPS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541 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Diluted EPS</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11.77 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16.54 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6.40 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18"/>
              </w:rPr>
            </w:pPr>
            <w:r>
              <w:rPr>
                <w:rFonts w:ascii="Century Gothic;sans-serif" w:hAnsi="Century Gothic;sans-serif"/>
                <w:b w:val="false"/>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18"/>
              </w:rPr>
            </w:pPr>
            <w:r>
              <w:rPr>
                <w:rFonts w:ascii="Century Gothic;sans-serif" w:hAnsi="Century Gothic;sans-serif"/>
                <w:b w:val="false"/>
                <w:color w:val="000000"/>
                <w:sz w:val="18"/>
              </w:rPr>
              <w:t>14.52 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6"/>
        <w:gridCol w:w="110"/>
        <w:gridCol w:w="110"/>
        <w:gridCol w:w="109"/>
        <w:gridCol w:w="109"/>
        <w:gridCol w:w="109"/>
        <w:gridCol w:w="3168"/>
        <w:gridCol w:w="2627"/>
        <w:gridCol w:w="3737"/>
      </w:tblGrid>
      <w:tr>
        <w:trPr/>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The adjustments related primarily to noncash amortization of intangible assets and fair value step-up of inventory acquired from business acquisitions.</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For the three months ended September 30, 2025 and 2024, the adjustments related primarily to noncash amortization of intangible assets acquired from business combinations. For the nine months ended September 30, 2025 and 2024, the adjustments related primarily to acquisition-related costs related to our Horizon acquisition.</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For the three and nine months ended September 30, 2025 and 2024, the adjustments related primarily to acquisition-related costs related to our Horizon acquisition.</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entury Gothic;sans-serif" w:hAnsi="Century Gothic;sans-serif"/>
                <w:b w:val="false"/>
                <w:color w:val="000000"/>
                <w:sz w:val="18"/>
              </w:rPr>
              <w:t>For the three and nine months ended September 30, 2025, the adjustments included intangible asset impairment charges for Otezla</w:t>
            </w:r>
            <w:r>
              <w:rPr>
                <w:rFonts w:ascii="Century Gothic;sans-serif" w:hAnsi="Century Gothic;sans-serif"/>
                <w:b w:val="false"/>
                <w:color w:val="000000"/>
                <w:sz w:val="12"/>
              </w:rPr>
              <w:t>®</w:t>
            </w:r>
            <w:r>
              <w:rPr>
                <w:rFonts w:ascii="Century Gothic;sans-serif" w:hAnsi="Century Gothic;sans-serif"/>
                <w:b w:val="false"/>
                <w:color w:val="000000"/>
                <w:sz w:val="18"/>
              </w:rPr>
              <w:t>. For the three and nine months ended September 30, 2024, the adjustments included impairment charges for in-process R&amp;D assets related to our Teneobio, Inc. acquisition from 2021.</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For the three and nine months ended September 30, 2025 and 2024, the adjustments related primarily to our BeOne Medicines Ltd. equity fair value adjustment.</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The tax effect of the adjustments between our GAAP and non-GAAP results takes into account the tax treatment and related tax rate(s) that apply to each adjustment in the applicable tax jurisdiction(s). Generally, the tax impact of adjustments, including the amortization of intangible assets and acquired inventory, gains and losses on our investments in equity securities and expenses related to restructuring and cost-savings initiatives, depends on whether the amounts are deductible in the respective tax jurisdictions and the applicable tax rate(s) in those jurisdictions. Due to these factors, the effective tax rate for the adjustments to our GAAP income before income taxes for the three and nine months ended September 30, 2025, was 44.0% and 16.9%, respectively, compared to 58.6% and 18.8%, respectively, for the corresponding periods of the prior year.</w:t>
            </w:r>
          </w:p>
        </w:tc>
      </w:tr>
      <w:tr>
        <w:trPr/>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18"/>
              </w:rPr>
            </w:pPr>
            <w:r>
              <w:rPr>
                <w:rFonts w:ascii="Century Gothic;sans-serif" w:hAnsi="Century Gothic;sans-serif"/>
                <w:b/>
                <w:color w:val="000000"/>
                <w:sz w:val="18"/>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entury Gothic;sans-serif" w:hAnsi="Century Gothic;sans-serif"/>
                <w:b w:val="false"/>
                <w:color w:val="000000"/>
                <w:sz w:val="18"/>
              </w:rPr>
            </w:pPr>
            <w:r>
              <w:rPr>
                <w:rFonts w:ascii="Century Gothic;sans-serif" w:hAnsi="Century Gothic;sans-serif"/>
                <w:b w:val="false"/>
                <w:color w:val="000000"/>
                <w:sz w:val="18"/>
              </w:rPr>
              <w:t>The adjustments related to certain acquisition-related, prior-period and other items excluded from GAAP earnings.</w:t>
            </w:r>
          </w:p>
        </w:tc>
      </w:tr>
      <w:tr>
        <w:trPr/>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2"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23</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Amgen Inc.</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 xml:space="preserve">Reconciliations of Cash Flows </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(In millions)</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(Unaudited)</w:t>
      </w:r>
    </w:p>
    <w:p>
      <w:pPr>
        <w:pStyle w:val="TextBody"/>
        <w:bidi w:val="0"/>
        <w:spacing w:before="0" w:after="0"/>
        <w:jc w:val="left"/>
        <w:rPr/>
      </w:pPr>
      <w:r>
        <w:rPr/>
      </w:r>
    </w:p>
    <w:p>
      <w:pPr>
        <w:pStyle w:val="TextBody"/>
        <w:bidi w:val="0"/>
        <w:spacing w:before="0" w:after="0"/>
        <w:jc w:val="left"/>
        <w:rPr/>
      </w:pPr>
      <w:r>
        <w:rPr/>
      </w:r>
    </w:p>
    <w:tbl>
      <w:tblPr>
        <w:tblW w:w="10125" w:type="dxa"/>
        <w:jc w:val="center"/>
        <w:tblInd w:w="0" w:type="dxa"/>
        <w:tblLayout w:type="fixed"/>
        <w:tblCellMar>
          <w:top w:w="28" w:type="dxa"/>
          <w:left w:w="28" w:type="dxa"/>
          <w:bottom w:w="28" w:type="dxa"/>
          <w:right w:w="28" w:type="dxa"/>
        </w:tblCellMar>
      </w:tblPr>
      <w:tblGrid>
        <w:gridCol w:w="1790"/>
        <w:gridCol w:w="1568"/>
        <w:gridCol w:w="1577"/>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Nine months ended</w:t>
              <w:br/>
              <w:t>September 30,</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2024</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cash provided by operating activities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4,684 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8,355 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6,719 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cash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cash used in financing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(2,853)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(3,651)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(9,633)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(8,008)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Increase (decrease) in cash and cash equivalents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(290)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(1,933)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Cash and cash equivalents at beginning of period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11,973 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10,944 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Cash and cash equivalents at end of period</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9,445 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9,011 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9,445 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9,011 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Nine months ended</w:t>
              <w:br/>
              <w:t>September 30,</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color w:val="000000"/>
                <w:sz w:val="16"/>
              </w:rPr>
            </w:pPr>
            <w:r>
              <w:rPr>
                <w:rFonts w:ascii="Century Gothic;sans-serif" w:hAnsi="Century Gothic;sans-serif"/>
                <w:b/>
                <w:color w:val="000000"/>
                <w:sz w:val="16"/>
              </w:rPr>
              <w:t>2024</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Net cash provided by operating activities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4,684 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3,571 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8,355 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6,719 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Capital expenditures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(1,216)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Free cash flow</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4,248 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3,314 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7,139 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5,994 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AMGEN REPORTS THIRD QUARTER 2025 FINANCIAL RESULTS</w:t>
      </w:r>
    </w:p>
    <w:p>
      <w:pPr>
        <w:pStyle w:val="TextBody"/>
        <w:bidi w:val="0"/>
        <w:spacing w:lineRule="auto" w:line="288" w:before="0" w:after="0"/>
        <w:jc w:val="left"/>
        <w:rPr>
          <w:rFonts w:ascii="Century Gothic;sans-serif" w:hAnsi="Century Gothic;sans-serif"/>
          <w:b w:val="false"/>
          <w:color w:val="000000"/>
          <w:sz w:val="22"/>
        </w:rPr>
      </w:pPr>
      <w:r>
        <w:rPr>
          <w:rFonts w:ascii="Century Gothic;sans-serif" w:hAnsi="Century Gothic;sans-serif"/>
          <w:b w:val="false"/>
          <w:color w:val="000000"/>
          <w:sz w:val="22"/>
        </w:rPr>
        <w:t>Page 24</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Amgen Inc.</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 xml:space="preserve">Reconciliation of GAAP EPS Guidance to Non-GAAP </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EPS Guidance for the Year Ending December 31, 2025</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(Unaudited)</w:t>
      </w:r>
    </w:p>
    <w:p>
      <w:pPr>
        <w:pStyle w:val="TextBody"/>
        <w:bidi w:val="0"/>
        <w:spacing w:before="0" w:after="0"/>
        <w:jc w:val="left"/>
        <w:rPr/>
      </w:pPr>
      <w:r>
        <w:rPr/>
      </w:r>
    </w:p>
    <w:p>
      <w:pPr>
        <w:pStyle w:val="TextBody"/>
        <w:bidi w:val="0"/>
        <w:spacing w:before="0" w:after="0"/>
        <w:jc w:val="left"/>
        <w:rPr/>
      </w:pPr>
      <w:r>
        <w:rPr/>
      </w:r>
    </w:p>
    <w:tbl>
      <w:tblPr>
        <w:tblW w:w="8732" w:type="dxa"/>
        <w:jc w:val="center"/>
        <w:tblInd w:w="0" w:type="dxa"/>
        <w:tblLayout w:type="fixed"/>
        <w:tblCellMar>
          <w:top w:w="28" w:type="dxa"/>
          <w:left w:w="28" w:type="dxa"/>
          <w:bottom w:w="28" w:type="dxa"/>
          <w:right w:w="28" w:type="dxa"/>
        </w:tblCellMar>
      </w:tblPr>
      <w:tblGrid>
        <w:gridCol w:w="1791"/>
        <w:gridCol w:w="1577"/>
        <w:gridCol w:w="1582"/>
        <w:gridCol w:w="109"/>
        <w:gridCol w:w="109"/>
        <w:gridCol w:w="109"/>
        <w:gridCol w:w="226"/>
        <w:gridCol w:w="706"/>
        <w:gridCol w:w="109"/>
        <w:gridCol w:w="109"/>
        <w:gridCol w:w="109"/>
        <w:gridCol w:w="109"/>
        <w:gridCol w:w="222"/>
        <w:gridCol w:w="222"/>
        <w:gridCol w:w="230"/>
        <w:gridCol w:w="109"/>
        <w:gridCol w:w="109"/>
        <w:gridCol w:w="109"/>
        <w:gridCol w:w="226"/>
        <w:gridCol w:w="706"/>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GAAP diluted EPS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Known adjustments to arrive at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Acquisition-related expenses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8.74 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Impairment of intangible assets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1.94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entury Gothic;sans-serif" w:hAnsi="Century Gothic;sans-serif"/>
                <w:b w:val="false"/>
                <w:color w:val="000000"/>
                <w:sz w:val="20"/>
              </w:rPr>
            </w:pPr>
            <w:r>
              <w:rPr>
                <w:rFonts w:ascii="Century Gothic;sans-serif" w:hAnsi="Century Gothic;sans-serif"/>
                <w:b w:val="false"/>
                <w:color w:val="000000"/>
                <w:sz w:val="20"/>
              </w:rPr>
              <w:t>Net gains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(3.86)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entury Gothic;sans-serif" w:hAnsi="Century Gothic;sans-serif"/>
                <w:b w:val="false"/>
                <w:color w:val="000000"/>
                <w:sz w:val="20"/>
              </w:rPr>
            </w:pPr>
            <w:r>
              <w:rPr>
                <w:rFonts w:ascii="Century Gothic;sans-serif" w:hAnsi="Century Gothic;sans-serif"/>
                <w:b w:val="false"/>
                <w:color w:val="000000"/>
                <w:sz w:val="20"/>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color w:val="000000"/>
                <w:sz w:val="20"/>
              </w:rPr>
            </w:pPr>
            <w:r>
              <w:rPr>
                <w:rFonts w:ascii="Century Gothic;sans-serif" w:hAnsi="Century Gothic;sans-serif"/>
                <w:b/>
                <w:color w:val="000000"/>
                <w:sz w:val="20"/>
              </w:rPr>
              <w:t>Non-GAAP diluted EPS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20.60 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21.40 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 The known adjustments are presented net of their related tax impact, which amount to approximately $1.46 per share.</w:t>
      </w:r>
    </w:p>
    <w:p>
      <w:pPr>
        <w:pStyle w:val="TextBody"/>
        <w:bidi w:val="0"/>
        <w:spacing w:before="0" w:after="0"/>
        <w:jc w:val="both"/>
        <w:rPr/>
      </w:pPr>
      <w:r>
        <w:rPr/>
      </w:r>
    </w:p>
    <w:p>
      <w:pPr>
        <w:pStyle w:val="TextBody"/>
        <w:bidi w:val="0"/>
        <w:spacing w:lineRule="auto" w:line="256"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(a) The adjustments primarily include noncash amortization of intangible assets and fair value step-up of inventory acquired in business acquisitions.</w:t>
      </w:r>
    </w:p>
    <w:p>
      <w:pPr>
        <w:pStyle w:val="TextBody"/>
        <w:bidi w:val="0"/>
        <w:spacing w:before="0" w:after="0"/>
        <w:jc w:val="both"/>
        <w:rPr/>
      </w:pPr>
      <w:r>
        <w:rPr/>
      </w:r>
    </w:p>
    <w:p>
      <w:pPr>
        <w:pStyle w:val="TextBody"/>
        <w:bidi w:val="0"/>
        <w:spacing w:lineRule="auto" w:line="288" w:before="0" w:after="0"/>
        <w:jc w:val="both"/>
        <w:rPr/>
      </w:pPr>
      <w:r>
        <w:rPr>
          <w:rFonts w:ascii="Century Gothic;sans-serif" w:hAnsi="Century Gothic;sans-serif"/>
          <w:b w:val="false"/>
          <w:color w:val="000000"/>
          <w:sz w:val="22"/>
        </w:rPr>
        <w:t>(b) The adjustment relates to Otezla</w:t>
      </w:r>
      <w:r>
        <w:rPr>
          <w:rFonts w:ascii="Century Gothic;sans-serif" w:hAnsi="Century Gothic;sans-serif"/>
          <w:b w:val="false"/>
          <w:color w:val="000000"/>
          <w:sz w:val="14"/>
        </w:rPr>
        <w:t>®</w:t>
      </w:r>
      <w:r>
        <w:rPr>
          <w:color w:val="000000"/>
        </w:rPr>
        <w:t xml:space="preserve"> </w:t>
      </w:r>
      <w:r>
        <w:rPr>
          <w:rFonts w:ascii="Century Gothic;sans-serif" w:hAnsi="Century Gothic;sans-serif"/>
          <w:b w:val="false"/>
          <w:color w:val="000000"/>
          <w:sz w:val="22"/>
        </w:rPr>
        <w:t>intangible asset impairment charges recorded during the first and third quarters of 2025.</w:t>
      </w:r>
    </w:p>
    <w:p>
      <w:pPr>
        <w:pStyle w:val="TextBody"/>
        <w:bidi w:val="0"/>
        <w:spacing w:before="0" w:after="0"/>
        <w:jc w:val="both"/>
        <w:rPr/>
      </w:pPr>
      <w:r>
        <w:rPr/>
      </w:r>
    </w:p>
    <w:p>
      <w:pPr>
        <w:pStyle w:val="TextBody"/>
        <w:bidi w:val="0"/>
        <w:spacing w:lineRule="auto" w:line="288" w:before="0" w:after="0"/>
        <w:jc w:val="both"/>
        <w:rPr>
          <w:rFonts w:ascii="Century Gothic;sans-serif" w:hAnsi="Century Gothic;sans-serif"/>
          <w:b w:val="false"/>
          <w:color w:val="000000"/>
          <w:sz w:val="22"/>
        </w:rPr>
      </w:pPr>
      <w:r>
        <w:rPr>
          <w:rFonts w:ascii="Century Gothic;sans-serif" w:hAnsi="Century Gothic;sans-serif"/>
          <w:b w:val="false"/>
          <w:color w:val="000000"/>
          <w:sz w:val="22"/>
        </w:rPr>
        <w:t>Our GAAP diluted EPS guidance does not include the effect of GAAP adjustments triggered by events that may occur subsequent to this press release such as acquisitions, asset impairments, litigation, changes in fair value of our contingent consideration obligations and changes in fair value of our equity investments. This guidance includes the estimated impact of implemented tariffs, but does not account for any tariffs or potential pricing actions announced or described but not implemented as well as any tariffs, sector specific tariffs, or pricing actions that could be implemented in the future.</w:t>
      </w:r>
    </w:p>
    <w:p>
      <w:pPr>
        <w:pStyle w:val="TextBody"/>
        <w:bidi w:val="0"/>
        <w:spacing w:before="0" w:after="0"/>
        <w:jc w:val="left"/>
        <w:rPr/>
      </w:pPr>
      <w:r>
        <w:rPr/>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Reconciliation of GAAP Tax Rate Guidance to Non-GAAP</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Tax Rate Guidance for the Year Ending December 31, 2025</w:t>
      </w:r>
    </w:p>
    <w:p>
      <w:pPr>
        <w:pStyle w:val="TextBody"/>
        <w:bidi w:val="0"/>
        <w:spacing w:lineRule="auto" w:line="288" w:before="0" w:after="0"/>
        <w:jc w:val="left"/>
        <w:rPr>
          <w:rFonts w:ascii="Century Gothic;sans-serif" w:hAnsi="Century Gothic;sans-serif"/>
          <w:b/>
          <w:color w:val="000000"/>
          <w:sz w:val="22"/>
        </w:rPr>
      </w:pPr>
      <w:r>
        <w:rPr>
          <w:rFonts w:ascii="Century Gothic;sans-serif" w:hAnsi="Century Gothic;sans-serif"/>
          <w:b/>
          <w:color w:val="000000"/>
          <w:sz w:val="22"/>
        </w:rPr>
        <w:t>(Unaudited)</w:t>
      </w:r>
    </w:p>
    <w:p>
      <w:pPr>
        <w:pStyle w:val="TextBody"/>
        <w:bidi w:val="0"/>
        <w:spacing w:before="0" w:after="0"/>
        <w:jc w:val="left"/>
        <w:rPr/>
      </w:pPr>
      <w:r>
        <w:rPr/>
      </w:r>
    </w:p>
    <w:tbl>
      <w:tblPr>
        <w:tblW w:w="8306" w:type="dxa"/>
        <w:jc w:val="center"/>
        <w:tblInd w:w="0" w:type="dxa"/>
        <w:tblLayout w:type="fixed"/>
        <w:tblCellMar>
          <w:top w:w="28" w:type="dxa"/>
          <w:left w:w="28" w:type="dxa"/>
          <w:bottom w:w="28" w:type="dxa"/>
          <w:right w:w="28" w:type="dxa"/>
        </w:tblCellMar>
      </w:tblPr>
      <w:tblGrid>
        <w:gridCol w:w="1752"/>
        <w:gridCol w:w="1541"/>
        <w:gridCol w:w="1551"/>
        <w:gridCol w:w="109"/>
        <w:gridCol w:w="109"/>
        <w:gridCol w:w="109"/>
        <w:gridCol w:w="293"/>
        <w:gridCol w:w="293"/>
        <w:gridCol w:w="286"/>
        <w:gridCol w:w="109"/>
        <w:gridCol w:w="109"/>
        <w:gridCol w:w="109"/>
        <w:gridCol w:w="203"/>
        <w:gridCol w:w="203"/>
        <w:gridCol w:w="286"/>
        <w:gridCol w:w="109"/>
        <w:gridCol w:w="109"/>
        <w:gridCol w:w="109"/>
        <w:gridCol w:w="293"/>
        <w:gridCol w:w="293"/>
        <w:gridCol w:w="331"/>
      </w:tblGrid>
      <w:tr>
        <w:trPr/>
        <w:tc>
          <w:tcPr>
            <w:tcW w:w="1752"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GAAP tax rate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14.5 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16.0 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Tax rate of known adjustments discussed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0.5</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entury Gothic;sans-serif" w:hAnsi="Century Gothic;sans-serif"/>
                <w:b w:val="false"/>
                <w:color w:val="000000"/>
                <w:sz w:val="20"/>
              </w:rPr>
            </w:pPr>
            <w:r>
              <w:rPr>
                <w:rFonts w:ascii="Century Gothic;sans-serif" w:hAnsi="Century Gothic;sans-serif"/>
                <w:b w:val="false"/>
                <w:color w:val="000000"/>
                <w:sz w:val="20"/>
              </w:rPr>
              <w:t>Non-GAAP tax rate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15.0 </w:t>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16.5 </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entury Gothic;sans-serif" w:hAnsi="Century Gothic;sans-serif"/>
                <w:b w:val="false"/>
                <w:color w:val="000000"/>
                <w:sz w:val="20"/>
              </w:rPr>
            </w:pPr>
            <w:r>
              <w:rPr>
                <w:rFonts w:ascii="Century Gothic;sans-serif" w:hAnsi="Century Gothic;sans-serif"/>
                <w:b w:val="false"/>
                <w:color w:val="000000"/>
                <w:sz w:val="20"/>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605" cy="14605"/>
                <wp:effectExtent l="0" t="0" r="0" b="0"/>
                <wp:wrapNone/>
                <wp:docPr id="30" name="Frame2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entury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9866</Words>
  <Characters>56195</Characters>
  <CharactersWithSpaces>65097</CharactersWithSpaces>
  <Paragraphs>1598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