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06293d8k.htm"/>
      <w:bookmarkStart w:id="1" w:name="ksd10629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Amgen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283"/>
              <w:jc w:val="center"/>
              <w:rPr>
                <w:b/>
              </w:rPr>
            </w:pPr>
            <w:r>
              <w:rPr>
                <w:b/>
              </w:rPr>
              <w:t>Delaware</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283"/>
              <w:jc w:val="center"/>
              <w:rPr>
                <w:b/>
              </w:rPr>
            </w:pPr>
            <w:r>
              <w:rPr>
                <w:b/>
              </w:rPr>
              <w:t>001-37702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95-3540776</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center"/>
              <w:rPr>
                <w:b/>
              </w:rPr>
            </w:pPr>
            <w:r>
              <w:rPr>
                <w:b/>
              </w:rPr>
              <w:t>One Amgen Center Drive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center"/>
              <w:rPr>
                <w:b/>
              </w:rPr>
            </w:pPr>
            <w:r>
              <w:rPr>
                <w:b/>
              </w:rPr>
              <w:t>Thousand Oaks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283"/>
              <w:jc w:val="center"/>
              <w:rPr>
                <w:b/>
              </w:rPr>
            </w:pPr>
            <w:r>
              <w:rPr>
                <w:b/>
              </w:rPr>
              <w:t>California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91320-1799</w:t>
            </w:r>
          </w:p>
        </w:tc>
      </w:tr>
      <w:tr>
        <w:trPr/>
        <w:tc>
          <w:tcPr>
            <w:tcW w:w="3934"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w:t>
      </w:r>
    </w:p>
    <w:p>
      <w:pPr>
        <w:pStyle w:val="TextBody"/>
        <w:bidi w:val="0"/>
        <w:spacing w:before="0" w:after="0"/>
        <w:jc w:val="center"/>
        <w:rPr>
          <w:rFonts w:ascii="Times New Roman" w:hAnsi="Times New Roman"/>
          <w:b/>
          <w:sz w:val="20"/>
        </w:rPr>
      </w:pPr>
      <w:r>
        <w:rPr>
          <w:rFonts w:ascii="Times New Roman" w:hAnsi="Times New Roman"/>
          <w:b/>
          <w:sz w:val="20"/>
        </w:rPr>
        <w:t>(805) 447-1000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85" w:type="dxa"/>
        <w:jc w:val="left"/>
        <w:tblInd w:w="0" w:type="dxa"/>
        <w:tblLayout w:type="fixed"/>
        <w:tblCellMar>
          <w:top w:w="0" w:type="dxa"/>
          <w:left w:w="0" w:type="dxa"/>
          <w:bottom w:w="0" w:type="dxa"/>
          <w:right w:w="0" w:type="dxa"/>
        </w:tblCellMar>
      </w:tblPr>
      <w:tblGrid>
        <w:gridCol w:w="3305"/>
        <w:gridCol w:w="60"/>
        <w:gridCol w:w="1010"/>
        <w:gridCol w:w="60"/>
        <w:gridCol w:w="3050"/>
      </w:tblGrid>
      <w:tr>
        <w:trPr/>
        <w:tc>
          <w:tcPr>
            <w:tcW w:w="3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10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305" w:type="dxa"/>
            <w:tcBorders/>
            <w:vAlign w:val="center"/>
          </w:tcPr>
          <w:p>
            <w:pPr>
              <w:pStyle w:val="TableContents"/>
              <w:bidi w:val="0"/>
              <w:spacing w:before="0" w:after="283"/>
              <w:jc w:val="center"/>
              <w:rPr/>
            </w:pPr>
            <w:r>
              <w:rPr/>
              <w:t>Common stock, $0.0001 par value</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AMGN</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3305" w:type="dxa"/>
            <w:tcBorders/>
            <w:vAlign w:val="center"/>
          </w:tcPr>
          <w:p>
            <w:pPr>
              <w:pStyle w:val="TableContents"/>
              <w:bidi w:val="0"/>
              <w:spacing w:before="0" w:after="283"/>
              <w:jc w:val="center"/>
              <w:rPr/>
            </w:pPr>
            <w:r>
              <w:rPr/>
              <w:t>2.000% Senior Notes due 2026</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pPr>
            <w:r>
              <w:rPr/>
              <w:t>AMGN26</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00" w:after="0"/>
        <w:jc w:val="righ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17, 2026, Amgen Inc. (the “Company”) issued and sold $1,000,000,000 aggregate principal amount of the Company’s 4.200% Senior Notes due 2031 (the “2031 Notes”), $1,750,000,000 aggregate principal amount of the Company’s 4.850% Senior Notes due 2036 (the “2036 Notes”), $500,000,000 aggregate principal amount of the Company’s 5.500% Senior Notes due 2046 (the “2046 Notes”) and $750,000,000 aggregate principal amount of the Company’s 5.650% Senior Notes due 2056 (the “2056 Notes” and, together with the 2031 Notes, the 2036 Notes and the 2046 Notes, the “Notes”). The Notes are registered under an effective Registration Statement on Form S-3 (Registration No. 333-293477) (the “Registration Statement”), filed on February 13, 2026, and were issued pursuant to an indenture, dated as of May 22, 2014 (the “Indenture”), between the Company and The Bank of New York Mellon Trust Company, N.A., as trustee, and an officer’s certificate, dated as of February 19, 2026 (the “Officer’s Certificate”), setting forth the terms of the Notes. Net proceeds to the Company from the offering were approximately $3,961,495,000, after deducting underwriters’ discounts and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relevant terms of the Notes are set forth in the Indenture, included as Exhibit 4.1 of the Company’s Current Report on Form 8-K, filed on May 22, 2014, and incorporated herein by reference, and the Officer’s Certificate (including the forms of the Notes) attached hereto as Exhibit 4.2 and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2031 Notes will pay interest at the rate of 4.200% per annum, the 2036 Notes will pay interest at the rate of 4.850% per annum, the 2046 Notes will pay interest at the rate of 5.500% per annum and the 2056 Notes will pay interest at the rate of 5.650% per annum, which shall be payable in cash semi-annually in arrears on February 19 and August 19 of each year, beginning on August 19, 2026. The 2031 Notes will mature on February 19, 2031, the 2036 Notes will mature on February 19, 2036, the 2046 Notes will mature on February 19, 2046 and the 2056 Notes will mature on February 19, 2056.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change in control triggering event, as defined in the Officer’s Certificate, the holders of the Notes may require the Company to purchase for cash all or a portion of their Notes at a purchase price equal to 101% of the principal amount of Notes, plus accrued and unpaid interest, if any. The descriptions of the Indenture, the Officer’s Certificate and the Notes in this report are summaries and are qualified in their entirety by the terms of the Indenture, the Officer’s Certificate and the Notes,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rank equal in right of payment to all of the Company’s other existing and future senior unsecured indebtedness, senior in right of payment to all of the Company’s existing and future subordinated indebtedness, effectively subordinated in right of payment to all of the Company’s subsidiaries’ obligations (including secured and unsecured obligations) and subordinated in right of payment to the Company’s secured obligations, to the extent of the assets securing such obligations.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Document 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6293dex11.htm">
              <w:r>
                <w:rPr>
                  <w:rStyle w:val="InternetLink"/>
                </w:rPr>
                <w:t xml:space="preserve">Underwriting Agreement, dated February 17, 2026, by and among the Company and BofA Securities, Inc., Citigroup Global Markets Inc., J.P. Morgan Securities LLC and Morgan Stanley &amp; Co. LLC, as representatives of the several underwriters named therein.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2">
              <w:r>
                <w:rPr>
                  <w:rStyle w:val="InternetLink"/>
                </w:rPr>
                <w:t xml:space="preserve">Indenture, dated as of May 22, 2014, between the Company and The Bank of New York Mellon Trust Company, N.A., as trustee (incorporated by reference to Exhibit 4.1 to the Company’s Current Report on Form 8-K filed on May 22, 2014).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4.2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6293dex42.htm">
              <w:r>
                <w:rPr>
                  <w:rStyle w:val="InternetLink"/>
                </w:rPr>
                <w:t xml:space="preserve">Officer’s Certificate of the Company, dated as of February 19, 2026, including forms of the Company’s 4.200% Senior Notes due 2031, 4.850% Senior Notes due 2036, 5.500% Senior Notes due 2046 and 5.650% Senior Notes due 2056.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6293dex51.htm">
              <w:r>
                <w:rPr>
                  <w:rStyle w:val="InternetLink"/>
                </w:rPr>
                <w:t xml:space="preserve">Opinion of Latham &amp; Watkins LLP, dated February 19, 2026.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106293dex51.htm">
              <w:r>
                <w:rPr>
                  <w:rStyle w:val="InternetLink"/>
                </w:rPr>
                <w:t xml:space="preserve">Consent of Latham &amp; Watkins LLP (included in Exhibit 5.1).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File (the cover page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648" w:type="dxa"/>
        <w:jc w:val="left"/>
        <w:tblInd w:w="0" w:type="dxa"/>
        <w:tblLayout w:type="fixed"/>
        <w:tblCellMar>
          <w:top w:w="0" w:type="dxa"/>
          <w:left w:w="0" w:type="dxa"/>
          <w:bottom w:w="0" w:type="dxa"/>
          <w:right w:w="0" w:type="dxa"/>
        </w:tblCellMar>
      </w:tblPr>
      <w:tblGrid>
        <w:gridCol w:w="2360"/>
        <w:gridCol w:w="60"/>
        <w:gridCol w:w="23"/>
        <w:gridCol w:w="60"/>
        <w:gridCol w:w="650"/>
        <w:gridCol w:w="60"/>
        <w:gridCol w:w="2435"/>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45" w:type="dxa"/>
            <w:gridSpan w:val="3"/>
            <w:tcBorders/>
            <w:vAlign w:val="center"/>
          </w:tcPr>
          <w:p>
            <w:pPr>
              <w:pStyle w:val="TableContents"/>
              <w:bidi w:val="0"/>
              <w:spacing w:before="0" w:after="283"/>
              <w:jc w:val="left"/>
              <w:rPr/>
            </w:pPr>
            <w:r>
              <w:rPr/>
              <w:t>AMGEN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19,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r>
              <w:rPr>
                <w:rFonts w:ascii="Times New Roman" w:hAnsi="Times New Roman"/>
                <w:sz w:val="20"/>
                <w:u w:val="single"/>
              </w:rPr>
              <w:t>S</w:t>
            </w:r>
            <w:r>
              <w:rPr>
                <w:rFonts w:ascii="Times New Roman" w:hAnsi="Times New Roman"/>
                <w:sz w:val="20"/>
              </w:rPr>
              <w:t>/ Omari Wise</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Omari Wise</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Vice President, Treasurer</w:t>
            </w:r>
          </w:p>
        </w:tc>
      </w:tr>
    </w:tbl>
    <w:p>
      <w:pPr>
        <w:pStyle w:val="TextBody"/>
        <w:bidi w:val="0"/>
        <w:spacing w:before="0" w:after="0"/>
        <w:jc w:val="right"/>
        <w:rPr>
          <w:rFonts w:ascii="Times New Roman" w:hAnsi="Times New Roman"/>
          <w:b/>
          <w:sz w:val="20"/>
        </w:rPr>
      </w:pPr>
      <w:bookmarkStart w:id="2" w:name="d106293dex11.htm"/>
      <w:bookmarkStart w:id="3" w:name="ksd106293dex11"/>
      <w:bookmarkEnd w:id="2"/>
      <w:bookmarkEnd w:id="3"/>
      <w:r>
        <w:rPr>
          <w:rFonts w:ascii="Times New Roman" w:hAnsi="Times New Roman"/>
          <w:b/>
          <w:sz w:val="20"/>
        </w:rPr>
        <w:t xml:space="preserve">Exhibit 1.1 </w:t>
      </w:r>
      <w:r>
        <w:br w:type="page"/>
      </w:r>
    </w:p>
    <w:p>
      <w:pPr>
        <w:pStyle w:val="TextBody"/>
        <w:bidi w:val="0"/>
        <w:spacing w:before="12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AMGEN INC. </w:t>
      </w:r>
    </w:p>
    <w:p>
      <w:pPr>
        <w:pStyle w:val="TextBody"/>
        <w:bidi w:val="0"/>
        <w:spacing w:before="240" w:after="0"/>
        <w:jc w:val="center"/>
        <w:rPr>
          <w:rFonts w:ascii="Times New Roman" w:hAnsi="Times New Roman"/>
          <w:sz w:val="20"/>
        </w:rPr>
      </w:pPr>
      <w:r>
        <w:rPr>
          <w:rFonts w:ascii="Times New Roman" w:hAnsi="Times New Roman"/>
          <w:sz w:val="20"/>
        </w:rPr>
        <w:t xml:space="preserve">$1,000,000,000 4.200% SENIOR NOTES DUE 2031 </w:t>
      </w:r>
    </w:p>
    <w:p>
      <w:pPr>
        <w:pStyle w:val="TextBody"/>
        <w:bidi w:val="0"/>
        <w:spacing w:before="0" w:after="0"/>
        <w:jc w:val="center"/>
        <w:rPr>
          <w:rFonts w:ascii="Times New Roman" w:hAnsi="Times New Roman"/>
          <w:sz w:val="20"/>
        </w:rPr>
      </w:pPr>
      <w:r>
        <w:rPr>
          <w:rFonts w:ascii="Times New Roman" w:hAnsi="Times New Roman"/>
          <w:sz w:val="20"/>
        </w:rPr>
        <w:t xml:space="preserve">$1,750,000,000 4.850% SENIOR NOTES DUE 2036 </w:t>
      </w:r>
    </w:p>
    <w:p>
      <w:pPr>
        <w:pStyle w:val="TextBody"/>
        <w:bidi w:val="0"/>
        <w:spacing w:before="0" w:after="0"/>
        <w:jc w:val="center"/>
        <w:rPr>
          <w:rFonts w:ascii="Times New Roman" w:hAnsi="Times New Roman"/>
          <w:sz w:val="20"/>
        </w:rPr>
      </w:pPr>
      <w:r>
        <w:rPr>
          <w:rFonts w:ascii="Times New Roman" w:hAnsi="Times New Roman"/>
          <w:sz w:val="20"/>
        </w:rPr>
        <w:t xml:space="preserve">$500,000,000 5.500% SENIOR NOTES DUE 2046 </w:t>
      </w:r>
    </w:p>
    <w:p>
      <w:pPr>
        <w:pStyle w:val="TextBody"/>
        <w:bidi w:val="0"/>
        <w:spacing w:before="0" w:after="0"/>
        <w:jc w:val="center"/>
        <w:rPr>
          <w:rFonts w:ascii="Times New Roman" w:hAnsi="Times New Roman"/>
          <w:sz w:val="20"/>
        </w:rPr>
      </w:pPr>
      <w:r>
        <w:rPr>
          <w:rFonts w:ascii="Times New Roman" w:hAnsi="Times New Roman"/>
          <w:sz w:val="20"/>
        </w:rPr>
        <w:t xml:space="preserve">$750,000,000 5.650% SENIOR NOTES DUE 2056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17, 2026 </w:t>
      </w:r>
    </w:p>
    <w:p>
      <w:pPr>
        <w:pStyle w:val="TextBody"/>
        <w:bidi w:val="0"/>
        <w:spacing w:before="240" w:after="0"/>
        <w:jc w:val="left"/>
        <w:rPr>
          <w:rFonts w:ascii="Times New Roman" w:hAnsi="Times New Roman"/>
          <w:sz w:val="20"/>
        </w:rPr>
      </w:pPr>
      <w:r>
        <w:rPr>
          <w:rFonts w:ascii="Times New Roman" w:hAnsi="Times New Roman"/>
          <w:sz w:val="20"/>
        </w:rPr>
        <w:t xml:space="preserve">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Morgan Stanley &amp; Co. LLC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I hereto </w:t>
      </w:r>
    </w:p>
    <w:p>
      <w:pPr>
        <w:pStyle w:val="TextBody"/>
        <w:bidi w:val="0"/>
        <w:spacing w:before="240" w:after="0"/>
        <w:jc w:val="left"/>
        <w:rPr>
          <w:rFonts w:ascii="Times New Roman" w:hAnsi="Times New Roman"/>
          <w:sz w:val="20"/>
        </w:rPr>
      </w:pPr>
      <w:r>
        <w:rPr>
          <w:rFonts w:ascii="Times New Roman" w:hAnsi="Times New Roman"/>
          <w:sz w:val="20"/>
        </w:rPr>
        <w:t xml:space="preserve">c/o BofA Securities, Inc. </w:t>
      </w:r>
    </w:p>
    <w:p>
      <w:pPr>
        <w:pStyle w:val="TextBody"/>
        <w:bidi w:val="0"/>
        <w:spacing w:before="0" w:after="0"/>
        <w:jc w:val="left"/>
        <w:rPr>
          <w:rFonts w:ascii="Times New Roman" w:hAnsi="Times New Roman"/>
          <w:sz w:val="20"/>
        </w:rPr>
      </w:pPr>
      <w:r>
        <w:rPr>
          <w:rFonts w:ascii="Times New Roman" w:hAnsi="Times New Roman"/>
          <w:sz w:val="20"/>
        </w:rPr>
        <w:t xml:space="preserve">One Bryant Park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c/o Citigroup Global Markets Inc. </w:t>
      </w:r>
    </w:p>
    <w:p>
      <w:pPr>
        <w:pStyle w:val="TextBody"/>
        <w:bidi w:val="0"/>
        <w:spacing w:before="0" w:after="0"/>
        <w:jc w:val="left"/>
        <w:rPr>
          <w:rFonts w:ascii="Times New Roman" w:hAnsi="Times New Roman"/>
          <w:sz w:val="20"/>
        </w:rPr>
      </w:pPr>
      <w:r>
        <w:rPr>
          <w:rFonts w:ascii="Times New Roman" w:hAnsi="Times New Roman"/>
          <w:sz w:val="20"/>
        </w:rPr>
        <w:t xml:space="preserve">388 Greenwich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10013 </w:t>
      </w:r>
    </w:p>
    <w:p>
      <w:pPr>
        <w:pStyle w:val="TextBody"/>
        <w:bidi w:val="0"/>
        <w:spacing w:before="240" w:after="0"/>
        <w:jc w:val="left"/>
        <w:rPr>
          <w:rFonts w:ascii="Times New Roman" w:hAnsi="Times New Roman"/>
          <w:sz w:val="20"/>
        </w:rPr>
      </w:pPr>
      <w:r>
        <w:rPr>
          <w:rFonts w:ascii="Times New Roman" w:hAnsi="Times New Roman"/>
          <w:sz w:val="20"/>
        </w:rPr>
        <w:t xml:space="preserve">c/o J.P. Morgan Securities LLC </w:t>
      </w:r>
    </w:p>
    <w:p>
      <w:pPr>
        <w:pStyle w:val="TextBody"/>
        <w:bidi w:val="0"/>
        <w:spacing w:before="0" w:after="0"/>
        <w:jc w:val="left"/>
        <w:rPr>
          <w:rFonts w:ascii="Times New Roman" w:hAnsi="Times New Roman"/>
          <w:sz w:val="20"/>
        </w:rPr>
      </w:pPr>
      <w:r>
        <w:rPr>
          <w:rFonts w:ascii="Times New Roman" w:hAnsi="Times New Roman"/>
          <w:sz w:val="20"/>
        </w:rPr>
        <w:t xml:space="preserve">270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c/o Morgan Stanley &amp; Co. LLC </w:t>
      </w:r>
    </w:p>
    <w:p>
      <w:pPr>
        <w:pStyle w:val="TextBody"/>
        <w:bidi w:val="0"/>
        <w:spacing w:before="0" w:after="0"/>
        <w:jc w:val="left"/>
        <w:rPr>
          <w:rFonts w:ascii="Times New Roman" w:hAnsi="Times New Roman"/>
          <w:sz w:val="20"/>
        </w:rPr>
      </w:pPr>
      <w:r>
        <w:rPr>
          <w:rFonts w:ascii="Times New Roman" w:hAnsi="Times New Roman"/>
          <w:sz w:val="20"/>
        </w:rPr>
        <w:t xml:space="preserve">1585 Broadway </w:t>
      </w:r>
    </w:p>
    <w:p>
      <w:pPr>
        <w:pStyle w:val="TextBody"/>
        <w:bidi w:val="0"/>
        <w:spacing w:before="0" w:after="0"/>
        <w:jc w:val="left"/>
        <w:rPr>
          <w:rFonts w:ascii="Times New Roman" w:hAnsi="Times New Roman"/>
          <w:sz w:val="20"/>
        </w:rPr>
      </w:pPr>
      <w:r>
        <w:rPr>
          <w:rFonts w:ascii="Times New Roman" w:hAnsi="Times New Roman"/>
          <w:sz w:val="20"/>
        </w:rPr>
        <w:t xml:space="preserve">New York, NY 10036 </w:t>
      </w:r>
    </w:p>
    <w:p>
      <w:pPr>
        <w:pStyle w:val="TextBody"/>
        <w:bidi w:val="0"/>
        <w:spacing w:before="240" w:after="0"/>
        <w:jc w:val="left"/>
        <w:rPr>
          <w:rFonts w:ascii="Times New Roman" w:hAnsi="Times New Roman"/>
          <w:sz w:val="20"/>
        </w:rPr>
      </w:pPr>
      <w:r>
        <w:rPr>
          <w:rFonts w:ascii="Times New Roman" w:hAnsi="Times New Roman"/>
          <w:sz w:val="20"/>
        </w:rPr>
        <w:t xml:space="preserve">Dear Sirs and Mesdames: </w:t>
      </w:r>
    </w:p>
    <w:p>
      <w:pPr>
        <w:pStyle w:val="TextBody"/>
        <w:bidi w:val="0"/>
        <w:spacing w:before="120" w:after="0"/>
        <w:jc w:val="left"/>
        <w:rPr>
          <w:rFonts w:ascii="Times New Roman" w:hAnsi="Times New Roman"/>
          <w:sz w:val="20"/>
        </w:rPr>
      </w:pPr>
      <w:r>
        <w:rPr>
          <w:rFonts w:ascii="Times New Roman" w:hAnsi="Times New Roman"/>
          <w:sz w:val="20"/>
        </w:rPr>
        <w:t>Amgen Inc., a Delaware corporation (the “</w:t>
      </w:r>
      <w:r>
        <w:rPr>
          <w:rFonts w:ascii="Times New Roman" w:hAnsi="Times New Roman"/>
          <w:sz w:val="20"/>
          <w:u w:val="single"/>
        </w:rPr>
        <w:t>Company</w:t>
      </w:r>
      <w:r>
        <w:rPr>
          <w:rFonts w:ascii="Times New Roman" w:hAnsi="Times New Roman"/>
          <w:sz w:val="20"/>
        </w:rPr>
        <w:t>”), proposes, subject to the terms and conditions stated herein, to issue and sell to the Underwriters named in Schedule I hereto (the “</w:t>
      </w:r>
      <w:r>
        <w:rPr>
          <w:rFonts w:ascii="Times New Roman" w:hAnsi="Times New Roman"/>
          <w:sz w:val="20"/>
          <w:u w:val="single"/>
        </w:rPr>
        <w:t>Underwriters</w:t>
      </w:r>
      <w:r>
        <w:rPr>
          <w:rFonts w:ascii="Times New Roman" w:hAnsi="Times New Roman"/>
          <w:sz w:val="20"/>
        </w:rPr>
        <w:t>”) an aggregate of $1,000,000,000 principal amount of its 4.200% Senior Notes due 2031 (the “</w:t>
      </w:r>
      <w:r>
        <w:rPr>
          <w:rFonts w:ascii="Times New Roman" w:hAnsi="Times New Roman"/>
          <w:sz w:val="20"/>
          <w:u w:val="single"/>
        </w:rPr>
        <w:t>2031 Notes</w:t>
      </w:r>
      <w:r>
        <w:rPr>
          <w:rFonts w:ascii="Times New Roman" w:hAnsi="Times New Roman"/>
          <w:sz w:val="20"/>
        </w:rPr>
        <w:t>”), $1,750,000,000 principal amount of its 4.850% Senior Notes due 2036 (the “</w:t>
      </w:r>
      <w:r>
        <w:rPr>
          <w:rFonts w:ascii="Times New Roman" w:hAnsi="Times New Roman"/>
          <w:sz w:val="20"/>
          <w:u w:val="single"/>
        </w:rPr>
        <w:t>2036 Notes</w:t>
      </w:r>
      <w:r>
        <w:rPr>
          <w:rFonts w:ascii="Times New Roman" w:hAnsi="Times New Roman"/>
          <w:sz w:val="20"/>
        </w:rPr>
        <w:t>”), $500,000,000 principal amount of its 5.500% Senior Notes due 2046 (the “</w:t>
      </w:r>
      <w:r>
        <w:rPr>
          <w:rFonts w:ascii="Times New Roman" w:hAnsi="Times New Roman"/>
          <w:sz w:val="20"/>
          <w:u w:val="single"/>
        </w:rPr>
        <w:t>2046 Notes</w:t>
      </w:r>
      <w:r>
        <w:rPr>
          <w:rFonts w:ascii="Times New Roman" w:hAnsi="Times New Roman"/>
          <w:sz w:val="20"/>
        </w:rPr>
        <w:t>”) and $750,000,000 principal amount of its 5.650% Senior Notes due 2056 (the “</w:t>
      </w:r>
      <w:r>
        <w:rPr>
          <w:rFonts w:ascii="Times New Roman" w:hAnsi="Times New Roman"/>
          <w:sz w:val="20"/>
          <w:u w:val="single"/>
        </w:rPr>
        <w:t>2056 Notes</w:t>
      </w:r>
      <w:r>
        <w:rPr>
          <w:rFonts w:ascii="Times New Roman" w:hAnsi="Times New Roman"/>
          <w:sz w:val="20"/>
        </w:rPr>
        <w:t>,” and together with the 2031 Notes, 2036 Notes and 2046 Notes, the “</w:t>
      </w:r>
      <w:r>
        <w:rPr>
          <w:rFonts w:ascii="Times New Roman" w:hAnsi="Times New Roman"/>
          <w:sz w:val="20"/>
          <w:u w:val="single"/>
        </w:rPr>
        <w:t>Securities</w:t>
      </w:r>
      <w:r>
        <w:rPr>
          <w:rFonts w:ascii="Times New Roman" w:hAnsi="Times New Roman"/>
          <w:sz w:val="20"/>
        </w:rPr>
        <w:t>”) to be issued pursuant to the provisions of an Indenture dated as of May 22, 2014 (the “</w:t>
      </w:r>
      <w:r>
        <w:rPr>
          <w:rFonts w:ascii="Times New Roman" w:hAnsi="Times New Roman"/>
          <w:sz w:val="20"/>
          <w:u w:val="single"/>
        </w:rPr>
        <w:t>Indenture</w:t>
      </w:r>
      <w:r>
        <w:rPr>
          <w:rFonts w:ascii="Times New Roman" w:hAnsi="Times New Roman"/>
          <w:sz w:val="20"/>
        </w:rPr>
        <w:t>”), between the Company and The Bank of New York Mellon Trust Company, N.A., as Trustee (the “</w:t>
      </w:r>
      <w:r>
        <w:rPr>
          <w:rFonts w:ascii="Times New Roman" w:hAnsi="Times New Roman"/>
          <w:sz w:val="20"/>
          <w:u w:val="single"/>
        </w:rPr>
        <w:t>Trustee</w:t>
      </w:r>
      <w:r>
        <w:rPr>
          <w:rFonts w:ascii="Times New Roman" w:hAnsi="Times New Roman"/>
          <w:sz w:val="20"/>
        </w:rPr>
        <w:t>”). BofA Securities, Inc., Citigroup Global Markets Inc., J.P. Morgan Securities LLC, and Morgan Stanley &amp; Co. LLC have agreed to act as representatives of the Underwriters (the “</w:t>
      </w:r>
      <w:r>
        <w:rPr>
          <w:rFonts w:ascii="Times New Roman" w:hAnsi="Times New Roman"/>
          <w:sz w:val="20"/>
          <w:u w:val="single"/>
        </w:rPr>
        <w:t>Representatives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Representations and Warranties</w:t>
      </w:r>
      <w:r>
        <w:rPr>
          <w:rFonts w:ascii="Times New Roman" w:hAnsi="Times New Roman"/>
          <w:sz w:val="20"/>
        </w:rPr>
        <w:t xml:space="preserve">. (a) The Company represents and warrants to, and agrees with, you that as of the date hereof and as of the Closing Date: </w:t>
      </w:r>
    </w:p>
    <w:p>
      <w:pPr>
        <w:pStyle w:val="TextBody"/>
        <w:bidi w:val="0"/>
        <w:spacing w:before="120" w:after="0"/>
        <w:jc w:val="left"/>
        <w:rPr>
          <w:rFonts w:ascii="Times New Roman" w:hAnsi="Times New Roman"/>
          <w:sz w:val="20"/>
        </w:rPr>
      </w:pPr>
      <w:r>
        <w:rPr>
          <w:rFonts w:ascii="Times New Roman" w:hAnsi="Times New Roman"/>
          <w:sz w:val="20"/>
        </w:rPr>
        <w:t>(i) An “automatic shelf registration statement” as defined under Rule 405 under the Securities Act of 1933, as amended (the “</w:t>
      </w:r>
      <w:r>
        <w:rPr>
          <w:rFonts w:ascii="Times New Roman" w:hAnsi="Times New Roman"/>
          <w:sz w:val="20"/>
          <w:u w:val="single"/>
        </w:rPr>
        <w:t>Act</w:t>
      </w:r>
      <w:r>
        <w:rPr>
          <w:rFonts w:ascii="Times New Roman" w:hAnsi="Times New Roman"/>
          <w:sz w:val="20"/>
        </w:rPr>
        <w:t>”) on Form S-3 (File No. 333-293477) in respect of the Securities has been filed with the Securities and Exchange Commission (the “</w:t>
      </w:r>
      <w:r>
        <w:rPr>
          <w:rFonts w:ascii="Times New Roman" w:hAnsi="Times New Roman"/>
          <w:sz w:val="20"/>
          <w:u w:val="single"/>
        </w:rPr>
        <w:t>Commission</w:t>
      </w:r>
      <w:r>
        <w:rPr>
          <w:rFonts w:ascii="Times New Roman" w:hAnsi="Times New Roman"/>
          <w:sz w:val="20"/>
        </w:rPr>
        <w:t>”) not earlier than three years prior to the date hereof; such registration statement, and any post-effective amendment thereto, became effective on filing; and no stop order suspending the effectiveness of such registration statement or any part thereof has been issued and no proceeding for that purpose has been initiated or, to the Company’s knowledge, threatened by the Commission, and no notice of objection of the Commission to the use of such registration statement or any post-effective amendment thereto pursuant to Rule 401(g)(2) under the Act has been received by the Company (the base prospectus filed as part of such registration statement, in the form in which it has most recently been filed with the Commission on or prior to the date of this Agreement, is hereinafter called the “</w:t>
      </w:r>
      <w:r>
        <w:rPr>
          <w:rFonts w:ascii="Times New Roman" w:hAnsi="Times New Roman"/>
          <w:sz w:val="20"/>
          <w:u w:val="single"/>
        </w:rPr>
        <w:t>Basic Prospectus</w:t>
      </w:r>
      <w:r>
        <w:rPr>
          <w:rFonts w:ascii="Times New Roman" w:hAnsi="Times New Roman"/>
          <w:sz w:val="20"/>
        </w:rPr>
        <w:t>”; any preliminary prospectus (including any preliminary prospectus supplement) relating to the Securities filed with the Commission pursuant to Rule 424(b) under the Act is hereinafter called a “</w:t>
      </w:r>
      <w:r>
        <w:rPr>
          <w:rFonts w:ascii="Times New Roman" w:hAnsi="Times New Roman"/>
          <w:sz w:val="20"/>
          <w:u w:val="single"/>
        </w:rPr>
        <w:t>Preliminary Prospectus</w:t>
      </w:r>
      <w:r>
        <w:rPr>
          <w:rFonts w:ascii="Times New Roman" w:hAnsi="Times New Roman"/>
          <w:sz w:val="20"/>
        </w:rPr>
        <w:t>”; the various parts of such registration statement, including all exhibits thereto but excluding Form T-1 and including any prospectus supplement relating to the Securities that is filed with the Commission and deemed by virtue of Rule 430B to be part of such registration statement, each as amended at the time such part of the registration statement became effective, are hereinafter collectively called the “</w:t>
      </w:r>
      <w:r>
        <w:rPr>
          <w:rFonts w:ascii="Times New Roman" w:hAnsi="Times New Roman"/>
          <w:sz w:val="20"/>
          <w:u w:val="single"/>
        </w:rPr>
        <w:t>Registration Statement</w:t>
      </w:r>
      <w:r>
        <w:rPr>
          <w:rFonts w:ascii="Times New Roman" w:hAnsi="Times New Roman"/>
          <w:sz w:val="20"/>
        </w:rPr>
        <w:t>”; the Basic Prospectus, as amended and supplemented immediately prior to the Applicable Time (as defined in Section 1(a)(iii) hereof), is hereinafter called the “</w:t>
      </w:r>
      <w:r>
        <w:rPr>
          <w:rFonts w:ascii="Times New Roman" w:hAnsi="Times New Roman"/>
          <w:sz w:val="20"/>
          <w:u w:val="single"/>
        </w:rPr>
        <w:t>Pricing Prospectus</w:t>
      </w:r>
      <w:r>
        <w:rPr>
          <w:rFonts w:ascii="Times New Roman" w:hAnsi="Times New Roman"/>
          <w:sz w:val="20"/>
        </w:rPr>
        <w:t>”; the form of the final prospectus relating to the Securities filed with the Commission pursuant to Rule 424(b) under the Act in accordance with Section 7(a) hereof is hereinafter called the “</w:t>
      </w:r>
      <w:r>
        <w:rPr>
          <w:rFonts w:ascii="Times New Roman" w:hAnsi="Times New Roman"/>
          <w:sz w:val="20"/>
          <w:u w:val="single"/>
        </w:rPr>
        <w:t>Prospectus</w:t>
      </w:r>
      <w:r>
        <w:rPr>
          <w:rFonts w:ascii="Times New Roman" w:hAnsi="Times New Roman"/>
          <w:sz w:val="20"/>
        </w:rPr>
        <w:t>”; any reference herein to the Basic Prospectus, the Pricing Prospectus, any Preliminary Prospectus or the Prospectus shall be deemed to refer to and include the documents incorporated by reference therein pursuant to Item 12 of Form S-3 under the Act,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Securities filed with the Commission pursuant to Rule 424(b) under the Act and any documents filed under the Securities Exchange Act of 1934, as amended (the “</w:t>
      </w:r>
      <w:r>
        <w:rPr>
          <w:rFonts w:ascii="Times New Roman" w:hAnsi="Times New Roman"/>
          <w:sz w:val="20"/>
          <w:u w:val="single"/>
        </w:rPr>
        <w:t>Exchange Act</w:t>
      </w:r>
      <w:r>
        <w:rPr>
          <w:rFonts w:ascii="Times New Roman" w:hAnsi="Times New Roman"/>
          <w:sz w:val="20"/>
        </w:rPr>
        <w: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and any “issuer free writing prospectus” as defined in Rule 433 under the Act relating to the Securities is hereinafter called an “</w:t>
      </w:r>
      <w:r>
        <w:rPr>
          <w:rFonts w:ascii="Times New Roman" w:hAnsi="Times New Roman"/>
          <w:sz w:val="20"/>
          <w:u w:val="single"/>
        </w:rPr>
        <w:t>Issuer Free Writing</w:t>
      </w:r>
      <w:r>
        <w:rPr>
          <w:rFonts w:ascii="Times New Roman" w:hAnsi="Times New Roman"/>
          <w:sz w:val="20"/>
        </w:rPr>
        <w:t xml:space="preserve"> </w:t>
      </w:r>
      <w:r>
        <w:rPr>
          <w:rFonts w:ascii="Times New Roman" w:hAnsi="Times New Roman"/>
          <w:sz w:val="20"/>
          <w:u w:val="single"/>
        </w:rPr>
        <w:t>Prospectus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No order preventing or suspending the use of any Preliminary Prospectus or any Issuer Free Writing Prospectus has been issued by the Commission, and each Preliminary Prospectus, at the time of filing thereof, conformed in all material respects to the requirements of the Act and the Trust Indenture Act of 1939, as amended (the “</w:t>
      </w:r>
      <w:r>
        <w:rPr>
          <w:rFonts w:ascii="Times New Roman" w:hAnsi="Times New Roman"/>
          <w:sz w:val="20"/>
          <w:u w:val="single"/>
        </w:rPr>
        <w:t>Trust Indenture Act</w:t>
      </w:r>
      <w:r>
        <w:rPr>
          <w:rFonts w:ascii="Times New Roman" w:hAnsi="Times New Roman"/>
          <w:sz w:val="20"/>
        </w:rPr>
        <w:t xml:space="preserve">”)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Times New Roman" w:hAnsi="Times New Roman"/>
          <w:i/>
          <w:sz w:val="20"/>
        </w:rPr>
        <w:t xml:space="preserve">provided, however, </w:t>
      </w:r>
      <w:r>
        <w:rPr>
          <w:rFonts w:ascii="Times New Roman" w:hAnsi="Times New Roman"/>
          <w:sz w:val="20"/>
        </w:rPr>
        <w:t xml:space="preserve">that this representation and warranty shall not apply to any statements or omissions made in reliance upon and in conformity with information furnished in writing to the Company by an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(iii) For the purposes of this Agreement, the “</w:t>
      </w:r>
      <w:r>
        <w:rPr>
          <w:rFonts w:ascii="Times New Roman" w:hAnsi="Times New Roman"/>
          <w:sz w:val="20"/>
          <w:u w:val="single"/>
        </w:rPr>
        <w:t>Applicable Time</w:t>
      </w:r>
      <w:r>
        <w:rPr>
          <w:rFonts w:ascii="Times New Roman" w:hAnsi="Times New Roman"/>
          <w:sz w:val="20"/>
        </w:rPr>
        <w:t>” is 4:30 p.m., New York City time, on the date of this Agreement; the Pricing Prospectus as supplemented by the final term sheets prepared and filed pursuant to Section 7(a) hereof, taken together (collectively, the “</w:t>
      </w:r>
      <w:r>
        <w:rPr>
          <w:rFonts w:ascii="Times New Roman" w:hAnsi="Times New Roman"/>
          <w:sz w:val="20"/>
          <w:u w:val="single"/>
        </w:rPr>
        <w:t>Pricing Disclosure Package</w:t>
      </w:r>
      <w:r>
        <w:rPr>
          <w:rFonts w:ascii="Times New Roman" w:hAnsi="Times New Roman"/>
          <w:sz w:val="20"/>
        </w:rPr>
        <w:t xml:space="preserv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hereto does not conflict with the information contained in the Registration Statement,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Times New Roman" w:hAnsi="Times New Roman"/>
          <w:i/>
          <w:sz w:val="20"/>
        </w:rPr>
        <w:t xml:space="preserve">provided, however, </w:t>
      </w:r>
      <w:r>
        <w:rPr>
          <w:rFonts w:ascii="Times New Roman" w:hAnsi="Times New Roman"/>
          <w:sz w:val="20"/>
        </w:rPr>
        <w:t xml:space="preserve">that this representation and warranty shall not apply to statements or omissions made in an Issuer Free Writing Prospectus in reliance upon and in conformity with information furnished in writing to the Company by an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(iv) The documents incorporated by reference in the Registration Statement,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not misleading; any further documents so filed and incorporated by reference in the Registration Statement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not misleading; and no such documents were filed with the Commission since the Commission’s close of business on the business day immediately prior to the date of this Agreement and prior to the execution of this Agreement, except as set forth on Schedule II(b) hereto; </w:t>
      </w:r>
    </w:p>
    <w:p>
      <w:pPr>
        <w:pStyle w:val="TextBody"/>
        <w:bidi w:val="0"/>
        <w:spacing w:before="240" w:after="0"/>
        <w:jc w:val="left"/>
        <w:rPr>
          <w:rFonts w:ascii="Times New Roman" w:hAnsi="Times New Roman"/>
          <w:sz w:val="20"/>
        </w:rPr>
      </w:pPr>
      <w:r>
        <w:rPr>
          <w:rFonts w:ascii="Times New Roman" w:hAnsi="Times New Roman"/>
          <w:sz w:val="20"/>
        </w:rPr>
        <w:t xml:space="preserve">(v) The Registration Statement conforms, and the Prospectus and any further amendments or supplements to the Registration Statement and the Prospectus will conform, in all material respects to the requirements of the Act and the Trust Indenture Act and the rules and regulations of the Commission thereunder; and the Registration Statement does not and will not, as of the applicable effective date as to each part of the Registration Statement, contain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untrue statement of a material fact or omit to state a material fact required to be stated therein or necessary to make the statements therein not misleading; and the Prospectus and any Preliminary Prospectus will not, as of the applicable filing date and any amendment or supplement thereto, include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representation and warranty shall not apply to any statements or omissions made in reliance upon and in conformity with information furnished in writing to the Company by an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(vi) Ernst &amp; Young LLP, which has audited the consolidated financial statements of the Company and its consolidated subsidiaries incorporated by reference in the Registration Statement, are independent registered public accountants with respect to the Company and its subsidiaries within the meaning of Regulation S-X under the Act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(vii) The consolidated financial statements included in the Company’s Annual Report on Form 10-K for the fiscal year ended December 31, 2025, which are incorporated by reference in the Pricing Prospectus and the Prospectus, present fairly, in all material respects, the consolidated balance sheets of the Company and its subsidiaries at December 31, 2025 and 2024, and the consolidated statements of operations and cash flows of the Company and its subsidiaries for each of the three years in the period ended December 31, 2025 and are in conformity with accounting principles generally accepted in the United States (“</w:t>
      </w:r>
      <w:r>
        <w:rPr>
          <w:rFonts w:ascii="Times New Roman" w:hAnsi="Times New Roman"/>
          <w:sz w:val="20"/>
          <w:u w:val="single"/>
        </w:rPr>
        <w:t>GAAP</w:t>
      </w:r>
      <w:r>
        <w:rPr>
          <w:rFonts w:ascii="Times New Roman" w:hAnsi="Times New Roman"/>
          <w:sz w:val="20"/>
        </w:rPr>
        <w:t xml:space="preserve">”) and the applicable accounting requirements of the Exchange Act and the related rules and regulations adopted by the SEC. The related financial statement schedule, when considered in relation to the basic consolidated financial statements taken as a whole, presents fairly in all material respects the information set forth therein for each of the three years in the period ended December 31, 2025; </w:t>
      </w:r>
    </w:p>
    <w:p>
      <w:pPr>
        <w:pStyle w:val="TextBody"/>
        <w:bidi w:val="0"/>
        <w:spacing w:before="240" w:after="0"/>
        <w:jc w:val="left"/>
        <w:rPr>
          <w:rFonts w:ascii="Times New Roman" w:hAnsi="Times New Roman"/>
          <w:sz w:val="20"/>
        </w:rPr>
      </w:pPr>
      <w:r>
        <w:rPr>
          <w:rFonts w:ascii="Times New Roman" w:hAnsi="Times New Roman"/>
          <w:sz w:val="20"/>
        </w:rPr>
        <w:t xml:space="preserve">(viii) Since the date as of which information is given in the Pricing Prospectus, except as otherwise stated therein, (A) there has been no material adverse change in the financial condition or in the earnings of the Company and its subsidiaries considered as one enterprise, (B) there have been no transactions entered into by the Company or any of its subsidiaries, other than those in the ordinary course of business, which are material with respect to the Company and its subsidiaries considered as one enterprise, and (C) there has been no dividend or distribution of any kind declared, paid or made by the Company on any class of its capital stock not described in the Pricing Prospectus; </w:t>
      </w:r>
    </w:p>
    <w:p>
      <w:pPr>
        <w:pStyle w:val="TextBody"/>
        <w:bidi w:val="0"/>
        <w:spacing w:before="240" w:after="0"/>
        <w:jc w:val="left"/>
        <w:rPr>
          <w:rFonts w:ascii="Times New Roman" w:hAnsi="Times New Roman"/>
          <w:sz w:val="20"/>
        </w:rPr>
      </w:pPr>
      <w:r>
        <w:rPr>
          <w:rFonts w:ascii="Times New Roman" w:hAnsi="Times New Roman"/>
          <w:sz w:val="20"/>
        </w:rPr>
        <w:t>(ix) The Company and each subsidiary of the Company listed in Schedule III hereto (such subsidiaries, collectively, the “</w:t>
      </w:r>
      <w:r>
        <w:rPr>
          <w:rFonts w:ascii="Times New Roman" w:hAnsi="Times New Roman"/>
          <w:sz w:val="20"/>
          <w:u w:val="single"/>
        </w:rPr>
        <w:t>Significant Subsidiaries</w:t>
      </w:r>
      <w:r>
        <w:rPr>
          <w:rFonts w:ascii="Times New Roman" w:hAnsi="Times New Roman"/>
          <w:sz w:val="20"/>
        </w:rPr>
        <w:t>”), has been duly incorporated or organized and is validly existing in good standing under the laws of the jurisdiction in which it is incorporated, chartered or organized with the corporate power and authority to own or lease, as the case may be, and to operate its properties and conduct its business as described in the Pricing Prospectus and Prospectus and is duly qualified to do business as a foreign corporation or organization and is in good standing under the laws of each jurisdiction which requires such qualification, except, in each case, where the failure so to qualify or to be in good standing would not have a material adverse effect on the financial condition of the Company and its subsidiaries, considered as one enterprise (a “</w:t>
      </w:r>
      <w:r>
        <w:rPr>
          <w:rFonts w:ascii="Times New Roman" w:hAnsi="Times New Roman"/>
          <w:sz w:val="20"/>
          <w:u w:val="single"/>
        </w:rPr>
        <w:t>Material Adverse Effect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All the issued and outstanding shares of capital stock of the Significant Subsidiaries have been duly and validly authorized and issued and are fully paid and nonassessable, and, except as may be otherwise set forth in the Pricing Prospectus and Prospectus, all outstanding shares of capital stock of the Significant Subsidiaries are owned by the Company either directly or through a wholly-owned subsidiary free and clear of any security interest, mortgage, pledge, lien, encumbrance, claim or equity; none of the outstanding shares of capital stock of the Significant Subsidiaries was issued in violation of the preemptive or similar rights of any securityholder of any Significant Subsidiary; </w:t>
      </w:r>
    </w:p>
    <w:p>
      <w:pPr>
        <w:pStyle w:val="TextBody"/>
        <w:bidi w:val="0"/>
        <w:spacing w:before="240" w:after="0"/>
        <w:jc w:val="left"/>
        <w:rPr>
          <w:rFonts w:ascii="Times New Roman" w:hAnsi="Times New Roman"/>
          <w:sz w:val="20"/>
        </w:rPr>
      </w:pPr>
      <w:r>
        <w:rPr>
          <w:rFonts w:ascii="Times New Roman" w:hAnsi="Times New Roman"/>
          <w:sz w:val="20"/>
        </w:rPr>
        <w:t xml:space="preserve">(xi) None of the Significant Subsidiaries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may be described in or contemplated by the Pricing Prospectus and Prospectus and except as would not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(xii) The consolidated capitalization of the Company as of December 31, 2025 is as set forth in the Pricing Prospectus and Prospectus in the column entitled “Actual” under the caption “Capitalization.” The outstanding shares of capital stock of the Company have been duly and validly authorized and issued and are fully paid and nonassessable; none of the outstanding shares of capital stock of the Company was issued in violation of the preemptive or similar rights of any security 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(xiii)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(xiv) The Indenture has been duly authorized, executed and delivered by the Company and, assuming the due authorization, execution and delivery of the Indenture by the Trustee, is a valid and binding agreement of the Company enforceable against the Company in accordance with its terms, except (A) to the extent that a waiver of rights under any usury laws may be unenforceable and as the enforceability thereof may be limited by bankruptcy, insolvency, fraudulent conveyance, moratorium or other similar laws now or hereafter in effect relating to or affecting the enforcement of creditors’ rights and remedies generally and (B) as rights of acceleration and the availability of equitable remedies may be limited by equitable principles of general applicability, whether or not enforcement is sought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(xv) The Securities have been duly authorized by the Company, and, on the Closing Date, the Securities will have been duly executed by the Company and, when authenticated, issued and delivered in the manner provided for in the Indenture and delivered against payment of the purchase price therefore as provided in this Agreement, will be the valid and binding obligations of the Company, enforceable against the Company in accordance with their terms, except (A) to the extent that a waiver of rights under any usury laws may be unenforceable and as the enforceability thereof may be limited by bankruptcy, insolvency, fraudulent conveyance, moratorium or other similar laws now or hereafter in effect relating to or affecting the enforcement of creditors’ rights and remedies generally and (B) as rights of acceleration and the availability of equitable remedies may be limited by equitable principles of general applicability, whether or not enforcement is sought at law or in equity. At the Closing Date, the Securities will be in the form contemplated by, and will be entitled to the benefits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(xvi) The Securities and the Indenture will conform in all material respects to the respective statements relating thereto contained in the Pricing Disclosure Package and Prospectus; </w:t>
      </w:r>
    </w:p>
    <w:p>
      <w:pPr>
        <w:pStyle w:val="TextBody"/>
        <w:bidi w:val="0"/>
        <w:spacing w:before="240" w:after="0"/>
        <w:jc w:val="left"/>
        <w:rPr>
          <w:rFonts w:ascii="Times New Roman" w:hAnsi="Times New Roman"/>
          <w:sz w:val="20"/>
        </w:rPr>
      </w:pPr>
      <w:r>
        <w:rPr>
          <w:rFonts w:ascii="Times New Roman" w:hAnsi="Times New Roman"/>
          <w:sz w:val="20"/>
        </w:rPr>
        <w:t xml:space="preserve">(xvii) Neither the Company nor any of its Significant Subsidiaries is in violation of its charter or by-laws or in default in the performance or observance of any obligation, agreement, covenant or condition contained in any contract, indenture, mortgage, deed of trust, loan or credit agreement, note, lease or other agreement or instrument to which the Company or any of its subsidiaries is a party or by which it or any of them may be bound, or to which any of the property or assets of the Company or any of its subsidiaries is subject, except for such defaults that would not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(xviii) The execution, delivery and performance by the Company of its obligations under this Agreement, the Indenture and the Securities will not contravene any provision of (A) the Amended and Restated Certificate of Incorporation, or Amended and Restated Bylaws of the Company, (B) any agreement or other instrument binding upon the Company or its business or assets that is material to the financial condition of the Company and its subsidiaries, considered as one enterprise, (C) applicable law, or (D) any judgment, order, decree of any governmental body, agency or court having jurisdiction over the Company or its business or assets; </w:t>
      </w:r>
    </w:p>
    <w:p>
      <w:pPr>
        <w:pStyle w:val="TextBody"/>
        <w:bidi w:val="0"/>
        <w:spacing w:before="240" w:after="0"/>
        <w:jc w:val="left"/>
        <w:rPr>
          <w:rFonts w:ascii="Times New Roman" w:hAnsi="Times New Roman"/>
          <w:sz w:val="20"/>
        </w:rPr>
      </w:pPr>
      <w:r>
        <w:rPr>
          <w:rFonts w:ascii="Times New Roman" w:hAnsi="Times New Roman"/>
          <w:sz w:val="20"/>
        </w:rPr>
        <w:t xml:space="preserve">(xix) Except as disclosed in the Pricing Prospectus and Prospectus, there is no action, suit, proceeding, inquiry or investigation before or brought by any court or governmental agency or body, domestic or foreign, now pending, or, to the knowledge of the Company, threatened, against or affecting the Company or any of its subsidiaries which might reasonably be expected to result in a Material Adverse Effect, or which might reasonably be expected to materially and adversely affect the properties or assets of the Company or any of its subsidiaries or the consummation of the transactions contemplated by this Agreement or the performance by the Company of its obligations hereunder. The aggregate of all pending legal or governmental proceedings to which the Company or any of its subsidiaries is a party or of which any of their respective property or assets is the subject which are not described in the Pricing Prospectus and Prospectus, including ordinary routine litigation incidental to the business, could not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(xx) Except as described in the Pricing Prospectus and Prospectus, the Company and its Significant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and trade names (collectively, “</w:t>
      </w:r>
      <w:r>
        <w:rPr>
          <w:rFonts w:ascii="Times New Roman" w:hAnsi="Times New Roman"/>
          <w:sz w:val="20"/>
          <w:u w:val="single"/>
        </w:rPr>
        <w:t>Intellectual Property</w:t>
      </w:r>
      <w:r>
        <w:rPr>
          <w:rFonts w:ascii="Times New Roman" w:hAnsi="Times New Roman"/>
          <w:sz w:val="20"/>
        </w:rPr>
        <w:t xml:space="preserve">”) which in each case are material to the financial condition of the Company and its subsidiaries, considered as one enterprise, and neither the Company nor any of its Significant Subsidiaries has received any notice of any infringement of or conflict with asserted rights of others with respect to any Intellectual Property, which infringement or conflict, singly or in the aggregate, could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 No consent, approval, authorization or order of or qualification with any governmental body or agency is required for the performance by the Company of its obligations under this Agreement, the Indenture or in connection with the offering, issuance and sale of the Securities, except (A) such as have been already obtained or will have been obtained prior to the Closing Date, or (B) as may be required under the rules and regulations promulgated under the Act and the Trust Indenture Act and the rules and regulations thereunder, in each case with respect to transactions contemplated by the Indenture; </w:t>
      </w:r>
    </w:p>
    <w:p>
      <w:pPr>
        <w:pStyle w:val="TextBody"/>
        <w:bidi w:val="0"/>
        <w:spacing w:before="240" w:after="0"/>
        <w:jc w:val="left"/>
        <w:rPr>
          <w:rFonts w:ascii="Times New Roman" w:hAnsi="Times New Roman"/>
          <w:sz w:val="20"/>
        </w:rPr>
      </w:pPr>
      <w:r>
        <w:rPr>
          <w:rFonts w:ascii="Times New Roman" w:hAnsi="Times New Roman"/>
          <w:sz w:val="20"/>
        </w:rPr>
        <w:t>(xxii) The Company has all necessary consents, authorizations, approvals, orders, certificates and permits of and from (collectively, “</w:t>
      </w:r>
      <w:r>
        <w:rPr>
          <w:rFonts w:ascii="Times New Roman" w:hAnsi="Times New Roman"/>
          <w:sz w:val="20"/>
          <w:u w:val="single"/>
        </w:rPr>
        <w:t>Governmental Permits</w:t>
      </w:r>
      <w:r>
        <w:rPr>
          <w:rFonts w:ascii="Times New Roman" w:hAnsi="Times New Roman"/>
          <w:sz w:val="20"/>
        </w:rPr>
        <w:t xml:space="preserve">”),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Pricing Prospectus and Prospectus, except to the extent that the failure to obtain or file would not have a Material Adverse Effect; and the Company has not received any notice of proceedings relating to the revocation or modification of any such Governmental Permits which, singly or in the aggregate,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(xxiii) Except as described in the Pricing Prospectus and Prospectus and except as would not, singly or in the aggregate, result in a Material Adverse Effect, (A)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Times New Roman" w:hAnsi="Times New Roman"/>
          <w:sz w:val="20"/>
          <w:u w:val="single"/>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sz w:val="20"/>
          <w:u w:val="single"/>
        </w:rPr>
        <w:t>Environmental Laws</w:t>
      </w:r>
      <w:r>
        <w:rPr>
          <w:rFonts w:ascii="Times New Roman" w:hAnsi="Times New Roman"/>
          <w:sz w:val="20"/>
        </w:rPr>
        <w:t xml:space="preserve">”), (B) the Company and its subsidiaries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investigations or proceedings relating to any Environmental Law against the Company or any of its subsidiaries and (D)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(xxiv) Neither the Company nor any of its subsidiaries is in violation of any Federal or state law or regulation relating to occupational safety and health or to the storage, handling and transportation of hazardous or toxic materials, the Company and each of its subsidiaries have received all permits, licenses or other approvals required of them under applicable Federal and state occupational safety and health laws and Environmental Laws and regulations to conduct their respective businesses, and the Company and each such subsidiary is in compliance with all terms and conditions of any such permit, license or approval, except any such violation of law or regulation, failure to receive required permits, licenses or other approvals or failure to comply with the terms and conditions of such permits, licenses or approvals that would not, singly or in the aggregate, result in a Material Adverse Effect, except as described in or contemplated by the Pricing Prospectus and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(xxv) The Company and its subsidiaries, taken as a whole, maintain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w:t>
      </w:r>
    </w:p>
    <w:p>
      <w:pPr>
        <w:pStyle w:val="TextBody"/>
        <w:bidi w:val="0"/>
        <w:spacing w:before="240" w:after="0"/>
        <w:jc w:val="left"/>
        <w:rPr>
          <w:rFonts w:ascii="Times New Roman" w:hAnsi="Times New Roman"/>
          <w:sz w:val="20"/>
        </w:rPr>
      </w:pPr>
      <w:r>
        <w:rPr>
          <w:rFonts w:ascii="Times New Roman" w:hAnsi="Times New Roman"/>
          <w:sz w:val="20"/>
        </w:rPr>
        <w:t xml:space="preserve">(xxvi) The Company is not, and after giving effect to the offering and sale of the Securities and the application of the proceeds thereof as described in the Pricing Prospectus and Prospectus, will not be an “investment company,” or an entity “controlled” by an investment company, as such terms are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(xxvii) The Company and each of its subsidiaries are insured by insurers of recognized financial responsibility against such losses and risks and in such amounts as are reasonable and consistent with sound business practice; </w:t>
      </w:r>
    </w:p>
    <w:p>
      <w:pPr>
        <w:pStyle w:val="TextBody"/>
        <w:bidi w:val="0"/>
        <w:spacing w:before="240" w:after="0"/>
        <w:jc w:val="left"/>
        <w:rPr>
          <w:rFonts w:ascii="Times New Roman" w:hAnsi="Times New Roman"/>
          <w:sz w:val="20"/>
        </w:rPr>
      </w:pPr>
      <w:r>
        <w:rPr>
          <w:rFonts w:ascii="Times New Roman" w:hAnsi="Times New Roman"/>
          <w:sz w:val="20"/>
        </w:rPr>
        <w:t>(xxviii) To the knowledge of the Company, the conduct of the business of the Company and of its subsidiaries, including, as conducted by any of the directors, officers, employees, agents or representatives of the Company or any of its subsidiaries, has been in material compliance with applicable anti-bribery and corruption laws, including but not limited to the Foreign Corrupt Practices Act of 1977, as amended (the “</w:t>
      </w:r>
      <w:r>
        <w:rPr>
          <w:rFonts w:ascii="Times New Roman" w:hAnsi="Times New Roman"/>
          <w:sz w:val="20"/>
          <w:u w:val="single"/>
        </w:rPr>
        <w:t>FCPA</w:t>
      </w:r>
      <w:r>
        <w:rPr>
          <w:rFonts w:ascii="Times New Roman" w:hAnsi="Times New Roman"/>
          <w:sz w:val="20"/>
        </w:rPr>
        <w:t xml:space="preserve">”); and the Company and its subsidiaries have instituted and maintained policies and procedures designed to promote and achieve compliance with such applicable anti-bribery and 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(xxix) (A) (i) At the time of filing the Registration Statement, (ii) at the time of the most recent amendment thereto, if any, for the purposes of complying with Section 10(a)(3) of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Securities in reliance on the exemption of Rule 163 under the Act, the Company was a “well-known seasoned issuer” as defined in Rule 405 under the Act; and (B) at the earliest time after the filing of the Registration Statement that the Company or another offering participant made a bona fide offer (within the meaning of Rule 164(h)(2) under the Act) of the Securities, the Company was not an “ineligible issuer” as defined in Rule 405 under the Act; and </w:t>
      </w:r>
    </w:p>
    <w:p>
      <w:pPr>
        <w:pStyle w:val="TextBody"/>
        <w:bidi w:val="0"/>
        <w:spacing w:before="240" w:after="0"/>
        <w:jc w:val="left"/>
        <w:rPr>
          <w:rFonts w:ascii="Times New Roman" w:hAnsi="Times New Roman"/>
          <w:sz w:val="20"/>
        </w:rPr>
      </w:pPr>
      <w:r>
        <w:rPr>
          <w:rFonts w:ascii="Times New Roman" w:hAnsi="Times New Roman"/>
          <w:sz w:val="20"/>
        </w:rPr>
        <w:t xml:space="preserve">(xxx) The Company is subject to the reporting requirements of Section 13 or Section 15(d) of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Officer’s Certificate</w:t>
      </w:r>
      <w:r>
        <w:rPr>
          <w:rFonts w:ascii="Times New Roman" w:hAnsi="Times New Roman"/>
          <w:sz w:val="20"/>
        </w:rPr>
        <w:t xml:space="preserve">. Any certificate signed by any officer of the Company and delivered to the Underwriters or counsel for the Underwriters in connection with the issuance of the Securities shall be deemed a representation and warranty by the Company, as to matters covered thereby,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Agreements to Sell and Purchase</w:t>
      </w:r>
      <w:r>
        <w:rPr>
          <w:rFonts w:ascii="Times New Roman" w:hAnsi="Times New Roman"/>
          <w:sz w:val="20"/>
        </w:rPr>
        <w:t xml:space="preserve">. (a) The Company hereby agrees to sell to the several Underwriters, and each Underwriter, upon the basis of the representations and warranties herein contained, but subject to the conditions hereinafter stated, agrees, severally and not jointly, to purchase from the Company the respective principal amount of Securities set forth opposite its name in Schedule I hereto and the Company and the Underwriters agree that the Company shall receive 99.547% of the aggregate principal amount of the 2031 Notes, 99.377% of the aggregate principal amount of the 2036 Notes, 98.866% of the aggregate principal amount of the 2046 Notes and 99.053% of the aggregate principal amount of the 2056 Notes, plus accrued interest, in each case, if any, from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hereby agrees that, without the prior written consent of the Representatives on behalf of the Underwriters, it will not, during the period beginning on the date of this Agreement and continuing to and including the Closing Date, offer, sell, contract to sell or otherwise dispose of any debt of the Company or warrants to purchase debt of the Company substantially similar to the Securities (other than the sale of the Securities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Terms of Offering</w:t>
      </w:r>
      <w:r>
        <w:rPr>
          <w:rFonts w:ascii="Times New Roman" w:hAnsi="Times New Roman"/>
          <w:sz w:val="20"/>
        </w:rPr>
        <w:t xml:space="preserve">. Upon the authorization by you of the release of the Securities, the several Underwriters propose to offer the Securities for sale upon the terms and conditions set forth in the Pricing Disclosure Package and Prospectus.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Purchase and Delivery</w:t>
      </w:r>
      <w:r>
        <w:rPr>
          <w:rFonts w:ascii="Times New Roman" w:hAnsi="Times New Roman"/>
          <w:sz w:val="20"/>
        </w:rPr>
        <w:t>. (a) Payment for the Securities shall be made to the Company in Federal or other funds immediately available in New York City against delivery of such Securities for the respective accounts of the several Underwriters at 10:00 a.m., New York City time, on February 19, 2026, or at such other time on the same or such other date as shall be agreed by the parties. The time and date of such payment are hereinafter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Certificates for the Securities, if any, shall be in global form and registered in the name of Cede &amp; Co., as nominee of The Depository Trust Company. The certificates evidencing the Securities shall be delivered to the Trustee on the Closing Date for the respective accounts of the several Underwriters, with any transfer taxes payable in connection with the transfer of the Securities to the Underwriters duly paid, against payment of the purchase price therefor plus accrued interest, if any, to the date of payment and delivery.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Free Writing Prospectuses</w:t>
      </w:r>
      <w:r>
        <w:rPr>
          <w:rFonts w:ascii="Times New Roman" w:hAnsi="Times New Roman"/>
          <w:sz w:val="20"/>
        </w:rPr>
        <w:t xml:space="preserve">. (a) (i) The Company represents and agrees that, other than the final term sheets prepared and filed pursuant to Section 7(a) hereof, without the prior consent of the Representatives, it has not made and will not make any offer relating to the Securities that would constitute a “free writing prospectus” as defined in Rule 405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Underwriter represents and agrees that, without the prior consent of the Company and the Representatives, other than (A) one or more customary Bloomberg screens to offer the Securities or convey the pricing terms thereof and (B) one or more term sheets relating to the Securities containing customary information and conveyed to purchasers of Securities, it has not made and will not make any offer relating to the Securities that would constitute a free writing prospectus required to be filed with the Commission; and </w:t>
      </w:r>
    </w:p>
    <w:p>
      <w:pPr>
        <w:pStyle w:val="TextBody"/>
        <w:bidi w:val="0"/>
        <w:spacing w:before="240" w:after="0"/>
        <w:jc w:val="left"/>
        <w:rPr>
          <w:rFonts w:ascii="Times New Roman" w:hAnsi="Times New Roman"/>
          <w:sz w:val="20"/>
        </w:rPr>
      </w:pPr>
      <w:r>
        <w:rPr>
          <w:rFonts w:ascii="Times New Roman" w:hAnsi="Times New Roman"/>
          <w:sz w:val="20"/>
        </w:rPr>
        <w:t xml:space="preserve">(iii) any such free writing prospectus, the use of which has been consented to by the Company and the Representatives (other than the final term sheet prepared and filed pursuant to Section 7(a) hereof), is listed on Schedule II(a) hereto.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complied and will comply with the requirements of Rule 433 under the Act applicable to any Issuer Free Writing Prospectus, including timely filing with the Commission or retention where required and legending.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Times New Roman" w:hAnsi="Times New Roman"/>
          <w:i/>
          <w:sz w:val="20"/>
        </w:rPr>
        <w:t xml:space="preserve">provided, however, </w:t>
      </w:r>
      <w:r>
        <w:rPr>
          <w:rFonts w:ascii="Times New Roman" w:hAnsi="Times New Roman"/>
          <w:sz w:val="20"/>
        </w:rPr>
        <w:t xml:space="preserve">that this representation and warranty shall not apply to any statements or omissions in an Issuer Free Writing Prospectus made in reliance upon and in conformity with information furnished in writing to the Company by an Underwriter through the Representatives expressly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Underwriters’ Obligations</w:t>
      </w:r>
      <w:r>
        <w:rPr>
          <w:rFonts w:ascii="Times New Roman" w:hAnsi="Times New Roman"/>
          <w:sz w:val="20"/>
        </w:rPr>
        <w:t xml:space="preserve">. The several obligations of the Underwriters to purchase and pay for the Securities on the Closing Date are subject to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Prospectus shall have been filed with the Commission pursuant to Rule 424(b) under the Act within the applicable time period prescribed for such filing by the rules and regulations under the Act and in accordance with Section 7(a) hereof; the final term sheet contemplated by Section 7(a) hereof, and any other material required to be filed by the Company pursuant to Rule 433(d) under the Act, shall have been filed with the Commission within the applicable time periods prescribed for such filings by Rule 433; no stop order suspending the effectiveness of the Registration Statement or any part thereof shall have been issued and no proceeding for that purpose shall have been initiated or threatened by the Commission and no notice of objection of the Commission to the use of the Registration Statement or any post-effective amendment thereto pursuant to Rule 401(g)(2) under the Act shall have been received;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Subsequent to the execution and delivery of this Agreement and prior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there shall not have occurred any downgrading, nor shall any notice have been given of any intended or potential downgrading or of any review for a possible change that does not indicate the direction of the possible change, in the rating accorded of any of the Company’s securities by any “nationally recognized statistical rating organization,” as such term is defined for purposes of Section 3(a)(62) of the Exchange Act; and </w:t>
      </w:r>
    </w:p>
    <w:p>
      <w:pPr>
        <w:pStyle w:val="TextBody"/>
        <w:bidi w:val="0"/>
        <w:spacing w:before="240" w:after="0"/>
        <w:jc w:val="left"/>
        <w:rPr>
          <w:rFonts w:ascii="Times New Roman" w:hAnsi="Times New Roman"/>
          <w:sz w:val="20"/>
        </w:rPr>
      </w:pPr>
      <w:r>
        <w:rPr>
          <w:rFonts w:ascii="Times New Roman" w:hAnsi="Times New Roman"/>
          <w:sz w:val="20"/>
        </w:rPr>
        <w:t xml:space="preserve">(ii) there shall not have been, since the date of this Agreement or since the respective dates as of which information is given in the Pricing Prospectus and Prospectus, any material adverse change in the financial condition or in the earnings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(c) The Underwriters shall have received on the Closing Date, a certificate, dated as of the date of the Closing Date and signed by the chief executive officer, the chief financial officer or the treasurer of the Company, to the effect set forth in Section 6(b)(i) and to the effect that (i) the representations and warranties of the Company contained in this Agreement are true and correct in all material respects as of the Closing Date and (ii) the Company has complied in all material respects with all of the agreements and satisfied in all material respects all of the conditions on its part to be performed or satisfied hereunder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The officer signing and delivering such certificate may rely upon the best of his or her knowledge as to proceedings threatened. </w:t>
      </w:r>
    </w:p>
    <w:p>
      <w:pPr>
        <w:pStyle w:val="TextBody"/>
        <w:bidi w:val="0"/>
        <w:spacing w:before="240" w:after="0"/>
        <w:jc w:val="left"/>
        <w:rPr>
          <w:rFonts w:ascii="Times New Roman" w:hAnsi="Times New Roman"/>
          <w:sz w:val="20"/>
        </w:rPr>
      </w:pPr>
      <w:r>
        <w:rPr>
          <w:rFonts w:ascii="Times New Roman" w:hAnsi="Times New Roman"/>
          <w:sz w:val="20"/>
        </w:rPr>
        <w:t xml:space="preserve">(d) The Underwriters shall have received on the Closing Date an opinion or opinions and a negative assurances letter of Latham &amp; Watkins LLP, outside counsel for the Company, dated the date of the Closing Date, in the form previously agreed. </w:t>
      </w:r>
    </w:p>
    <w:p>
      <w:pPr>
        <w:pStyle w:val="TextBody"/>
        <w:bidi w:val="0"/>
        <w:spacing w:before="240" w:after="0"/>
        <w:jc w:val="left"/>
        <w:rPr>
          <w:rFonts w:ascii="Times New Roman" w:hAnsi="Times New Roman"/>
          <w:sz w:val="20"/>
        </w:rPr>
      </w:pPr>
      <w:r>
        <w:rPr>
          <w:rFonts w:ascii="Times New Roman" w:hAnsi="Times New Roman"/>
          <w:sz w:val="20"/>
        </w:rPr>
        <w:t xml:space="preserve">(e) The Underwriters shall have received on the Closing Date an opinion of the Company’s general counsel or any associate general counsel, dated the date of the Closing Date, in the form previously agreed. </w:t>
      </w:r>
    </w:p>
    <w:p>
      <w:pPr>
        <w:pStyle w:val="TextBody"/>
        <w:bidi w:val="0"/>
        <w:spacing w:before="240" w:after="0"/>
        <w:jc w:val="left"/>
        <w:rPr>
          <w:rFonts w:ascii="Times New Roman" w:hAnsi="Times New Roman"/>
          <w:sz w:val="20"/>
        </w:rPr>
      </w:pPr>
      <w:r>
        <w:rPr>
          <w:rFonts w:ascii="Times New Roman" w:hAnsi="Times New Roman"/>
          <w:sz w:val="20"/>
        </w:rPr>
        <w:t xml:space="preserve">(f) The Underwriters shall have received on the Closing Date, an opinion and a negative assurances letter of Davis Polk &amp; Wardwell LLP, counsel for the Underwriters, dated the date of the Closing Date, in the form previously agreed. </w:t>
      </w:r>
    </w:p>
    <w:p>
      <w:pPr>
        <w:pStyle w:val="TextBody"/>
        <w:bidi w:val="0"/>
        <w:spacing w:before="240" w:after="0"/>
        <w:jc w:val="left"/>
        <w:rPr>
          <w:rFonts w:ascii="Times New Roman" w:hAnsi="Times New Roman"/>
          <w:sz w:val="20"/>
        </w:rPr>
      </w:pPr>
      <w:r>
        <w:rPr>
          <w:rFonts w:ascii="Times New Roman" w:hAnsi="Times New Roman"/>
          <w:sz w:val="20"/>
        </w:rPr>
        <w:t xml:space="preserve">(g) The Underwriters and the board of directors of the Company shall have received on the date hereof, on the effective date of any post-effective amendment to the Registration Statement filed subsequent to the date of this Agreement and also on the Closing Date, a letter, dated the respective dates of delivery thereof, in form and substance reasonably satisfactory to the Underwriters, from Ernst &amp; Young LLP, independent registered public accountants, containing statements and information of the type ordinarily included in accountants’ “comfort letters” to underwriters with respect to the financial statements and certain financial information contained in or incorporated by reference into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In further consideration of the agreements of the Underwriters contained in this Agreement, the Company covenants and agrees with each Underwriter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To prepare the Prospectus in a form approved by you and to file such Prospectus pursuant to Rule 424(b) under the Act not later than the Commission’s close of business on the second business day following the date of this Agreement; to make no further amendment or any supplement to the Registration Statement, the Basic Prospectus or the Prospectus prior to the Closing Date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prepare final term sheets, containing solely a description of the Securities, in a form approved by you and to file such term sheets pursuant to Rule 433(d) under the Act within the time required by such Rule; to file promptly all other material required to be filed by the Company with the Commission pursuant to Rule 433(d) under the Act;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Securities; to advise you, promptly after it receives notice thereof, of the issuance by the Commission of any stop order or of any order preventing or suspending the use of any Preliminary Prospectus or other prospectus in respect of the Securities, of any notice of objection of the Commission to the use of the Registration Statement or any post-effective amendment thereto pursuant to Rule 401(g)(2) under the Act, of the suspension of the qualification of the Securities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commercially reasonable efforts to obtain the withdrawal of such order; and in the event of any such issuance of a notice of objection, promptly to take such steps including, without limitation, amending the Registration Statement or filing a new registration statement, at its own expense, as may be necessary to permit offers and sales of the Securities by the Underwriters (references herein to the Registration Statement shall include any such amendment or new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(b) If required by Rule 430B(h) under the Act, to prepare a form of prospectus in a form approved by you and to file such form of prospectus pursuant to Rule 424(b) under the Act not later than may be required by Rule 424(b) under the Act; and to make no further amendment or supplement to such form of prospectus which shall be disapproved by you promptly after reasonable notice thereof. </w:t>
      </w:r>
    </w:p>
    <w:p>
      <w:pPr>
        <w:pStyle w:val="TextBody"/>
        <w:bidi w:val="0"/>
        <w:spacing w:before="240" w:after="0"/>
        <w:jc w:val="left"/>
        <w:rPr>
          <w:rFonts w:ascii="Times New Roman" w:hAnsi="Times New Roman"/>
          <w:sz w:val="20"/>
        </w:rPr>
      </w:pPr>
      <w:r>
        <w:rPr>
          <w:rFonts w:ascii="Times New Roman" w:hAnsi="Times New Roman"/>
          <w:sz w:val="20"/>
        </w:rPr>
        <w:t>(c) If by the third anniversary (the “</w:t>
      </w:r>
      <w:r>
        <w:rPr>
          <w:rFonts w:ascii="Times New Roman" w:hAnsi="Times New Roman"/>
          <w:sz w:val="20"/>
          <w:u w:val="single"/>
        </w:rPr>
        <w:t>Renewal Deadline</w:t>
      </w:r>
      <w:r>
        <w:rPr>
          <w:rFonts w:ascii="Times New Roman" w:hAnsi="Times New Roman"/>
          <w:sz w:val="20"/>
        </w:rPr>
        <w:t xml:space="preserve">”) of the initial effective date of the Registration Statement, any of the Securities remain unsold by the Underwriters, the Company will file, if it has not already done so and is eligible to do so, a new automatic shelf registration statement relating to the Securities, in a form reasonably satisfactory to you. If at the Renewal Deadline the Company is no longer eligible to file an automatic shelf registration statement, the Company will, if it has not already done so, file a new shelf registration statement relating to the Securities, in a form reasonably satisfactory to you and will use its commercially reasonable efforts to cause such registration statement to become effective within 180 days after the Renewal Deadline. The Company will take all other action reasonably necessary or appropriate to permit the public offering and sale of the Securities to continue as contemplated in the expired registration statement relating to the Securities. References herein to the Registration Statement shall include such new automatic shelf registration statement or such new shelf registration statement,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soon as practicable following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Securities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the Exchange Act or the Trust Indenture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 </w:t>
      </w:r>
    </w:p>
    <w:p>
      <w:pPr>
        <w:pStyle w:val="TextBody"/>
        <w:bidi w:val="0"/>
        <w:spacing w:before="240" w:after="0"/>
        <w:jc w:val="left"/>
        <w:rPr>
          <w:rFonts w:ascii="Times New Roman" w:hAnsi="Times New Roman"/>
          <w:sz w:val="20"/>
        </w:rPr>
      </w:pPr>
      <w:r>
        <w:rPr>
          <w:rFonts w:ascii="Times New Roman" w:hAnsi="Times New Roman"/>
          <w:sz w:val="20"/>
        </w:rPr>
        <w:t xml:space="preserve">(e) 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 </w:t>
      </w:r>
    </w:p>
    <w:p>
      <w:pPr>
        <w:pStyle w:val="TextBody"/>
        <w:bidi w:val="0"/>
        <w:spacing w:before="240" w:after="0"/>
        <w:jc w:val="left"/>
        <w:rPr>
          <w:rFonts w:ascii="Times New Roman" w:hAnsi="Times New Roman"/>
          <w:sz w:val="20"/>
        </w:rPr>
      </w:pPr>
      <w:r>
        <w:rPr>
          <w:rFonts w:ascii="Times New Roman" w:hAnsi="Times New Roman"/>
          <w:sz w:val="20"/>
        </w:rPr>
        <w:t xml:space="preserve">(f) To pay the required Commission filing fees relating to the Securities within the time required by Rule 456(b)(1) under the Act without regard to the proviso therein and otherwise in accordance with Rules 456(b) and 457(r) under the Act. </w:t>
      </w:r>
    </w:p>
    <w:p>
      <w:pPr>
        <w:pStyle w:val="TextBody"/>
        <w:bidi w:val="0"/>
        <w:spacing w:before="240" w:after="0"/>
        <w:jc w:val="left"/>
        <w:rPr>
          <w:rFonts w:ascii="Times New Roman" w:hAnsi="Times New Roman"/>
          <w:sz w:val="20"/>
        </w:rPr>
      </w:pPr>
      <w:r>
        <w:rPr>
          <w:rFonts w:ascii="Times New Roman" w:hAnsi="Times New Roman"/>
          <w:sz w:val="20"/>
        </w:rPr>
        <w:t xml:space="preserve">(g) To endeavor to qualify the Securities for offer and sale under the securities or Blue Sky laws of such jurisdictions as you shall reasonably request </w:t>
      </w:r>
      <w:r>
        <w:rPr>
          <w:rFonts w:ascii="Times New Roman" w:hAnsi="Times New Roman"/>
          <w:i/>
          <w:sz w:val="20"/>
        </w:rPr>
        <w:t>provided, however</w:t>
      </w:r>
      <w:r>
        <w:rPr>
          <w:rFonts w:ascii="Times New Roman" w:hAnsi="Times New Roman"/>
          <w:sz w:val="20"/>
        </w:rPr>
        <w:t xml:space="preserve">, that the Company shall not be required to (i) qualify as a foreign corporation or as a dealer in securities in any jurisdiction where it would not otherwise be required to qualify but for this Section 7(g), (ii) file any general consent to service of process, (iii) subject itself to taxation in any such jurisdiction if it is not so subject or (iv) make any changes to its certificate of incorporation or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of the Securities and all other fees or expenses of the Company in connection with the preparation, printing, production and filing of the Registration Statement, the Basic Prospectus, any Preliminary Prospectus, any Issuer Free Writing Prospectus and the Prospectus and any amendments and supplements thereto and the mailing and delivering of copies thereof to the Underwriters and dealers; (ii) all costs and expenses related to the preparation, issuance and delivery of the Securities to the Underwriters, including any transfer or other similar taxes payable thereon; (iii) all expenses in connection with the qualification of the Securities for offer and sale under state securities laws as provided in Section 7(g) hereof, including filing fees and the reasonable fees and disbursements of counsel for the Underwriters in connection with such qualification and in connection with the preparation of any Blue Sky or legal investment memorandum; (iv) any fees charged by rating agencies for the rating of the Securities; (v) any filing fees incident to, and any fees and disbursements of counsel for the Underwriters in connection with, any required review by the Financial Industry Regulatory Authority of the terms of the sale of the Securities; (vi) the costs and charges of the Trustee; and (vii) all other cost and expenses incident to the performance of the obligations of the Company hereunder for which provision is not otherwise made in this Section. It is understood, however, that except as provided in clauses (iii) and (v) of this Section 7(h), and the last paragraph of Section 10, the Underwriters will pay all of their costs and expenses, including fees and disbursements of their counsel, transfer taxes payable on resale of any of the Securities by them and any advertising expenses connected with any offers they may make.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Indemnity and Contribution</w:t>
      </w:r>
      <w:r>
        <w:rPr>
          <w:rFonts w:ascii="Times New Roman" w:hAnsi="Times New Roman"/>
          <w:sz w:val="20"/>
        </w:rPr>
        <w:t xml:space="preserve">. (a)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such Underwriter for any legal or other expenses reasonably incurred by it in connection with investigating or defending any such action or claim as such expenses are incurred; </w:t>
      </w:r>
      <w:r>
        <w:rPr>
          <w:rFonts w:ascii="Times New Roman" w:hAnsi="Times New Roman"/>
          <w:i/>
          <w:sz w:val="20"/>
        </w:rPr>
        <w:t>provided, however</w:t>
      </w:r>
      <w:r>
        <w:rPr>
          <w:rFonts w:ascii="Times New Roman" w:hAnsi="Times New Roman"/>
          <w:sz w:val="20"/>
        </w:rPr>
        <w:t xml:space="preserve">,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relating to the Securities, or in any such amendment or supplement thereto, in reliance upon and in conformity with written information furnished to the Company by such Underwriter expressly for use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Underwriter will severally and not jointly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relating to the Securities, in reliance upon and in conformity with written information furnished to the Company by such Underwriter expressly for use therein; and will reimburse the Company for any legal or other expenses reasonably incurred by the Company in connection with investigating or defending any such action or claim as such expenses are incurred. The Company hereby acknowledges that the only information furnished to the Company by any Underwriter expressly for use in the Registration Statement, the Basic Prospectus, any Preliminary Prospectus, the Pricing Prospectus or the Prospectus, or any amendment or supplement thereto, or any Issuer Free Writing Prospectus relating to the Securities, is the names of the Underwriters on the cover page and back page of the Pricing Prospectus and the Prospectus and, under the caption “Underwriting” in the Pricing Prospectus and the Prospectus: (i) the second and third sentences of the third paragraph of text, concerning the terms of the offering by the Underwriters, (ii) the third sentence of the fourth paragraph of text concerning market making by the Underwriters, and (iii) the fifth, sixth and seventh paragraphs of text, concerning short sales, stabilizing transactions and purchases to cover positions created by short sales by the Underwriters and penalty bids. </w:t>
      </w:r>
    </w:p>
    <w:p>
      <w:pPr>
        <w:pStyle w:val="TextBody"/>
        <w:bidi w:val="0"/>
        <w:spacing w:before="240" w:after="0"/>
        <w:jc w:val="left"/>
        <w:rPr>
          <w:rFonts w:ascii="Times New Roman" w:hAnsi="Times New Roman"/>
          <w:sz w:val="20"/>
        </w:rPr>
      </w:pPr>
      <w:r>
        <w:rPr>
          <w:rFonts w:ascii="Times New Roman" w:hAnsi="Times New Roman"/>
          <w:sz w:val="20"/>
        </w:rPr>
        <w:t xml:space="preserve">(c) As promptly as reasonably practical after receipt by an indemnified party under paragraph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of its obligations (i) under paragraph (a) or (b), as applicable, of this Section 8 unless and only to the extent that the indemnifying party is materially prejudiced by the failure to notify, or (ii) from any liability which it may have to any indemnified party otherwise than under such applicable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and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(1) the indemnifying party and the indemnified party shall have mutually agreed to the retention of such counsel or (2) the named parties to any such proceeding (including any impleaded parties) include both the indemnifying party and the indemnified party and representation of both parties by the same counsel would, in the written opinion of legal counsel to the indemnified party, be inappropriate due to actual or potential differing interests between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or, if none of the Representatives is an indemnified party and is not reasonably likely to become an indemnified party, by the Underwriters that are indemnified parties, in the case of parties indemnified pursuant to paragraph (a) above, and by the Company, in the case of parties indemnified pursuant to paragraph (b) above.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If the indemnification provided for in this Section 8 is unavailable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each Underwriter on the other from the offering of the Securities to which such loss, claim, damage or liability (or action in respect thereof) relates.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each Underwriter on the other in connection with the statements or omissions which resulted in such losses, claims, damages or liabilities (or actions in respect thereof), as well as any other relevant equitable considerations. The relative benefits received by the Company on the one hand and each Underwriter on the other shall be deemed to be in the same proportion as the total net proceeds from the sale of Securities (before deducting expenses) received by the Company bear to the total commissions and discounts received by such Underwriter in respect thereof. The relative fault shall be determined by reference to, among other things, whether the untrue or alleged untrue statement of a material fact or the omission or alleged omission to state a material fact required to be stated therein or necessary in order to make the statements therein not misleading relates to information supplied by the Company on the one hand or by any Underwriter on the other and the parties’ relative intent, knowledge, access to information and opportunity to correct or prevent such statement or omission. The Company and each Underwriter agree that it would not be just and equitable if contribution pursuant to this subsection (d) were determined by pro rata allocation (even if all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this subsection (d), an Underwriter shall not be required to contribute any amount in excess of the amount by which the total price at which the Securities that were offered and sold to the public through such Underwriter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obligations of each of the Underwriters under this subsection (d) to contribute are several in proportion to the respective purchases made by or through each such Underwriter to which such loss, claim, damage or liability (or action in respect thereof) relates and are not joint. </w:t>
      </w:r>
    </w:p>
    <w:p>
      <w:pPr>
        <w:pStyle w:val="TextBody"/>
        <w:bidi w:val="0"/>
        <w:spacing w:before="240" w:after="0"/>
        <w:jc w:val="left"/>
        <w:rPr>
          <w:rFonts w:ascii="Times New Roman" w:hAnsi="Times New Roman"/>
          <w:sz w:val="20"/>
        </w:rPr>
      </w:pPr>
      <w:r>
        <w:rPr>
          <w:rFonts w:ascii="Times New Roman" w:hAnsi="Times New Roman"/>
          <w:sz w:val="20"/>
        </w:rPr>
        <w:t xml:space="preserve">(e) The obligations of the Company under this Section 8 shall be in addition to any liability which the Company may otherwise have and shall extend, upon the same terms and conditions, to each officer, director, employee, agent or affiliate of any Underwriter and to each person, if any, who controls any Underwriter within the meaning of Section 15 of the Act or Section 20 of the Exchange Act; and the obligations of each Underwriter under this Section 8 shall be in addition to any liability which such Underwriter may otherwise have and shall extend, upon the same terms and conditions, to each officer and director of the Company and to each person, if any, who controls the Company within the meaning of Section 15 of the Act or Section 20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Termination</w:t>
      </w:r>
      <w:r>
        <w:rPr>
          <w:rFonts w:ascii="Times New Roman" w:hAnsi="Times New Roman"/>
          <w:sz w:val="20"/>
        </w:rPr>
        <w:t xml:space="preserve">. This Agreement shall be subject to termination in the Underwriters’ absolute discretion, by written notice to the Company, if (a) after the execution and delivery of this Agreement and prior to the Closing Date (i) trading generally shall have been suspended or materially limited on or by, as the case may be, any of the New York Stock Exchange, NYSE MKT or the Nasdaq Stock Market, (ii) trading of any securities of the Company shall have been suspended on any exchange or in any over-the-counter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Underwriters, is material and adverse and (b) in the case of any of the events specified in clauses (a)(i) through (iv), such event, singly or together with any other such event, makes it, in the judgment of the Underwriters, impracticable to market the Securities on the terms and in the manner contemplated in the Pricing Disclosure Package and Prospectus.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Effectiveness; Defaulting Underwriters</w:t>
      </w:r>
      <w:r>
        <w:rPr>
          <w:rFonts w:ascii="Times New Roman" w:hAnsi="Times New Roman"/>
          <w:sz w:val="20"/>
        </w:rPr>
        <w:t xml:space="preserve">. This Agreement shall become effective upon the execution and delivery hereof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Securities that it or they have agreed to purchase hereunder on such date, and the aggregate principal amount of Securities which such defaulting Underwriter or Underwriters agreed but failed or refused to purchase is not more than one-tenth of the aggregate principal amount of Securities to be purchased on such date, the other Underwriters shall be obligated severally in the proportions that the principal amount of Securities set forth opposite their respective names in Schedule I bears to the aggregate principal amount of Securities set forth opposite the names of all such non-defaulting Underwriters, or in such other proportions as you may specify, to purchase the Securities which such defaulting Underwriter or Underwriters agreed but failed or refused to purchase on such date; </w:t>
      </w:r>
      <w:r>
        <w:rPr>
          <w:rFonts w:ascii="Times New Roman" w:hAnsi="Times New Roman"/>
          <w:i/>
          <w:sz w:val="20"/>
        </w:rPr>
        <w:t xml:space="preserve">provided </w:t>
      </w:r>
      <w:r>
        <w:rPr>
          <w:rFonts w:ascii="Times New Roman" w:hAnsi="Times New Roman"/>
          <w:sz w:val="20"/>
        </w:rPr>
        <w:t xml:space="preserve">that in no event shall the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Securities that any Underwriter has agreed to purchase pursuant to this Agreement be increased pursuant to this Section 10 by an amount in excess of one-ninth of such principal amount of Securities without the written consent of such Underwriter. If, on the Closing Date any Underwriter or Underwriters shall fail or refuse to purchase Securities which it or they have agreed to purchase hereunder on such date and the aggregate principal amount of Securities with respect to which such default occurs is more than one-tenth of the aggregate principal amount of Securities to be purchased on such date, and arrangements satisfactory to you and the Company for the purchase of such Securities are not made within 36 hours after such default, this Agreement shall terminate without liability on the part of any non-defaulting Underwriter or of the Company. In any such case either you or the Company shall have the right to postpone the Closing Date, but in no event for longer than seven days, in order that the required changes, if any, in the Prospectus or in any other documents or arrangements may be effected. Any action taken under this paragraph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(except if the Company shall be unable to so perform as a result of any default by any Underwriter as contemplated above),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Counterparts</w:t>
      </w:r>
      <w:r>
        <w:rPr>
          <w:rFonts w:ascii="Times New Roman" w:hAnsi="Times New Roman"/>
          <w:sz w:val="20"/>
        </w:rPr>
        <w:t xml:space="preserve">. This Agreement may be executed in any number of counterparts and by the parties in separate counterparts, each of which when so executed shall be deemed to be an original and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Applicable Law</w:t>
      </w:r>
      <w:r>
        <w:rPr>
          <w:rFonts w:ascii="Times New Roman" w:hAnsi="Times New Roman"/>
          <w:sz w:val="20"/>
        </w:rPr>
        <w:t xml:space="preserve">. This Agreement shall be governed by the laws of the State of New York, including, without limitation, Section 5-1401 of the New York General Obligations Law.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Severability</w:t>
      </w:r>
      <w:r>
        <w:rPr>
          <w:rFonts w:ascii="Times New Roman" w:hAnsi="Times New Roman"/>
          <w:sz w:val="20"/>
        </w:rPr>
        <w:t xml:space="preserve">.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Section References</w:t>
      </w:r>
      <w:r>
        <w:rPr>
          <w:rFonts w:ascii="Times New Roman" w:hAnsi="Times New Roman"/>
          <w:sz w:val="20"/>
        </w:rPr>
        <w:t xml:space="preserve">. Unless otherwise indicated, references in this Agreement to sections are to the sections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Headings</w:t>
      </w:r>
      <w:r>
        <w:rPr>
          <w:rFonts w:ascii="Times New Roman" w:hAnsi="Times New Roman"/>
          <w:sz w:val="20"/>
        </w:rPr>
        <w:t xml:space="preserve">. The headings in this Agreement are for convenience of reference only and shall not limit or otherwise affect the construction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Notice</w:t>
      </w:r>
      <w:r>
        <w:rPr>
          <w:rFonts w:ascii="Times New Roman" w:hAnsi="Times New Roman"/>
          <w:sz w:val="20"/>
        </w:rPr>
        <w:t xml:space="preserve">. All notices and other communications hereunder shall be in writing and shall be deemed to have been duly given if mailed or transmitted by any standard form of telecommunication. Notices to the Underwriters shall be directed to BofA Securities, Inc., 114 West 47th Street, NY8-114-07-01, New York, NY 10036 (facsimile no. 212-901-7881), Attention: High Grade Debt Capital Markets Transaction Management/Legal, to Citigroup Global Markets Inc., 388 Greenwich Street, New York, NY 10013 (facsimile no. 646-291-1469), Attention: General Counsel, to J.P. Morgan Securities LLC, 270 Park Avenue, New York, NY 10017 (facsimile no. 212-834-6081), Attention: Investment Grade Syndicate Desk, to Morgan Stanley &amp; Co. LLC, 1585 Broadway, 29th Floor, New York, NY 10036 (facsimile no. 212-507-8999), Attention: Investment Banking Division, and with a copy to Davis Polk &amp; Wardwell LLP at 450 Lexington Avenue, New York, NY 10017, Attention: Roshni Banker Cariello; notices to the Company shall be directed to it at One Amgen Center Drive, Thousand Oaks, California 91320-1799 (facsimile no. 805-499-8011), Attention: Corporate Secretary, with a copy to Latham &amp; Watkins LLP, 650 Town Center Drive, 20th Floor, Costa Mesa, CA 92626 (facsimile no. 714-755-8290), Attention: Charles K. Ruck; Latham &amp; Watkins LLP, 1271 Avenue of the Americas, New York, New York 10020 (facsimile no. 212-751-4864), Attention: Gregory P. Rodgers and Latham &amp; Watkins LLP, 555 Eleventh Street, NW, Suite 1000, Washington, D.C., 20004 (facsimile no. 202-637-2200), Attention: R. Charles Cassidy III.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No Advisory or Fiduciary Relationship</w:t>
      </w:r>
      <w:r>
        <w:rPr>
          <w:rFonts w:ascii="Times New Roman" w:hAnsi="Times New Roman"/>
          <w:sz w:val="20"/>
        </w:rPr>
        <w:t xml:space="preserve">. The Company acknowledges and agrees that (a) the purchase and sale of the Securities pursuant to this Agreement, including the determination of the offering price of the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each of the Company, and (e) the Underwriters have not provided any legal, accounting, regulatory or tax advice with respect to the offering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Integration</w:t>
      </w:r>
      <w:r>
        <w:rPr>
          <w:rFonts w:ascii="Times New Roman" w:hAnsi="Times New Roman"/>
          <w:sz w:val="20"/>
        </w:rPr>
        <w:t xml:space="preserve">. This Agreement supersedes all prior agreements and understandings (whether written or oral) between the Company and the Underwriters, or any of them,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Waiver of Jury Trial</w:t>
      </w:r>
      <w:r>
        <w:rPr>
          <w:rFonts w:ascii="Times New Roman" w:hAnsi="Times New Roman"/>
          <w:sz w:val="20"/>
        </w:rPr>
        <w:t xml:space="preserve">. The Company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Recognition of the U.S. Special Resolution Regimes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w:t>
      </w:r>
    </w:p>
    <w:p>
      <w:pPr>
        <w:pStyle w:val="TextBody"/>
        <w:bidi w:val="0"/>
        <w:spacing w:before="240" w:after="0"/>
        <w:jc w:val="left"/>
        <w:rPr>
          <w:rFonts w:ascii="Times New Roman" w:hAnsi="Times New Roman"/>
          <w:sz w:val="20"/>
        </w:rPr>
      </w:pPr>
      <w:r>
        <w:rPr>
          <w:rFonts w:ascii="Times New Roman" w:hAnsi="Times New Roman"/>
          <w:sz w:val="20"/>
        </w:rPr>
        <w:t>As used in this Section 20, “</w:t>
      </w:r>
      <w:r>
        <w:rPr>
          <w:rFonts w:ascii="Times New Roman" w:hAnsi="Times New Roman"/>
          <w:sz w:val="20"/>
          <w:u w:val="single"/>
        </w:rPr>
        <w:t>BHC Act Affiliate</w:t>
      </w:r>
      <w:r>
        <w:rPr>
          <w:rFonts w:ascii="Times New Roman" w:hAnsi="Times New Roman"/>
          <w:sz w:val="20"/>
        </w:rPr>
        <w:t>” has the meaning assigned to the term “affiliate” in, and shall be interpreted in accordance with, 12 U.S.C. § 1841(k); “</w:t>
      </w:r>
      <w:r>
        <w:rPr>
          <w:rFonts w:ascii="Times New Roman" w:hAnsi="Times New Roman"/>
          <w:sz w:val="20"/>
          <w:u w:val="single"/>
        </w:rPr>
        <w:t>Covered</w:t>
      </w:r>
      <w:r>
        <w:rPr>
          <w:rFonts w:ascii="Times New Roman" w:hAnsi="Times New Roman"/>
          <w:sz w:val="20"/>
        </w:rPr>
        <w:t xml:space="preserve"> </w:t>
      </w:r>
      <w:r>
        <w:rPr>
          <w:rFonts w:ascii="Times New Roman" w:hAnsi="Times New Roman"/>
          <w:sz w:val="20"/>
          <w:u w:val="single"/>
        </w:rPr>
        <w:t>Entity</w:t>
      </w:r>
      <w:r>
        <w:rPr>
          <w:rFonts w:ascii="Times New Roman" w:hAnsi="Times New Roman"/>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hAnsi="Times New Roman"/>
          <w:sz w:val="20"/>
          <w:u w:val="single"/>
        </w:rPr>
        <w:t>Default Right</w:t>
      </w:r>
      <w:r>
        <w:rPr>
          <w:rFonts w:ascii="Times New Roman" w:hAnsi="Times New Roman"/>
          <w:sz w:val="20"/>
        </w:rPr>
        <w:t>” has the meaning assigned to that term in, and shall be interpreted in accordance with, 12 C.F.R. §§ 252.81, 47.2 or 382.1, as applicable; and “</w:t>
      </w:r>
      <w:r>
        <w:rPr>
          <w:rFonts w:ascii="Times New Roman" w:hAnsi="Times New Roman"/>
          <w:sz w:val="20"/>
          <w:u w:val="single"/>
        </w:rPr>
        <w:t>U.S. Special Resolution Regime</w:t>
      </w:r>
      <w:r>
        <w:rPr>
          <w:rFonts w:ascii="Times New Roman" w:hAnsi="Times New Roman"/>
          <w:sz w:val="20"/>
        </w:rPr>
        <w:t xml:space="preserve">” means each of (i) the Federal Deposit Insurance Act and the regulations promulgated thereunder and (ii) Title II of the Dodd-Frank Wall Street Reform and Consumer Protection Act and the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Very truly yours, </w:t>
            </w:r>
          </w:p>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AMGEN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vAlign w:val="bottom"/>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Omari Wise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 Omari Wise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Signature Page to Underwriting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Accepted as of the date hereof: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36"/>
        <w:gridCol w:w="100"/>
        <w:gridCol w:w="3346"/>
      </w:tblGrid>
      <w:tr>
        <w:trPr/>
        <w:tc>
          <w:tcPr>
            <w:tcW w:w="636"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BOFA SECURITIES, INC.</w:t>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r>
      <w:tr>
        <w:trPr/>
        <w:tc>
          <w:tcPr>
            <w:tcW w:w="636" w:type="dxa"/>
            <w:tcBorders/>
            <w:vAlign w:val="bottom"/>
          </w:tcPr>
          <w:p>
            <w:pPr>
              <w:pStyle w:val="TableContents"/>
              <w:bidi w:val="0"/>
              <w:spacing w:before="0" w:after="283"/>
              <w:jc w:val="left"/>
              <w:rPr/>
            </w:pPr>
            <w:r>
              <w:rPr/>
              <w:t>By:</w:t>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Douglas A. Muller</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 Douglas A. Muller</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CITIGROUP GLOBAL MARKETS INC.</w:t>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r>
      <w:tr>
        <w:trPr/>
        <w:tc>
          <w:tcPr>
            <w:tcW w:w="636" w:type="dxa"/>
            <w:tcBorders/>
            <w:vAlign w:val="bottom"/>
          </w:tcPr>
          <w:p>
            <w:pPr>
              <w:pStyle w:val="TableContents"/>
              <w:bidi w:val="0"/>
              <w:spacing w:before="0" w:after="283"/>
              <w:jc w:val="left"/>
              <w:rPr/>
            </w:pPr>
            <w:r>
              <w:rPr/>
              <w:t>By:</w:t>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D. Bordner</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 Adam D. Bordner</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J.P. MORGAN SECURITIES LLC</w:t>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r>
      <w:tr>
        <w:trPr/>
        <w:tc>
          <w:tcPr>
            <w:tcW w:w="636" w:type="dxa"/>
            <w:tcBorders/>
            <w:vAlign w:val="bottom"/>
          </w:tcPr>
          <w:p>
            <w:pPr>
              <w:pStyle w:val="TableContents"/>
              <w:bidi w:val="0"/>
              <w:spacing w:before="0" w:after="283"/>
              <w:jc w:val="left"/>
              <w:rPr/>
            </w:pPr>
            <w:r>
              <w:rPr/>
              <w:t>By:</w:t>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Saee Athalye</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 Saee Athalye</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MORGAN STANLEY &amp; CO. LLC</w:t>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3446" w:type="dxa"/>
            <w:gridSpan w:val="2"/>
            <w:tcBorders/>
            <w:vAlign w:val="center"/>
          </w:tcPr>
          <w:p>
            <w:pPr>
              <w:pStyle w:val="TableContents"/>
              <w:bidi w:val="0"/>
              <w:spacing w:before="0" w:after="283"/>
              <w:jc w:val="left"/>
              <w:rPr>
                <w:sz w:val="4"/>
                <w:szCs w:val="4"/>
              </w:rPr>
            </w:pPr>
            <w:r>
              <w:rPr>
                <w:sz w:val="4"/>
                <w:szCs w:val="4"/>
              </w:rPr>
            </w:r>
          </w:p>
        </w:tc>
      </w:tr>
      <w:tr>
        <w:trPr/>
        <w:tc>
          <w:tcPr>
            <w:tcW w:w="636" w:type="dxa"/>
            <w:tcBorders/>
            <w:vAlign w:val="bottom"/>
          </w:tcPr>
          <w:p>
            <w:pPr>
              <w:pStyle w:val="TableContents"/>
              <w:bidi w:val="0"/>
              <w:spacing w:before="0" w:after="283"/>
              <w:jc w:val="left"/>
              <w:rPr/>
            </w:pPr>
            <w:r>
              <w:rPr/>
              <w:t>By:</w:t>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Hadley</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 Thomas Hadley</w:t>
            </w:r>
          </w:p>
        </w:tc>
      </w:tr>
      <w:tr>
        <w:trPr/>
        <w:tc>
          <w:tcPr>
            <w:tcW w:w="636" w:type="dxa"/>
            <w:tcBorders/>
            <w:vAlign w:val="bottom"/>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pPr>
            <w:r>
              <w:rPr/>
              <w:t> </w:t>
            </w:r>
          </w:p>
        </w:tc>
        <w:tc>
          <w:tcPr>
            <w:tcW w:w="33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 Managing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Acting severally on behalf of themselves and the several Underwriters named in Schedule I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14185" w:type="dxa"/>
        <w:jc w:val="center"/>
        <w:tblInd w:w="0" w:type="dxa"/>
        <w:tblLayout w:type="fixed"/>
        <w:tblCellMar>
          <w:top w:w="0" w:type="dxa"/>
          <w:left w:w="0" w:type="dxa"/>
          <w:bottom w:w="0" w:type="dxa"/>
          <w:right w:w="0" w:type="dxa"/>
        </w:tblCellMar>
      </w:tblPr>
      <w:tblGrid>
        <w:gridCol w:w="1925"/>
        <w:gridCol w:w="60"/>
        <w:gridCol w:w="267"/>
        <w:gridCol w:w="2678"/>
        <w:gridCol w:w="60"/>
        <w:gridCol w:w="60"/>
        <w:gridCol w:w="267"/>
        <w:gridCol w:w="2678"/>
        <w:gridCol w:w="60"/>
        <w:gridCol w:w="60"/>
        <w:gridCol w:w="303"/>
        <w:gridCol w:w="2642"/>
        <w:gridCol w:w="60"/>
        <w:gridCol w:w="60"/>
        <w:gridCol w:w="303"/>
        <w:gridCol w:w="2642"/>
        <w:gridCol w:w="60"/>
      </w:tblGrid>
      <w:tr>
        <w:trPr/>
        <w:tc>
          <w:tcPr>
            <w:tcW w:w="19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bottom"/>
          </w:tcPr>
          <w:p>
            <w:pPr>
              <w:pStyle w:val="TableContents"/>
              <w:bidi w:val="0"/>
              <w:spacing w:before="0" w:after="283"/>
              <w:jc w:val="left"/>
              <w:rPr>
                <w:b/>
              </w:rPr>
            </w:pPr>
            <w:r>
              <w:rPr>
                <w:b/>
              </w:rPr>
              <w:t>UNDERWRITER</w:t>
            </w:r>
          </w:p>
        </w:tc>
        <w:tc>
          <w:tcPr>
            <w:tcW w:w="60" w:type="dxa"/>
            <w:tcBorders/>
            <w:vAlign w:val="bottom"/>
          </w:tcPr>
          <w:p>
            <w:pPr>
              <w:pStyle w:val="TableContents"/>
              <w:bidi w:val="0"/>
              <w:spacing w:before="0" w:after="283"/>
              <w:jc w:val="left"/>
              <w:rPr/>
            </w:pPr>
            <w:r>
              <w:rPr/>
              <w:t> </w:t>
            </w:r>
          </w:p>
        </w:tc>
        <w:tc>
          <w:tcPr>
            <w:tcW w:w="2945" w:type="dxa"/>
            <w:gridSpan w:val="2"/>
            <w:tcBorders/>
            <w:vAlign w:val="bottom"/>
          </w:tcPr>
          <w:p>
            <w:pPr>
              <w:pStyle w:val="TableContents"/>
              <w:bidi w:val="0"/>
              <w:spacing w:before="0" w:after="283"/>
              <w:jc w:val="center"/>
              <w:rPr>
                <w:b/>
              </w:rPr>
            </w:pPr>
            <w:r>
              <w:rPr>
                <w:b/>
              </w:rPr>
              <w:t>PRINCIPAL AMOUNT OF</w:t>
              <w:br/>
              <w:t>2031 NOTES TO BE</w:t>
              <w:b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5" w:type="dxa"/>
            <w:gridSpan w:val="2"/>
            <w:tcBorders/>
            <w:vAlign w:val="bottom"/>
          </w:tcPr>
          <w:p>
            <w:pPr>
              <w:pStyle w:val="TableContents"/>
              <w:bidi w:val="0"/>
              <w:spacing w:before="0" w:after="283"/>
              <w:jc w:val="center"/>
              <w:rPr>
                <w:b/>
              </w:rPr>
            </w:pPr>
            <w:r>
              <w:rPr>
                <w:b/>
              </w:rPr>
              <w:t>PRINCIPAL AMOUNT OF</w:t>
              <w:br/>
              <w:t>2036 NOTES TO BE</w:t>
              <w:b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5" w:type="dxa"/>
            <w:gridSpan w:val="2"/>
            <w:tcBorders/>
            <w:vAlign w:val="bottom"/>
          </w:tcPr>
          <w:p>
            <w:pPr>
              <w:pStyle w:val="TableContents"/>
              <w:bidi w:val="0"/>
              <w:spacing w:before="0" w:after="283"/>
              <w:jc w:val="center"/>
              <w:rPr>
                <w:b/>
              </w:rPr>
            </w:pPr>
            <w:r>
              <w:rPr>
                <w:b/>
              </w:rPr>
              <w:t>PRINCIPAL AMOUNT OF</w:t>
              <w:br/>
              <w:t>2046 NOTES TO BE</w:t>
              <w:br/>
              <w:t>PURCHASED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45" w:type="dxa"/>
            <w:gridSpan w:val="2"/>
            <w:tcBorders/>
            <w:vAlign w:val="bottom"/>
          </w:tcPr>
          <w:p>
            <w:pPr>
              <w:pStyle w:val="TableContents"/>
              <w:bidi w:val="0"/>
              <w:spacing w:before="0" w:after="283"/>
              <w:jc w:val="center"/>
              <w:rPr>
                <w:b/>
              </w:rPr>
            </w:pPr>
            <w:r>
              <w:rPr>
                <w:b/>
              </w:rPr>
              <w:t>PRINCIPAL AMOUNT OF</w:t>
              <w:br/>
              <w:t>2056 NOTES TO BE</w:t>
              <w:br/>
              <w:t>PURCHASED</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150,000,000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262,500,000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112,500,000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262,500,000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112,500,000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137,500,000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240,625,000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68,750,000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103,125,000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137,500,000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240,625,000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68,750,000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103,125,000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131,250,000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56,250,000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131,250,000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56,250,000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Mizuho Securities USA LLC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131,250,000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37,500,000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56,250,000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131,250,000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37,500,000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56,250,000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21,875,000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9,375,000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HSBC Securities (USA) Inc.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21,875,000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9,375,000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21,875,000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9,375,000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21,875,000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9,375,000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Wells Fargo Securities, LLC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12,500,000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21,875,000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6,250,000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9,375,000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12,500,000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21,875,000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9,375,000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Scotia Capital (USA) Inc.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17,500,000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SG Americas Securities, LLC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10,000,000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17,500,000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7,500,000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TD Securities (USA) LLC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17,500,000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7,500,000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Academy Securities, Inc.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8,750,000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3,750,000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Blaylock Van, LLC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8,750,000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3,750,000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Penserra Securities LLC</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5,000,000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8,750,000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2,500,000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3,750,000</w:t>
            </w:r>
          </w:p>
        </w:tc>
        <w:tc>
          <w:tcPr>
            <w:tcW w:w="60" w:type="dxa"/>
            <w:tcBorders/>
            <w:vAlign w:val="bottom"/>
          </w:tcPr>
          <w:p>
            <w:pPr>
              <w:pStyle w:val="TableContents"/>
              <w:bidi w:val="0"/>
              <w:spacing w:before="0" w:after="283"/>
              <w:jc w:val="left"/>
              <w:rPr/>
            </w:pPr>
            <w:r>
              <w:rPr/>
              <w:t> </w:t>
            </w:r>
          </w:p>
        </w:tc>
      </w:tr>
      <w:tr>
        <w:trPr/>
        <w:tc>
          <w:tcPr>
            <w:tcW w:w="19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 Seelaus &amp; Co., LLC</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5,000,000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2678" w:type="dxa"/>
            <w:tcBorders/>
            <w:shd w:fill="CCEEFF" w:val="clear"/>
            <w:vAlign w:val="bottom"/>
          </w:tcPr>
          <w:p>
            <w:pPr>
              <w:pStyle w:val="TableContents"/>
              <w:bidi w:val="0"/>
              <w:spacing w:before="0" w:after="283"/>
              <w:jc w:val="right"/>
              <w:rPr/>
            </w:pPr>
            <w:r>
              <w:rPr/>
              <w:t>8,750,000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2,500,000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bidi w:val="0"/>
              <w:spacing w:before="0" w:after="283"/>
              <w:jc w:val="left"/>
              <w:rPr/>
            </w:pPr>
            <w:r>
              <w:rPr/>
              <w:t>$</w:t>
            </w:r>
          </w:p>
        </w:tc>
        <w:tc>
          <w:tcPr>
            <w:tcW w:w="2642" w:type="dxa"/>
            <w:tcBorders/>
            <w:shd w:fill="CCEEFF" w:val="clear"/>
            <w:vAlign w:val="bottom"/>
          </w:tcPr>
          <w:p>
            <w:pPr>
              <w:pStyle w:val="TableContents"/>
              <w:bidi w:val="0"/>
              <w:spacing w:before="0" w:after="283"/>
              <w:jc w:val="right"/>
              <w:rPr/>
            </w:pPr>
            <w:r>
              <w:rPr/>
              <w:t>3,750,000</w:t>
            </w:r>
          </w:p>
        </w:tc>
        <w:tc>
          <w:tcPr>
            <w:tcW w:w="60" w:type="dxa"/>
            <w:tcBorders/>
            <w:shd w:fill="CCEEFF" w:val="clear"/>
            <w:vAlign w:val="bottom"/>
          </w:tcPr>
          <w:p>
            <w:pPr>
              <w:pStyle w:val="TableContents"/>
              <w:bidi w:val="0"/>
              <w:spacing w:before="0" w:after="283"/>
              <w:jc w:val="left"/>
              <w:rPr/>
            </w:pPr>
            <w:r>
              <w:rPr/>
              <w:t> </w:t>
            </w:r>
          </w:p>
        </w:tc>
      </w:tr>
      <w:tr>
        <w:trPr/>
        <w:tc>
          <w:tcPr>
            <w:tcW w:w="192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1,000,000,000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c>
          <w:tcPr>
            <w:tcW w:w="2678" w:type="dxa"/>
            <w:tcBorders/>
            <w:vAlign w:val="bottom"/>
          </w:tcPr>
          <w:p>
            <w:pPr>
              <w:pStyle w:val="TableContents"/>
              <w:bidi w:val="0"/>
              <w:spacing w:before="0" w:after="283"/>
              <w:jc w:val="right"/>
              <w:rPr/>
            </w:pPr>
            <w:r>
              <w:rPr/>
              <w:t>1,750,000,000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500,000,000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3" w:type="dxa"/>
            <w:tcBorders/>
            <w:vAlign w:val="bottom"/>
          </w:tcPr>
          <w:p>
            <w:pPr>
              <w:pStyle w:val="TableContents"/>
              <w:bidi w:val="0"/>
              <w:spacing w:before="0" w:after="283"/>
              <w:jc w:val="left"/>
              <w:rPr/>
            </w:pPr>
            <w:r>
              <w:rPr/>
              <w:t>$</w:t>
            </w:r>
          </w:p>
        </w:tc>
        <w:tc>
          <w:tcPr>
            <w:tcW w:w="2642" w:type="dxa"/>
            <w:tcBorders/>
            <w:vAlign w:val="bottom"/>
          </w:tcPr>
          <w:p>
            <w:pPr>
              <w:pStyle w:val="TableContents"/>
              <w:bidi w:val="0"/>
              <w:spacing w:before="0" w:after="283"/>
              <w:jc w:val="right"/>
              <w:rPr/>
            </w:pPr>
            <w:r>
              <w:rPr/>
              <w:t>750,000,000</w:t>
            </w:r>
          </w:p>
        </w:tc>
        <w:tc>
          <w:tcPr>
            <w:tcW w:w="60"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 </w:t>
      </w:r>
    </w:p>
    <w:p>
      <w:pPr>
        <w:pStyle w:val="TextBody"/>
        <w:bidi w:val="0"/>
        <w:spacing w:before="240" w:after="0"/>
        <w:jc w:val="left"/>
        <w:rPr>
          <w:rFonts w:ascii="Times New Roman" w:hAnsi="Times New Roman"/>
          <w:sz w:val="20"/>
        </w:rPr>
      </w:pPr>
      <w:r>
        <w:rPr>
          <w:rFonts w:ascii="Times New Roman" w:hAnsi="Times New Roman"/>
          <w:sz w:val="20"/>
        </w:rPr>
        <w:t xml:space="preserve">(a) Issuer Free Writing Prospectuses not included in the Pricing Disclosure Package: </w:t>
      </w:r>
    </w:p>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240" w:after="0"/>
        <w:jc w:val="left"/>
        <w:rPr>
          <w:rFonts w:ascii="Times New Roman" w:hAnsi="Times New Roman"/>
          <w:sz w:val="20"/>
        </w:rPr>
      </w:pPr>
      <w:r>
        <w:rPr>
          <w:rFonts w:ascii="Times New Roman" w:hAnsi="Times New Roman"/>
          <w:sz w:val="20"/>
        </w:rPr>
        <w:t xml:space="preserve">(b) Additional Documents Incorporated by Reference: </w:t>
      </w:r>
    </w:p>
    <w:p>
      <w:pPr>
        <w:pStyle w:val="TextBody"/>
        <w:bidi w:val="0"/>
        <w:spacing w:before="120" w:after="0"/>
        <w:jc w:val="left"/>
        <w:rPr>
          <w:rFonts w:ascii="Times New Roman" w:hAnsi="Times New Roman"/>
          <w:sz w:val="20"/>
        </w:rPr>
      </w:pPr>
      <w:r>
        <w:rPr>
          <w:rFonts w:ascii="Times New Roman" w:hAnsi="Times New Roman"/>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III </w:t>
      </w:r>
    </w:p>
    <w:p>
      <w:pPr>
        <w:pStyle w:val="TextBody"/>
        <w:bidi w:val="0"/>
        <w:spacing w:before="120" w:after="0"/>
        <w:jc w:val="center"/>
        <w:rPr>
          <w:rFonts w:ascii="Times New Roman" w:hAnsi="Times New Roman"/>
          <w:b/>
          <w:sz w:val="20"/>
        </w:rPr>
      </w:pPr>
      <w:r>
        <w:rPr>
          <w:rFonts w:ascii="Times New Roman" w:hAnsi="Times New Roman"/>
          <w:b/>
          <w:sz w:val="20"/>
        </w:rPr>
        <w:t xml:space="preserve">SIGNIFICANT 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95"/>
        <w:gridCol w:w="203"/>
        <w:gridCol w:w="5307"/>
      </w:tblGrid>
      <w:tr>
        <w:trPr/>
        <w:tc>
          <w:tcPr>
            <w:tcW w:w="469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307" w:type="dxa"/>
            <w:tcBorders/>
            <w:vAlign w:val="center"/>
          </w:tcPr>
          <w:p>
            <w:pPr>
              <w:pStyle w:val="TableContents"/>
              <w:bidi w:val="0"/>
              <w:spacing w:before="0" w:after="283"/>
              <w:jc w:val="left"/>
              <w:rPr>
                <w:sz w:val="4"/>
                <w:szCs w:val="4"/>
              </w:rPr>
            </w:pPr>
            <w:r>
              <w:rPr>
                <w:sz w:val="4"/>
                <w:szCs w:val="4"/>
              </w:rPr>
            </w:r>
          </w:p>
        </w:tc>
      </w:tr>
      <w:tr>
        <w:trPr/>
        <w:tc>
          <w:tcPr>
            <w:tcW w:w="469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Subsidiary</w:t>
            </w:r>
          </w:p>
        </w:tc>
        <w:tc>
          <w:tcPr>
            <w:tcW w:w="203" w:type="dxa"/>
            <w:tcBorders/>
            <w:vAlign w:val="bottom"/>
          </w:tcPr>
          <w:p>
            <w:pPr>
              <w:pStyle w:val="TableContents"/>
              <w:bidi w:val="0"/>
              <w:spacing w:before="0" w:after="283"/>
              <w:jc w:val="left"/>
              <w:rPr/>
            </w:pPr>
            <w:r>
              <w:rPr/>
              <w:t>  </w:t>
            </w:r>
          </w:p>
        </w:tc>
        <w:tc>
          <w:tcPr>
            <w:tcW w:w="53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Jurisdiction of Incorporation/Formation</w:t>
            </w:r>
          </w:p>
        </w:tc>
      </w:tr>
      <w:tr>
        <w:trPr/>
        <w:tc>
          <w:tcPr>
            <w:tcW w:w="4695" w:type="dxa"/>
            <w:tcBorders/>
          </w:tcPr>
          <w:p>
            <w:pPr>
              <w:pStyle w:val="TableContents"/>
              <w:bidi w:val="0"/>
              <w:spacing w:before="0" w:after="283"/>
              <w:jc w:val="left"/>
              <w:rPr/>
            </w:pPr>
            <w:r>
              <w:rPr/>
              <w:t>Amgen (Europe) GmbH</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Switzerland</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Canada Inc.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Canada</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Fremont Inc.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Delaware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Global Finance B.V.</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Netherlands</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Global Technology Unlimited Company</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Ireland</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GmbH Germany</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Germany</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Ilaç Ticaret Limited Şirketi</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Türkiye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International Holdings Inc.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Delaware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K.K.</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Japan</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K-A, Inc.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Delaware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Manufacturing Limited LLC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Puerto Rico</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Rare Disease Holdings Inc.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Delaware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Research (Munich) GmbH</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Germany</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S.A.S.</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France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S.p.A.</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Italy</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SF, LLC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Delaware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Singapore Holding Pte. Ltd.</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Singapore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Singapore Manufacturing Pte. Ltd.</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Singapore</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Technology (Ireland) Unlimited Company</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Ireland</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Technology, Limited</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Bermuda</w:t>
            </w:r>
          </w:p>
        </w:tc>
      </w:tr>
      <w:tr>
        <w:trPr>
          <w:trHeight w:val="120" w:hRule="atLeast"/>
        </w:trPr>
        <w:tc>
          <w:tcPr>
            <w:tcW w:w="4695" w:type="dxa"/>
            <w:tcBorders/>
            <w:vAlign w:val="center"/>
          </w:tcPr>
          <w:p>
            <w:pPr>
              <w:pStyle w:val="TableContents"/>
              <w:bidi w:val="0"/>
              <w:spacing w:before="0" w:after="283"/>
              <w:jc w:val="left"/>
              <w:rPr>
                <w:sz w:val="4"/>
                <w:szCs w:val="4"/>
              </w:rPr>
            </w:pPr>
            <w:r>
              <w:rPr>
                <w:sz w:val="4"/>
                <w:szCs w:val="4"/>
              </w:rPr>
            </w:r>
          </w:p>
        </w:tc>
        <w:tc>
          <w:tcPr>
            <w:tcW w:w="5510" w:type="dxa"/>
            <w:gridSpan w:val="2"/>
            <w:tcBorders/>
            <w:vAlign w:val="center"/>
          </w:tcPr>
          <w:p>
            <w:pPr>
              <w:pStyle w:val="TableContents"/>
              <w:bidi w:val="0"/>
              <w:spacing w:before="0" w:after="283"/>
              <w:jc w:val="left"/>
              <w:rPr>
                <w:sz w:val="4"/>
                <w:szCs w:val="4"/>
              </w:rPr>
            </w:pPr>
            <w:r>
              <w:rPr>
                <w:sz w:val="4"/>
                <w:szCs w:val="4"/>
              </w:rPr>
            </w:r>
          </w:p>
        </w:tc>
      </w:tr>
      <w:tr>
        <w:trPr/>
        <w:tc>
          <w:tcPr>
            <w:tcW w:w="4695" w:type="dxa"/>
            <w:tcBorders/>
          </w:tcPr>
          <w:p>
            <w:pPr>
              <w:pStyle w:val="TableContents"/>
              <w:bidi w:val="0"/>
              <w:spacing w:before="0" w:after="283"/>
              <w:jc w:val="left"/>
              <w:rPr/>
            </w:pPr>
            <w:r>
              <w:rPr/>
              <w:t>Amgen USA Inc.</w:t>
            </w:r>
          </w:p>
        </w:tc>
        <w:tc>
          <w:tcPr>
            <w:tcW w:w="203" w:type="dxa"/>
            <w:tcBorders/>
            <w:vAlign w:val="bottom"/>
          </w:tcPr>
          <w:p>
            <w:pPr>
              <w:pStyle w:val="TableContents"/>
              <w:bidi w:val="0"/>
              <w:spacing w:before="0" w:after="283"/>
              <w:jc w:val="left"/>
              <w:rPr/>
            </w:pPr>
            <w:r>
              <w:rPr/>
              <w:t>  </w:t>
            </w:r>
          </w:p>
        </w:tc>
        <w:tc>
          <w:tcPr>
            <w:tcW w:w="5307" w:type="dxa"/>
            <w:tcBorders/>
          </w:tcPr>
          <w:p>
            <w:pPr>
              <w:pStyle w:val="TableContents"/>
              <w:bidi w:val="0"/>
              <w:spacing w:before="0" w:after="283"/>
              <w:jc w:val="left"/>
              <w:rPr/>
            </w:pPr>
            <w:r>
              <w:rPr/>
              <w:t>Delaware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694"/>
        <w:gridCol w:w="203"/>
        <w:gridCol w:w="5308"/>
      </w:tblGrid>
      <w:tr>
        <w:trPr/>
        <w:tc>
          <w:tcPr>
            <w:tcW w:w="469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530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Amgen Worldwide Holdings B.V.</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Netherlands</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Amgen, S.A.</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Spain</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BioVex LLC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ChemoCentryx, Inc.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Five Prime Therapeutics, Inc.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Horizon Therapeutics Finance S.à.r.l</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Luxembourg</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Horizon Therapeutics Holdings Limited</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Ireland</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Horizon Therapeutics Ireland DAC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Ireland</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Horizon Therapeutics Limited</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Ireland</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Horizon Therapeutics Services LLC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Horizon Therapeutics U.S. Holding LLC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Horizon Therapeutics USA, Inc.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HZNP Finance Limited</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Bermuda</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Immunex Corporation</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Washington</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Immunex Rhode Island Corporation</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Onyx Pharmaceuticals, Inc.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Onyx Therapeutics, Inc.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Pillartree Limited</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Ireland</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Saga Investments Coöperatief U.A.</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Netherlands</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TeneoBio, Inc.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r>
        <w:trPr>
          <w:trHeight w:val="120" w:hRule="atLeast"/>
        </w:trPr>
        <w:tc>
          <w:tcPr>
            <w:tcW w:w="4694" w:type="dxa"/>
            <w:tcBorders/>
            <w:vAlign w:val="center"/>
          </w:tcPr>
          <w:p>
            <w:pPr>
              <w:pStyle w:val="TableContents"/>
              <w:bidi w:val="0"/>
              <w:spacing w:before="0" w:after="283"/>
              <w:jc w:val="left"/>
              <w:rPr>
                <w:sz w:val="4"/>
                <w:szCs w:val="4"/>
              </w:rPr>
            </w:pPr>
            <w:r>
              <w:rPr>
                <w:sz w:val="4"/>
                <w:szCs w:val="4"/>
              </w:rPr>
            </w:r>
          </w:p>
        </w:tc>
        <w:tc>
          <w:tcPr>
            <w:tcW w:w="5511" w:type="dxa"/>
            <w:gridSpan w:val="2"/>
            <w:tcBorders/>
            <w:vAlign w:val="center"/>
          </w:tcPr>
          <w:p>
            <w:pPr>
              <w:pStyle w:val="TableContents"/>
              <w:bidi w:val="0"/>
              <w:spacing w:before="0" w:after="283"/>
              <w:jc w:val="left"/>
              <w:rPr>
                <w:sz w:val="4"/>
                <w:szCs w:val="4"/>
              </w:rPr>
            </w:pPr>
            <w:r>
              <w:rPr>
                <w:sz w:val="4"/>
                <w:szCs w:val="4"/>
              </w:rPr>
            </w:r>
          </w:p>
        </w:tc>
      </w:tr>
      <w:tr>
        <w:trPr/>
        <w:tc>
          <w:tcPr>
            <w:tcW w:w="4694" w:type="dxa"/>
            <w:tcBorders/>
          </w:tcPr>
          <w:p>
            <w:pPr>
              <w:pStyle w:val="TableContents"/>
              <w:bidi w:val="0"/>
              <w:spacing w:before="0" w:after="283"/>
              <w:jc w:val="left"/>
              <w:rPr/>
            </w:pPr>
            <w:r>
              <w:rPr/>
              <w:t>Viela Bio, Inc.</w:t>
            </w:r>
          </w:p>
        </w:tc>
        <w:tc>
          <w:tcPr>
            <w:tcW w:w="203" w:type="dxa"/>
            <w:tcBorders/>
            <w:vAlign w:val="bottom"/>
          </w:tcPr>
          <w:p>
            <w:pPr>
              <w:pStyle w:val="TableContents"/>
              <w:bidi w:val="0"/>
              <w:spacing w:before="0" w:after="283"/>
              <w:jc w:val="left"/>
              <w:rPr/>
            </w:pPr>
            <w:r>
              <w:rPr/>
              <w:t>  </w:t>
            </w:r>
          </w:p>
        </w:tc>
        <w:tc>
          <w:tcPr>
            <w:tcW w:w="5308" w:type="dxa"/>
            <w:tcBorders/>
          </w:tcPr>
          <w:p>
            <w:pPr>
              <w:pStyle w:val="TableContents"/>
              <w:bidi w:val="0"/>
              <w:spacing w:before="0" w:after="283"/>
              <w:jc w:val="left"/>
              <w:rPr/>
            </w:pPr>
            <w:r>
              <w:rPr/>
              <w:t>Delaware</w:t>
            </w:r>
          </w:p>
        </w:tc>
      </w:tr>
    </w:tbl>
    <w:p>
      <w:pPr>
        <w:pStyle w:val="TextBody"/>
        <w:bidi w:val="0"/>
        <w:spacing w:before="0" w:after="0"/>
        <w:jc w:val="right"/>
        <w:rPr>
          <w:rFonts w:ascii="Times New Roman" w:hAnsi="Times New Roman"/>
          <w:b/>
          <w:sz w:val="20"/>
        </w:rPr>
      </w:pPr>
      <w:bookmarkStart w:id="4" w:name="d106293dex42.htm"/>
      <w:bookmarkStart w:id="5" w:name="ksd106293dex42"/>
      <w:bookmarkEnd w:id="4"/>
      <w:bookmarkEnd w:id="5"/>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OFFICER’S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AMGEN INC. </w:t>
      </w:r>
    </w:p>
    <w:p>
      <w:pPr>
        <w:pStyle w:val="TextBody"/>
        <w:bidi w:val="0"/>
        <w:spacing w:before="240" w:after="0"/>
        <w:jc w:val="left"/>
        <w:rPr>
          <w:rFonts w:ascii="Times New Roman" w:hAnsi="Times New Roman"/>
          <w:sz w:val="20"/>
        </w:rPr>
      </w:pPr>
      <w:r>
        <w:rPr>
          <w:rFonts w:ascii="Times New Roman" w:hAnsi="Times New Roman"/>
          <w:sz w:val="20"/>
        </w:rPr>
        <w:t xml:space="preserve">Dated as of February 19, 2026 </w:t>
      </w:r>
    </w:p>
    <w:p>
      <w:pPr>
        <w:pStyle w:val="TextBody"/>
        <w:bidi w:val="0"/>
        <w:spacing w:before="240" w:after="0"/>
        <w:jc w:val="left"/>
        <w:rPr>
          <w:rFonts w:ascii="Times New Roman" w:hAnsi="Times New Roman"/>
          <w:sz w:val="20"/>
        </w:rPr>
      </w:pPr>
      <w:r>
        <w:rPr>
          <w:rFonts w:ascii="Times New Roman" w:hAnsi="Times New Roman"/>
          <w:sz w:val="20"/>
        </w:rPr>
        <w:t>The undersigned officer of the Company certifies, pursuant to resolutions duly adopted by the Board of Directors at a meeting duly held on October 31, 2025 and by the Pricing Committee of the Board of Directors of the Company on February 13, 2026 (the “</w:t>
      </w:r>
      <w:r>
        <w:rPr>
          <w:rFonts w:ascii="Times New Roman" w:hAnsi="Times New Roman"/>
          <w:b/>
          <w:sz w:val="20"/>
        </w:rPr>
        <w:t>Resolutions</w:t>
      </w:r>
      <w:r>
        <w:rPr>
          <w:rFonts w:ascii="Times New Roman" w:hAnsi="Times New Roman"/>
          <w:sz w:val="20"/>
        </w:rPr>
        <w:t>”), and in accordance with Sections 2.1, 2.2 and 2.3 of the Indenture, dated as of May 22, 2014 (the “</w:t>
      </w:r>
      <w:r>
        <w:rPr>
          <w:rFonts w:ascii="Times New Roman" w:hAnsi="Times New Roman"/>
          <w:b/>
          <w:sz w:val="20"/>
        </w:rPr>
        <w:t>Indenture</w:t>
      </w:r>
      <w:r>
        <w:rPr>
          <w:rFonts w:ascii="Times New Roman" w:hAnsi="Times New Roman"/>
          <w:sz w:val="20"/>
        </w:rPr>
        <w:t>”; capitalized terms used herein and not otherwise defined shall have the meanings given to them in the Indenture), between Amgen Inc., a Delaware corporation (the “</w:t>
      </w:r>
      <w:r>
        <w:rPr>
          <w:rFonts w:ascii="Times New Roman" w:hAnsi="Times New Roman"/>
          <w:b/>
          <w:sz w:val="20"/>
        </w:rPr>
        <w:t>Company</w:t>
      </w:r>
      <w:r>
        <w:rPr>
          <w:rFonts w:ascii="Times New Roman" w:hAnsi="Times New Roman"/>
          <w:sz w:val="20"/>
        </w:rPr>
        <w:t>”), and The Bank of New York Mellon Trust Company, N.A., as trustee (the “</w:t>
      </w:r>
      <w:r>
        <w:rPr>
          <w:rFonts w:ascii="Times New Roman" w:hAnsi="Times New Roman"/>
          <w:b/>
          <w:sz w:val="20"/>
        </w:rPr>
        <w:t>Trustee</w:t>
      </w:r>
      <w:r>
        <w:rPr>
          <w:rFonts w:ascii="Times New Roman" w:hAnsi="Times New Roman"/>
          <w:sz w:val="20"/>
        </w:rPr>
        <w:t>”), the following matters related to the issuance of the Company’s 4.200% Senior Notes due 2031 (the “</w:t>
      </w:r>
      <w:r>
        <w:rPr>
          <w:rFonts w:ascii="Times New Roman" w:hAnsi="Times New Roman"/>
          <w:b/>
          <w:sz w:val="20"/>
        </w:rPr>
        <w:t>2031 Notes</w:t>
      </w:r>
      <w:r>
        <w:rPr>
          <w:rFonts w:ascii="Times New Roman" w:hAnsi="Times New Roman"/>
          <w:sz w:val="20"/>
        </w:rPr>
        <w:t>”), 4.850% Senior Notes due 2036 (the “</w:t>
      </w:r>
      <w:r>
        <w:rPr>
          <w:rFonts w:ascii="Times New Roman" w:hAnsi="Times New Roman"/>
          <w:b/>
          <w:sz w:val="20"/>
        </w:rPr>
        <w:t>2036 Notes</w:t>
      </w:r>
      <w:r>
        <w:rPr>
          <w:rFonts w:ascii="Times New Roman" w:hAnsi="Times New Roman"/>
          <w:sz w:val="20"/>
        </w:rPr>
        <w:t>”), 5.500% Senior Notes due 2046 (the “</w:t>
      </w:r>
      <w:r>
        <w:rPr>
          <w:rFonts w:ascii="Times New Roman" w:hAnsi="Times New Roman"/>
          <w:b/>
          <w:sz w:val="20"/>
        </w:rPr>
        <w:t>2046 Notes</w:t>
      </w:r>
      <w:r>
        <w:rPr>
          <w:rFonts w:ascii="Times New Roman" w:hAnsi="Times New Roman"/>
          <w:sz w:val="20"/>
        </w:rPr>
        <w:t>”), and 5.650% Senior Notes due 2056 (the “</w:t>
      </w:r>
      <w:r>
        <w:rPr>
          <w:rFonts w:ascii="Times New Roman" w:hAnsi="Times New Roman"/>
          <w:b/>
          <w:sz w:val="20"/>
        </w:rPr>
        <w:t>2056 Notes</w:t>
      </w:r>
      <w:r>
        <w:rPr>
          <w:rFonts w:ascii="Times New Roman" w:hAnsi="Times New Roman"/>
          <w:sz w:val="20"/>
        </w:rPr>
        <w:t>” and together with the 2031 Notes, the 2036 Notes and the 2046 Notes, the “</w:t>
      </w:r>
      <w:r>
        <w:rPr>
          <w:rFonts w:ascii="Times New Roman" w:hAnsi="Times New Roman"/>
          <w:b/>
          <w:sz w:val="20"/>
        </w:rPr>
        <w:t>Notes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Attached hereto as </w:t>
      </w:r>
      <w:r>
        <w:rPr>
          <w:rFonts w:ascii="Times New Roman" w:hAnsi="Times New Roman"/>
          <w:sz w:val="20"/>
          <w:u w:val="single"/>
        </w:rPr>
        <w:t>Annex A</w:t>
      </w:r>
      <w:r>
        <w:rPr>
          <w:rFonts w:ascii="Times New Roman" w:hAnsi="Times New Roman"/>
          <w:sz w:val="20"/>
        </w:rPr>
        <w:t xml:space="preserve"> is a true and correct copy of a specimen note (the “</w:t>
      </w:r>
      <w:r>
        <w:rPr>
          <w:rFonts w:ascii="Times New Roman" w:hAnsi="Times New Roman"/>
          <w:b/>
          <w:sz w:val="20"/>
        </w:rPr>
        <w:t>Form of 2031 Note</w:t>
      </w:r>
      <w:r>
        <w:rPr>
          <w:rFonts w:ascii="Times New Roman" w:hAnsi="Times New Roman"/>
          <w:sz w:val="20"/>
        </w:rPr>
        <w:t xml:space="preserve">”) representing the 2031 Notes, attached hereto as </w:t>
      </w:r>
      <w:r>
        <w:rPr>
          <w:rFonts w:ascii="Times New Roman" w:hAnsi="Times New Roman"/>
          <w:sz w:val="20"/>
          <w:u w:val="single"/>
        </w:rPr>
        <w:t>Annex B</w:t>
      </w:r>
      <w:r>
        <w:rPr>
          <w:rFonts w:ascii="Times New Roman" w:hAnsi="Times New Roman"/>
          <w:sz w:val="20"/>
        </w:rPr>
        <w:t xml:space="preserve"> is a true and correct copy of a specimen note (the “</w:t>
      </w:r>
      <w:r>
        <w:rPr>
          <w:rFonts w:ascii="Times New Roman" w:hAnsi="Times New Roman"/>
          <w:b/>
          <w:sz w:val="20"/>
        </w:rPr>
        <w:t>Form of 2036 Note</w:t>
      </w:r>
      <w:r>
        <w:rPr>
          <w:rFonts w:ascii="Times New Roman" w:hAnsi="Times New Roman"/>
          <w:sz w:val="20"/>
        </w:rPr>
        <w:t xml:space="preserve">”) representing the 2036 Notes, attached hereto as </w:t>
      </w:r>
      <w:r>
        <w:rPr>
          <w:rFonts w:ascii="Times New Roman" w:hAnsi="Times New Roman"/>
          <w:sz w:val="20"/>
          <w:u w:val="single"/>
        </w:rPr>
        <w:t>Annex C</w:t>
      </w:r>
      <w:r>
        <w:rPr>
          <w:rFonts w:ascii="Times New Roman" w:hAnsi="Times New Roman"/>
          <w:sz w:val="20"/>
        </w:rPr>
        <w:t xml:space="preserve"> is a true and correct copy of a specimen note (the “</w:t>
      </w:r>
      <w:r>
        <w:rPr>
          <w:rFonts w:ascii="Times New Roman" w:hAnsi="Times New Roman"/>
          <w:b/>
          <w:sz w:val="20"/>
        </w:rPr>
        <w:t>Form of 2046 Note</w:t>
      </w:r>
      <w:r>
        <w:rPr>
          <w:rFonts w:ascii="Times New Roman" w:hAnsi="Times New Roman"/>
          <w:sz w:val="20"/>
        </w:rPr>
        <w:t xml:space="preserve">”) representing the 2046 Notes, and attached hereto as </w:t>
      </w:r>
      <w:r>
        <w:rPr>
          <w:rFonts w:ascii="Times New Roman" w:hAnsi="Times New Roman"/>
          <w:sz w:val="20"/>
          <w:u w:val="single"/>
        </w:rPr>
        <w:t>Annex D</w:t>
      </w:r>
      <w:r>
        <w:rPr>
          <w:rFonts w:ascii="Times New Roman" w:hAnsi="Times New Roman"/>
          <w:sz w:val="20"/>
        </w:rPr>
        <w:t xml:space="preserve"> is a true and correct copy of a specimen note (the “</w:t>
      </w:r>
      <w:r>
        <w:rPr>
          <w:rFonts w:ascii="Times New Roman" w:hAnsi="Times New Roman"/>
          <w:b/>
          <w:sz w:val="20"/>
        </w:rPr>
        <w:t>Form of 2056 Note</w:t>
      </w:r>
      <w:r>
        <w:rPr>
          <w:rFonts w:ascii="Times New Roman" w:hAnsi="Times New Roman"/>
          <w:sz w:val="20"/>
        </w:rPr>
        <w:t>”) representing the 2056 Notes. The Form of 2031 Note, the Form of 2036 Note, the Form of 2046 Note and the Form of 2056 Note are herein collectively referred to as the “</w:t>
      </w:r>
      <w:r>
        <w:rPr>
          <w:rFonts w:ascii="Times New Roman" w:hAnsi="Times New Roman"/>
          <w:b/>
          <w:sz w:val="20"/>
        </w:rPr>
        <w:t>Forms of Notes</w:t>
      </w:r>
      <w:r>
        <w:rPr>
          <w:rFonts w:ascii="Times New Roman" w:hAnsi="Times New Roman"/>
          <w:sz w:val="20"/>
        </w:rPr>
        <w:t xml:space="preserve">.” The Forms of Notes set forth certain of the terms required to be set forth in this Certificate pursuant to Section 2.2 of the Indenture, and said terms are incorporated herein by reference. The 2031 Notes, the 2036 Notes, the 2046 Notes and the 2056 Notes are each a separate series of Securities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 The title of the 2031 Notes shall be the “4.200% Senior Notes due 2031,” the title of the 2036 Notes shall be the “4.850% Senior Notes due 2036,” the title of the 2046 Notes shall be the “5.500% Senior Notes due 2046” and the title of the 2056 Notes shall be the “5.650% Senior Notes due 2056.” </w:t>
      </w:r>
    </w:p>
    <w:p>
      <w:pPr>
        <w:pStyle w:val="TextBody"/>
        <w:bidi w:val="0"/>
        <w:spacing w:before="240" w:after="0"/>
        <w:jc w:val="left"/>
        <w:rPr>
          <w:rFonts w:ascii="Times New Roman" w:hAnsi="Times New Roman"/>
          <w:sz w:val="20"/>
        </w:rPr>
      </w:pPr>
      <w:r>
        <w:rPr>
          <w:rFonts w:ascii="Times New Roman" w:hAnsi="Times New Roman"/>
          <w:sz w:val="20"/>
        </w:rPr>
        <w:t xml:space="preserve">3. The 2031 Notes shall be issued at the initial offering price of 99.897% of the principal amount, the 2036 Notes shall be issued at the initial offering price of 99.827% of the principal amount, the 2046 Notes shall be issued at the initial offering price of 99.616% of the principal amount and the 2056 Notes shall be issued at the initial offering price of 99.928% of the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4. The Company will initially issue $1,000,000,000 aggregate principal amount of the 2031 Notes, $1,750,000,000 aggregate principal amount of the 2036 Notes, $500,000,000 aggregate principal amount of the 2046 Notes and $750,000,000 aggregate principal amount of the 2056 Notes (in each case except for Notes authenticated and delivered upon registration of transfer of, in exchange for, or in lieu of, other Notes pursuant to Sections 2.7, 2.8, 2.11, 3.6 or 9.6 of the Indenture). The Company may issue additional 2031 Notes, 2036 Notes, 2046 Notes and/or 2056 Notes from time to time after the date hereof, and such Notes will be treated as part of the respective series of Notes for all purposes under the Indenture.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 The Notes shall be issued as Global Securities only and will be exchangeable for certificated notes (“</w:t>
      </w:r>
      <w:r>
        <w:rPr>
          <w:rFonts w:ascii="Times New Roman" w:hAnsi="Times New Roman"/>
          <w:b/>
          <w:sz w:val="20"/>
        </w:rPr>
        <w:t>Certificated Notes</w:t>
      </w:r>
      <w:r>
        <w:rPr>
          <w:rFonts w:ascii="Times New Roman" w:hAnsi="Times New Roman"/>
          <w:sz w:val="20"/>
        </w:rPr>
        <w:t xml:space="preserv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(x) notifies the Company that it is unwilling or unable to continue as depository for the Global Securities or (y) at any time has ceased to be a clearing agency registered under the Exchange Act at a time when it is required to be registered and, in either case, the Company fails to appoint a successor depository registered as a clearing agency under the Exchange Act within 90 days of notification to the Company or the Company becoming aware of DTC’s ceasing to be so registered, as the case may 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at its option, notifies the Trustee in writing to the effect that the Company elects to cause the issuance of the Certificated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10"/>
        <w:gridCol w:w="8371"/>
      </w:tblGrid>
      <w:tr>
        <w:trPr/>
        <w:tc>
          <w:tcPr>
            <w:tcW w:w="1324"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has occurred and is continuing an Event of Default with respect to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Certificated Notes delivered in exchange for any Global Security or beneficial interests in Global Securities will be registered in the names, and issued in any approved denominations, requested by or on behalf of the depository (in accordance with its customary procedures). </w:t>
      </w:r>
    </w:p>
    <w:p>
      <w:pPr>
        <w:pStyle w:val="TextBody"/>
        <w:bidi w:val="0"/>
        <w:spacing w:before="240" w:after="0"/>
        <w:jc w:val="left"/>
        <w:rPr>
          <w:rFonts w:ascii="Times New Roman" w:hAnsi="Times New Roman"/>
          <w:sz w:val="20"/>
        </w:rPr>
      </w:pPr>
      <w:r>
        <w:rPr>
          <w:rFonts w:ascii="Times New Roman" w:hAnsi="Times New Roman"/>
          <w:sz w:val="20"/>
        </w:rPr>
        <w:t xml:space="preserve">6. The Notes shall be denominated in Dollars and payments of principal and interest shall be made in Dollars. </w:t>
      </w:r>
    </w:p>
    <w:p>
      <w:pPr>
        <w:pStyle w:val="TextBody"/>
        <w:bidi w:val="0"/>
        <w:spacing w:before="240" w:after="0"/>
        <w:jc w:val="left"/>
        <w:rPr>
          <w:rFonts w:ascii="Times New Roman" w:hAnsi="Times New Roman"/>
          <w:sz w:val="20"/>
        </w:rPr>
      </w:pPr>
      <w:r>
        <w:rPr>
          <w:rFonts w:ascii="Times New Roman" w:hAnsi="Times New Roman"/>
          <w:sz w:val="20"/>
        </w:rPr>
        <w:t xml:space="preserve">7. In addition to the provisions set forth in Article IV of the Indenture, the following additional provisions shall apply to the Notes and shall be incorporated into the Indenture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4.5 </w:t>
      </w:r>
      <w:r>
        <w:rPr>
          <w:rFonts w:ascii="Times New Roman" w:hAnsi="Times New Roman"/>
          <w:b/>
          <w:sz w:val="20"/>
        </w:rPr>
        <w:t>Change of Control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 Change of Control Triggering Event occurs, unless the Company has exercised its option to redeem the Notes as described in Section 5 of the Security, the Company will be required to make an offer (the “</w:t>
      </w:r>
      <w:r>
        <w:rPr>
          <w:rFonts w:ascii="Times New Roman" w:hAnsi="Times New Roman"/>
          <w:b/>
          <w:sz w:val="20"/>
        </w:rPr>
        <w:t>Change of Control Offer</w:t>
      </w:r>
      <w:r>
        <w:rPr>
          <w:rFonts w:ascii="Times New Roman" w:hAnsi="Times New Roman"/>
          <w:sz w:val="20"/>
        </w:rPr>
        <w:t>”) to each Holder to repurchase all or any part (equal to $2,000 or an integral multiple of $1,000 in excess thereof) of that Holder’s Notes on the terms set forth in such Security. In the Change of Control Offer, the Company shall be required to offer payment in cash equal to 101% of the aggregate principal amount of Notes repurchased, plus accrued and unpaid interest, if any, on the Notes repurchased to the date of repurchase (the “</w:t>
      </w:r>
      <w:r>
        <w:rPr>
          <w:rFonts w:ascii="Times New Roman" w:hAnsi="Times New Roman"/>
          <w:b/>
          <w:sz w:val="20"/>
        </w:rPr>
        <w:t>Change of Control Payment</w:t>
      </w:r>
      <w:r>
        <w:rPr>
          <w:rFonts w:ascii="Times New Roman" w:hAnsi="Times New Roman"/>
          <w:sz w:val="20"/>
        </w:rPr>
        <w:t>”). Within 30 days following any Change of Control Triggering Event, a notice will be provided to Holders describing the transaction that constitutes the Change of Control Triggering Event and offering to repurchase the Notes on the date specified in the notice, which date will be no earlier than 30 days and no later than 60 days from the date such notice is provided (the “</w:t>
      </w:r>
      <w:r>
        <w:rPr>
          <w:rFonts w:ascii="Times New Roman" w:hAnsi="Times New Roman"/>
          <w:b/>
          <w:sz w:val="20"/>
        </w:rPr>
        <w:t>Change of Control Payment Date</w:t>
      </w:r>
      <w:r>
        <w:rPr>
          <w:rFonts w:ascii="Times New Roman" w:hAnsi="Times New Roman"/>
          <w:sz w:val="20"/>
        </w:rPr>
        <w:t xml:space="preserve">”); </w:t>
      </w:r>
      <w:r>
        <w:rPr>
          <w:rFonts w:ascii="Times New Roman" w:hAnsi="Times New Roman"/>
          <w:i/>
          <w:sz w:val="20"/>
        </w:rPr>
        <w:t>provided, however</w:t>
      </w:r>
      <w:r>
        <w:rPr>
          <w:rFonts w:ascii="Times New Roman" w:hAnsi="Times New Roman"/>
          <w:sz w:val="20"/>
        </w:rPr>
        <w:t xml:space="preserve">, that in no event will the Change of Control Payment Date occur prior to the date 90 days following the First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On the Change of Control Payment Date, the Company shall,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8"/>
        <w:gridCol w:w="8371"/>
      </w:tblGrid>
      <w:tr>
        <w:trPr/>
        <w:tc>
          <w:tcPr>
            <w:tcW w:w="132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properly tendered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of Notes properly tendered;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repurchased.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(c) Notwithstanding the foregoing, the Company shall not repurchase any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(d) The Company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provisions of any such securities laws or regulations conflict with the Change of Control Offer provisions of the Notes, the Company will comply with those securities laws and regulations and will not be deemed to have breached its obligations under the Change of Control Offer provisions of the Notes by virtue of any such conflict. </w:t>
      </w:r>
    </w:p>
    <w:p>
      <w:pPr>
        <w:pStyle w:val="TextBody"/>
        <w:bidi w:val="0"/>
        <w:spacing w:before="240" w:after="0"/>
        <w:jc w:val="left"/>
        <w:rPr>
          <w:rFonts w:ascii="Times New Roman" w:hAnsi="Times New Roman"/>
          <w:sz w:val="20"/>
        </w:rPr>
      </w:pPr>
      <w:r>
        <w:rPr>
          <w:rFonts w:ascii="Times New Roman" w:hAnsi="Times New Roman"/>
          <w:sz w:val="20"/>
        </w:rPr>
        <w:t>(e) If holders of not less than 90% in aggregate principal amount of the outstanding Notes of the applicable series validly tender and do not withdraw such Notes in a Change Of Control Offer and the Company, or any third party making such an offer in lieu of the Company, purchases all of the Notes validly tendered and not withdrawn by such holders, the Company or such third party will have the right, upon not less than 10 days nor more than 60 days’ prior notice, provided that such notice is given not more than 30 days following such repurchase pursuant to the Change Of Control Offer described above, to redeem all Notes that remain outstanding following such purchase on a date specified in such notice (the “</w:t>
      </w:r>
      <w:r>
        <w:rPr>
          <w:rFonts w:ascii="Times New Roman" w:hAnsi="Times New Roman"/>
          <w:b/>
          <w:sz w:val="20"/>
        </w:rPr>
        <w:t>Second Change Of Control Payment Date</w:t>
      </w:r>
      <w:r>
        <w:rPr>
          <w:rFonts w:ascii="Times New Roman" w:hAnsi="Times New Roman"/>
          <w:sz w:val="20"/>
        </w:rPr>
        <w:t xml:space="preserve">”) and at a price in cash equal to 101% of the aggregate principal amount of Notes repurchased plus any accrued and unpaid interest on the Notes repurchased to, but not including, the Second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(f) For the purposes of this Section 4.5 only, the following definitions shall apply: </w:t>
      </w:r>
    </w:p>
    <w:p>
      <w:pPr>
        <w:pStyle w:val="TextBody"/>
        <w:bidi w:val="0"/>
        <w:spacing w:before="120" w:after="0"/>
        <w:jc w:val="left"/>
        <w:rPr/>
      </w:pPr>
      <w:r>
        <w:rPr/>
        <w:t>“</w:t>
      </w:r>
      <w:r>
        <w:rPr>
          <w:rFonts w:ascii="Times New Roman" w:hAnsi="Times New Roman"/>
          <w:b/>
          <w:sz w:val="20"/>
        </w:rPr>
        <w:t>Beneficial Owner</w:t>
      </w:r>
      <w:r>
        <w:rPr>
          <w:rFonts w:ascii="Times New Roman" w:hAnsi="Times New Roman"/>
          <w:sz w:val="20"/>
        </w:rPr>
        <w:t xml:space="preserve">” shall be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Change of Control</w:t>
      </w:r>
      <w:r>
        <w:rPr>
          <w:rFonts w:ascii="Times New Roman" w:hAnsi="Times New Roman"/>
          <w:sz w:val="20"/>
        </w:rPr>
        <w:t xml:space="preserve">” means the occurrence of any of the following: (1) the consummation of any transaction (including, without limitation, any merger or consolidation) the result of which is that any Person or Group (other than the Company or one of its Subsidiaries) becomes the Beneficial Owner, directly or indirectly, of more than 50% of the Company’s Voting Stock or other Voting Stock into which the Company’s Voting Stock is reclassified, consolidated, exchanged or changed, measured by voting power rather than number of shares;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the Company’s assets and the assets of the Company’s Subsidiaries, taken as a whole, to one or more Persons or Groups (other than the Company or one of its Subsidiaries); </w:t>
      </w:r>
      <w:r>
        <w:rPr>
          <w:rFonts w:ascii="Times New Roman" w:hAnsi="Times New Roman"/>
          <w:i/>
          <w:sz w:val="20"/>
        </w:rPr>
        <w:t xml:space="preserve">provided </w:t>
      </w:r>
      <w:r>
        <w:rPr>
          <w:rFonts w:ascii="Times New Roman" w:hAnsi="Times New Roman"/>
          <w:sz w:val="20"/>
        </w:rPr>
        <w:t xml:space="preserve">that none of the circumstances in this clause (2) will be a Change of Control if the Persons that beneficially own the Company’s Voting Stock immediately prior to the transaction own, directly or indirectly, shares with a majority of the total voting power of all outstanding voting securities of the surviving or transferee Person that are entitled to vote generally in the election of that Person’s board of directors, managers or trustees immediately after the transaction; or (3) the adoption of a plan relating to the Company’s liquidation or dissolution. Notwithstanding the foregoing, a transaction will not be deemed to involve a Change of Control under clause (1) above if (i) the Company becomes a direct or indirect wholly-owned subsidiary of a holding company and (ii) (A) the direct or indirect holders of the Voting Stock of such holding company immediately following that transaction are substantially the same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w:t>
      </w:r>
    </w:p>
    <w:p>
      <w:pPr>
        <w:pStyle w:val="TextBody"/>
        <w:bidi w:val="0"/>
        <w:spacing w:before="240" w:after="0"/>
        <w:jc w:val="left"/>
        <w:rPr/>
      </w:pPr>
      <w:r>
        <w:rPr/>
        <w:t>“</w:t>
      </w:r>
      <w:r>
        <w:rPr>
          <w:rFonts w:ascii="Times New Roman" w:hAnsi="Times New Roman"/>
          <w:b/>
          <w:sz w:val="20"/>
        </w:rPr>
        <w:t>Change of Control Triggering Event</w:t>
      </w:r>
      <w:r>
        <w:rPr>
          <w:rFonts w:ascii="Times New Roman" w:hAnsi="Times New Roman"/>
          <w:sz w:val="20"/>
        </w:rPr>
        <w:t xml:space="preserve">” means the occurrence of both a Change of Control and a Rating Event.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has the meaning given by Section 13(d) and 14(d) of the Exchange Act or any successor provisions and includes any group acting for the purpose of acquiring, holding or disposing of securities within the meaning of Rule 13d-5(b)(1) under the Exchange Act or any successor provision. </w:t>
      </w:r>
    </w:p>
    <w:p>
      <w:pPr>
        <w:pStyle w:val="TextBody"/>
        <w:bidi w:val="0"/>
        <w:spacing w:before="240" w:after="0"/>
        <w:jc w:val="left"/>
        <w:rPr/>
      </w:pPr>
      <w:r>
        <w:rPr/>
        <w:t>“</w:t>
      </w:r>
      <w:r>
        <w:rPr>
          <w:rFonts w:ascii="Times New Roman" w:hAnsi="Times New Roman"/>
          <w:b/>
          <w:sz w:val="20"/>
        </w:rPr>
        <w:t>Investment Grade Rating</w:t>
      </w:r>
      <w:r>
        <w:rPr>
          <w:rFonts w:ascii="Times New Roman" w:hAnsi="Times New Roman"/>
          <w:sz w:val="20"/>
        </w:rPr>
        <w:t xml:space="preserve">” means a rating equal to or higher than Baa3 (or the equivalent) by Moody’s and BBB- (or the equivalent) by S&amp;P, and the equivalent investment grade credit rating from any additional Rating Agency or Rating Agencies selected by the Company.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and its successors.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has the meaning given by Section 13(d) and 14(d) of the Exchange Act or any successor provisions. </w:t>
      </w:r>
    </w:p>
    <w:p>
      <w:pPr>
        <w:pStyle w:val="TextBody"/>
        <w:bidi w:val="0"/>
        <w:spacing w:before="240" w:after="0"/>
        <w:jc w:val="left"/>
        <w:rPr/>
      </w:pPr>
      <w:r>
        <w:rPr/>
        <w:t>“</w:t>
      </w:r>
      <w:r>
        <w:rPr>
          <w:rFonts w:ascii="Times New Roman" w:hAnsi="Times New Roman"/>
          <w:b/>
          <w:sz w:val="20"/>
        </w:rPr>
        <w:t>Rating Agencies</w:t>
      </w:r>
      <w:r>
        <w:rPr>
          <w:rFonts w:ascii="Times New Roman" w:hAnsi="Times New Roman"/>
          <w:sz w:val="20"/>
        </w:rPr>
        <w:t xml:space="preserve">” means (1) each of Moody’s and S&amp;P; and (2) if either Moody’s or S&amp;P ceases to rate the Notes or fails to make a rating of the Notes publicly available for reasons outside of the Company’s control, a “nationally recognized statistical rating organization” within the meaning of Section 3(a)(62) of the Exchange Act selected by the Company (as certified by a resolution of the Board of Directors) as a replacement agency for Moody’s or S&amp;P, or both of them, as the case may be. </w:t>
      </w:r>
    </w:p>
    <w:p>
      <w:pPr>
        <w:pStyle w:val="TextBody"/>
        <w:bidi w:val="0"/>
        <w:spacing w:before="240" w:after="0"/>
        <w:jc w:val="left"/>
        <w:rPr/>
      </w:pPr>
      <w:r>
        <w:rPr/>
        <w:t>“</w:t>
      </w:r>
      <w:r>
        <w:rPr>
          <w:rFonts w:ascii="Times New Roman" w:hAnsi="Times New Roman"/>
          <w:b/>
          <w:sz w:val="20"/>
        </w:rPr>
        <w:t>Rating Event</w:t>
      </w:r>
      <w:r>
        <w:rPr>
          <w:rFonts w:ascii="Times New Roman" w:hAnsi="Times New Roman"/>
          <w:sz w:val="20"/>
        </w:rPr>
        <w:t xml:space="preserve">” means the rating on the applicable series of Notes is lowered by both of the Rating Agencies and the applicable series of Notes is rated below an Investment Grade Rating by both of the Rating Agencies on any day during the period commencing 60 days prior to the first public notice of the occurrence of a Change of Control or the Company’s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Standard &amp; Poor’s Rating Services, a division of The McGraw-Hill Companies, Inc., and its successors. </w:t>
      </w:r>
    </w:p>
    <w:p>
      <w:pPr>
        <w:pStyle w:val="TextBody"/>
        <w:bidi w:val="0"/>
        <w:spacing w:before="240" w:after="0"/>
        <w:jc w:val="left"/>
        <w:rPr/>
      </w:pPr>
      <w:r>
        <w:rPr/>
        <w:t>“</w:t>
      </w:r>
      <w:r>
        <w:rPr>
          <w:rFonts w:ascii="Times New Roman" w:hAnsi="Times New Roman"/>
          <w:b/>
          <w:sz w:val="20"/>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 </w:t>
      </w:r>
    </w:p>
    <w:p>
      <w:pPr>
        <w:pStyle w:val="TextBody"/>
        <w:bidi w:val="0"/>
        <w:spacing w:before="240" w:after="0"/>
        <w:jc w:val="left"/>
        <w:rPr>
          <w:rFonts w:ascii="Times New Roman" w:hAnsi="Times New Roman"/>
          <w:sz w:val="20"/>
        </w:rPr>
      </w:pPr>
      <w:r>
        <w:rPr>
          <w:rFonts w:ascii="Times New Roman" w:hAnsi="Times New Roman"/>
          <w:sz w:val="20"/>
        </w:rPr>
        <w:t xml:space="preserve">Section 4.6 </w:t>
      </w:r>
      <w:r>
        <w:rPr>
          <w:rFonts w:ascii="Times New Roman" w:hAnsi="Times New Roman"/>
          <w:b/>
          <w:sz w:val="20"/>
        </w:rPr>
        <w:t>Limitation on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 nor shall it permit any of its Subsidiaries to, create or incur any Lien on any of their respective Properties, whether now owned or hereafter acquired, or upon any income or profits therefrom, in order to secure any Indebtedness of the Company, without effectively providing that each series of the Notes shall be equally and ratably secured until such time as such Indebtedness is no longer secured by such Lien, except: </w:t>
      </w:r>
    </w:p>
    <w:p>
      <w:pPr>
        <w:pStyle w:val="TextBody"/>
        <w:bidi w:val="0"/>
        <w:spacing w:before="120" w:after="0"/>
        <w:jc w:val="left"/>
        <w:rPr>
          <w:rFonts w:ascii="Times New Roman" w:hAnsi="Times New Roman"/>
          <w:sz w:val="20"/>
        </w:rPr>
      </w:pPr>
      <w:r>
        <w:rPr>
          <w:rFonts w:ascii="Times New Roman" w:hAnsi="Times New Roman"/>
          <w:sz w:val="20"/>
        </w:rPr>
        <w:t xml:space="preserve">(1) Liens existing as of the First Issue Date; </w:t>
      </w:r>
    </w:p>
    <w:p>
      <w:pPr>
        <w:pStyle w:val="TextBody"/>
        <w:bidi w:val="0"/>
        <w:spacing w:before="240" w:after="0"/>
        <w:jc w:val="left"/>
        <w:rPr>
          <w:rFonts w:ascii="Times New Roman" w:hAnsi="Times New Roman"/>
          <w:sz w:val="20"/>
        </w:rPr>
      </w:pPr>
      <w:r>
        <w:rPr>
          <w:rFonts w:ascii="Times New Roman" w:hAnsi="Times New Roman"/>
          <w:sz w:val="20"/>
        </w:rPr>
        <w:t xml:space="preserve">(2) Liens granted after the First Issue Date on any of the Company or any of its Subsidiaries’ Properties securing Indebtedness of the Company created in favor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(3) Liens securing Indebtedness of the Company which are incurred to extend, renew or refinance Indebtedness which is secured by Liens permitted to be incurred under the Indenture; </w:t>
      </w:r>
      <w:r>
        <w:rPr>
          <w:rFonts w:ascii="Times New Roman" w:hAnsi="Times New Roman"/>
          <w:i/>
          <w:sz w:val="20"/>
        </w:rPr>
        <w:t xml:space="preserve">provided </w:t>
      </w:r>
      <w:r>
        <w:rPr>
          <w:rFonts w:ascii="Times New Roman" w:hAnsi="Times New Roman"/>
          <w:sz w:val="20"/>
        </w:rPr>
        <w:t xml:space="preserve">that those Liens do not extend to or cover any of the Company or any of its Subsidiaries’ Property other than the Property securing the Indebtedness being refinanced and that the principal amount of such Indebtedness does not exceed the principal amount of the Indebtedness being refinanced;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Liens created in substitution of or as replacements for any Liens permitted by the preceding clauses (1) through (3) directly above, </w:t>
      </w:r>
      <w:r>
        <w:rPr>
          <w:rFonts w:ascii="Times New Roman" w:hAnsi="Times New Roman"/>
          <w:i/>
          <w:sz w:val="20"/>
        </w:rPr>
        <w:t xml:space="preserve">provided </w:t>
      </w:r>
      <w:r>
        <w:rPr>
          <w:rFonts w:ascii="Times New Roman" w:hAnsi="Times New Roman"/>
          <w:sz w:val="20"/>
        </w:rPr>
        <w:t xml:space="preserve">that, based on a good faith determination of an Officer of the Company, the Property encumbered under any such substitute or replacement Lien is substantially similar in nature to the Property encumbered by the otherwise permitted Lien which is being replaced; and </w:t>
      </w:r>
    </w:p>
    <w:p>
      <w:pPr>
        <w:pStyle w:val="TextBody"/>
        <w:bidi w:val="0"/>
        <w:spacing w:before="240" w:after="0"/>
        <w:jc w:val="left"/>
        <w:rPr>
          <w:rFonts w:ascii="Times New Roman" w:hAnsi="Times New Roman"/>
          <w:sz w:val="20"/>
        </w:rPr>
      </w:pPr>
      <w:r>
        <w:rPr>
          <w:rFonts w:ascii="Times New Roman" w:hAnsi="Times New Roman"/>
          <w:sz w:val="20"/>
        </w:rPr>
        <w:t xml:space="preserve">(5)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Company and any of its Subsidiaries may, without securing any series of Notes, create or incur Liens which would otherwise be subject to the restrictions set forth in the preceding paragraph, if after giving effect thereto, Exempted Debt does not exceed the greater of (x) 35% of Consolidated Net Worth calculated as of the date of the creation or incurrence of the Lien or (y) 35% of Consolidated Net Worth calculated as of the First Issue Date. </w:t>
      </w:r>
    </w:p>
    <w:p>
      <w:pPr>
        <w:pStyle w:val="TextBody"/>
        <w:bidi w:val="0"/>
        <w:spacing w:before="240" w:after="0"/>
        <w:jc w:val="left"/>
        <w:rPr>
          <w:rFonts w:ascii="Times New Roman" w:hAnsi="Times New Roman"/>
          <w:sz w:val="20"/>
        </w:rPr>
      </w:pPr>
      <w:r>
        <w:rPr>
          <w:rFonts w:ascii="Times New Roman" w:hAnsi="Times New Roman"/>
          <w:sz w:val="20"/>
        </w:rPr>
        <w:t xml:space="preserve">Section 4.7 </w:t>
      </w:r>
      <w:r>
        <w:rPr>
          <w:rFonts w:ascii="Times New Roman" w:hAnsi="Times New Roman"/>
          <w:b/>
          <w:sz w:val="20"/>
        </w:rPr>
        <w:t>Limitation on Sale and Lease-Back Transactions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not and shall not permit any of its Subsidiaries to, enter into any sale and lease-back transaction for the sale and leasing back of any Property, whether now owned or hereafter acquired, of the Company or any Subsidiary of the Company, unless: </w:t>
      </w:r>
    </w:p>
    <w:p>
      <w:pPr>
        <w:pStyle w:val="TextBody"/>
        <w:bidi w:val="0"/>
        <w:spacing w:before="120" w:after="0"/>
        <w:jc w:val="left"/>
        <w:rPr>
          <w:rFonts w:ascii="Times New Roman" w:hAnsi="Times New Roman"/>
          <w:sz w:val="20"/>
        </w:rPr>
      </w:pPr>
      <w:r>
        <w:rPr>
          <w:rFonts w:ascii="Times New Roman" w:hAnsi="Times New Roman"/>
          <w:sz w:val="20"/>
        </w:rPr>
        <w:t xml:space="preserve">(1) such transaction was entered into prior to the First Issue Date; </w:t>
      </w:r>
    </w:p>
    <w:p>
      <w:pPr>
        <w:pStyle w:val="TextBody"/>
        <w:bidi w:val="0"/>
        <w:spacing w:before="240" w:after="0"/>
        <w:jc w:val="left"/>
        <w:rPr>
          <w:rFonts w:ascii="Times New Roman" w:hAnsi="Times New Roman"/>
          <w:sz w:val="20"/>
        </w:rPr>
      </w:pPr>
      <w:r>
        <w:rPr>
          <w:rFonts w:ascii="Times New Roman" w:hAnsi="Times New Roman"/>
          <w:sz w:val="20"/>
        </w:rPr>
        <w:t xml:space="preserve">(2) such transaction was for the sale and leasing back of any Property by a Subsidiary of the Company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(3) such transaction involves a lease for less than three years; </w:t>
      </w:r>
    </w:p>
    <w:p>
      <w:pPr>
        <w:pStyle w:val="TextBody"/>
        <w:bidi w:val="0"/>
        <w:spacing w:before="240" w:after="0"/>
        <w:jc w:val="left"/>
        <w:rPr>
          <w:rFonts w:ascii="Times New Roman" w:hAnsi="Times New Roman"/>
          <w:sz w:val="20"/>
        </w:rPr>
      </w:pPr>
      <w:r>
        <w:rPr>
          <w:rFonts w:ascii="Times New Roman" w:hAnsi="Times New Roman"/>
          <w:sz w:val="20"/>
        </w:rPr>
        <w:t xml:space="preserve">(4) the Company would be entitled to incur Indebtedness secured by a mortgage on the property to be leased in an amount equal to the Attributable Liens with respect to such sale and lease-back transaction without equally and ratably securing the Notes pursuant to Section 4.6; or </w:t>
      </w:r>
    </w:p>
    <w:p>
      <w:pPr>
        <w:pStyle w:val="TextBody"/>
        <w:bidi w:val="0"/>
        <w:spacing w:before="240" w:after="0"/>
        <w:jc w:val="left"/>
        <w:rPr>
          <w:rFonts w:ascii="Times New Roman" w:hAnsi="Times New Roman"/>
          <w:sz w:val="20"/>
        </w:rPr>
      </w:pPr>
      <w:r>
        <w:rPr>
          <w:rFonts w:ascii="Times New Roman" w:hAnsi="Times New Roman"/>
          <w:sz w:val="20"/>
        </w:rPr>
        <w:t xml:space="preserve">(5) the Company applies an amount equal to the fair value of the proceeds of the Property sold to the purchase of Property or to the retirement of long-term Indebtedness of the Company or any of its Subsidiaries within 120 days of the effective date of any such sale and lease-back transaction. In lieu of applying such amount to such retirement, the Company may, or may cause any of its Subsidiaries to, deliver debt securities to the Trustee therefor for cancellation, such debt securities to be credited at the cost thereof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Company and any of its Subsidiaries may enter into any sale and lease-back transaction which would otherwise be subject to the foregoing restrictions if after giving effect thereto and at the time of determination, Exempted Debt does not exceed the greater of (a) 35% of Consolidated Net Worth calculated as of the closing date of the sale and lease-back transaction or (b) 35% of Consolidated Net Worth calculated as of the First Issue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In addition to the definitions set forth in Article I of the Indenture, each of the Notes shall include the following additional definitions, which, in the event of a conflict with the definition of terms in the Indenture, shall control: </w:t>
      </w:r>
    </w:p>
    <w:p>
      <w:pPr>
        <w:pStyle w:val="TextBody"/>
        <w:bidi w:val="0"/>
        <w:spacing w:before="120" w:after="0"/>
        <w:jc w:val="left"/>
        <w:rPr/>
      </w:pPr>
      <w:r>
        <w:rPr/>
        <w:t>“</w:t>
      </w:r>
      <w:r>
        <w:rPr>
          <w:rFonts w:ascii="Times New Roman" w:hAnsi="Times New Roman"/>
          <w:b/>
          <w:sz w:val="20"/>
        </w:rPr>
        <w:t>Attributable Liens</w:t>
      </w:r>
      <w:r>
        <w:rPr>
          <w:rFonts w:ascii="Times New Roman" w:hAnsi="Times New Roman"/>
          <w:sz w:val="20"/>
        </w:rPr>
        <w:t xml:space="preserve">” means in connection with a sale and lease-back transaction the lesser of: </w:t>
      </w:r>
    </w:p>
    <w:p>
      <w:pPr>
        <w:pStyle w:val="TextBody"/>
        <w:bidi w:val="0"/>
        <w:spacing w:before="120" w:after="0"/>
        <w:jc w:val="left"/>
        <w:rPr>
          <w:rFonts w:ascii="Times New Roman" w:hAnsi="Times New Roman"/>
          <w:sz w:val="20"/>
        </w:rPr>
      </w:pPr>
      <w:r>
        <w:rPr>
          <w:rFonts w:ascii="Times New Roman" w:hAnsi="Times New Roman"/>
          <w:sz w:val="20"/>
        </w:rPr>
        <w:t xml:space="preserve">(1) the fair market value of the assets subject to such transaction; and </w:t>
      </w:r>
    </w:p>
    <w:p>
      <w:pPr>
        <w:pStyle w:val="TextBody"/>
        <w:bidi w:val="0"/>
        <w:spacing w:before="240" w:after="0"/>
        <w:jc w:val="left"/>
        <w:rPr>
          <w:rFonts w:ascii="Times New Roman" w:hAnsi="Times New Roman"/>
          <w:sz w:val="20"/>
        </w:rPr>
      </w:pPr>
      <w:r>
        <w:rPr>
          <w:rFonts w:ascii="Times New Roman" w:hAnsi="Times New Roman"/>
          <w:sz w:val="20"/>
        </w:rPr>
        <w:t xml:space="preserve">(2) the present value (discounted at a rate per annum equal to the average interest borne by all outstanding debt securities issued under the Indenture (which may include debt securities in addition to the Notes) determined on a weighted average basis and compounded semi-annually) of the obligations of the lessee for rental payments during the term of the related lease.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any day except a Saturday, Sunday or a legal holiday in the City of New York, New York (or in connection with any payment, the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b/>
          <w:sz w:val="20"/>
        </w:rPr>
        <w:t>Consolidated Net Worth</w:t>
      </w:r>
      <w:r>
        <w:rPr>
          <w:rFonts w:ascii="Times New Roman" w:hAnsi="Times New Roman"/>
          <w:sz w:val="20"/>
        </w:rPr>
        <w:t xml:space="preserve">” means, as of any date of determination, the Stockholders’ Equity of the Company and its Consolidated Subsidiaries on that date. </w:t>
      </w:r>
    </w:p>
    <w:p>
      <w:pPr>
        <w:pStyle w:val="TextBody"/>
        <w:bidi w:val="0"/>
        <w:spacing w:before="240" w:after="0"/>
        <w:jc w:val="left"/>
        <w:rPr/>
      </w:pPr>
      <w:r>
        <w:rPr/>
        <w:t>“</w:t>
      </w:r>
      <w:r>
        <w:rPr>
          <w:rFonts w:ascii="Times New Roman" w:hAnsi="Times New Roman"/>
          <w:b/>
          <w:sz w:val="20"/>
        </w:rPr>
        <w:t>Consolidated Subsidiary</w:t>
      </w:r>
      <w:r>
        <w:rPr>
          <w:rFonts w:ascii="Times New Roman" w:hAnsi="Times New Roman"/>
          <w:sz w:val="20"/>
        </w:rPr>
        <w:t xml:space="preserve">” means, as of any date of determination and with respect to any Person, any Subsidiary of that Person whose financial data is, in accordance with GAAP, reflected in that Person’s consolidated financial statements. </w:t>
      </w:r>
    </w:p>
    <w:p>
      <w:pPr>
        <w:pStyle w:val="TextBody"/>
        <w:bidi w:val="0"/>
        <w:spacing w:before="240" w:after="0"/>
        <w:jc w:val="left"/>
        <w:rPr/>
      </w:pPr>
      <w:r>
        <w:rPr/>
        <w:t>“</w:t>
      </w:r>
      <w:r>
        <w:rPr>
          <w:rFonts w:ascii="Times New Roman" w:hAnsi="Times New Roman"/>
          <w:b/>
          <w:sz w:val="20"/>
        </w:rPr>
        <w:t>Credit Facilities</w:t>
      </w:r>
      <w:r>
        <w:rPr>
          <w:rFonts w:ascii="Times New Roman" w:hAnsi="Times New Roman"/>
          <w:sz w:val="20"/>
        </w:rPr>
        <w:t xml:space="preserve">” means, one or more debt facilities (including, without limitation, the Revolving Credit Agreement and the Term Loan Credit Agreement)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in each case, as amended, restated, modified, renewed, refunded, replaced (whether upon or after termination or otherwise) or refinanced (including by means of sales of debt securities to institutional investors) in whole or in part from time to time. </w:t>
      </w:r>
    </w:p>
    <w:p>
      <w:pPr>
        <w:pStyle w:val="TextBody"/>
        <w:bidi w:val="0"/>
        <w:spacing w:before="240" w:after="0"/>
        <w:jc w:val="left"/>
        <w:rPr/>
      </w:pPr>
      <w:r>
        <w:rPr/>
        <w:t>“</w:t>
      </w:r>
      <w:r>
        <w:rPr>
          <w:rFonts w:ascii="Times New Roman" w:hAnsi="Times New Roman"/>
          <w:b/>
          <w:sz w:val="20"/>
        </w:rPr>
        <w:t>Exempted Debt</w:t>
      </w:r>
      <w:r>
        <w:rPr>
          <w:rFonts w:ascii="Times New Roman" w:hAnsi="Times New Roman"/>
          <w:sz w:val="20"/>
        </w:rPr>
        <w:t xml:space="preserve">” means the sum of the following as of the date of determination: </w:t>
      </w:r>
    </w:p>
    <w:p>
      <w:pPr>
        <w:pStyle w:val="TextBody"/>
        <w:bidi w:val="0"/>
        <w:spacing w:before="120" w:after="0"/>
        <w:jc w:val="left"/>
        <w:rPr>
          <w:rFonts w:ascii="Times New Roman" w:hAnsi="Times New Roman"/>
          <w:sz w:val="20"/>
        </w:rPr>
      </w:pPr>
      <w:r>
        <w:rPr>
          <w:rFonts w:ascii="Times New Roman" w:hAnsi="Times New Roman"/>
          <w:sz w:val="20"/>
        </w:rPr>
        <w:t xml:space="preserve">(1) Indebtedness of the Company incurred after the First Issue Date and secured by Liens not permitted by Section 4.6(a) above; and </w:t>
      </w:r>
    </w:p>
    <w:p>
      <w:pPr>
        <w:pStyle w:val="TextBody"/>
        <w:bidi w:val="0"/>
        <w:spacing w:before="240" w:after="0"/>
        <w:jc w:val="left"/>
        <w:rPr>
          <w:rFonts w:ascii="Times New Roman" w:hAnsi="Times New Roman"/>
          <w:sz w:val="20"/>
        </w:rPr>
      </w:pPr>
      <w:r>
        <w:rPr>
          <w:rFonts w:ascii="Times New Roman" w:hAnsi="Times New Roman"/>
          <w:sz w:val="20"/>
        </w:rPr>
        <w:t xml:space="preserve">(2) Attributable Liens of the Company and any of its Subsidiaries in respect of sale and lease-back transactions entered into after the First Issue Date pursuant to Section 4.7(b) above. </w:t>
      </w:r>
    </w:p>
    <w:p>
      <w:pPr>
        <w:pStyle w:val="TextBody"/>
        <w:bidi w:val="0"/>
        <w:spacing w:before="240" w:after="0"/>
        <w:jc w:val="left"/>
        <w:rPr/>
      </w:pPr>
      <w:r>
        <w:rPr/>
        <w:t>“</w:t>
      </w:r>
      <w:r>
        <w:rPr>
          <w:rFonts w:ascii="Times New Roman" w:hAnsi="Times New Roman"/>
          <w:b/>
          <w:sz w:val="20"/>
        </w:rPr>
        <w:t>Finance Lease</w:t>
      </w:r>
      <w:r>
        <w:rPr>
          <w:rFonts w:ascii="Times New Roman" w:hAnsi="Times New Roman"/>
          <w:sz w:val="20"/>
        </w:rPr>
        <w:t xml:space="preserve">” means, as to any Person, a lease of any Property by that Person as lessee that is, or should be recorded as a “finance lease” on the balance sheet of that Person prepared in accordance with GAAP. </w:t>
      </w:r>
    </w:p>
    <w:p>
      <w:pPr>
        <w:pStyle w:val="TextBody"/>
        <w:bidi w:val="0"/>
        <w:spacing w:before="240" w:after="0"/>
        <w:jc w:val="left"/>
        <w:rPr/>
      </w:pPr>
      <w:r>
        <w:rPr/>
        <w:t>“</w:t>
      </w:r>
      <w:r>
        <w:rPr>
          <w:rFonts w:ascii="Times New Roman" w:hAnsi="Times New Roman"/>
          <w:b/>
          <w:sz w:val="20"/>
        </w:rPr>
        <w:t xml:space="preserve">First Issue Date” </w:t>
      </w:r>
      <w:r>
        <w:rPr>
          <w:rFonts w:ascii="Times New Roman" w:hAnsi="Times New Roman"/>
          <w:sz w:val="20"/>
        </w:rPr>
        <w:t xml:space="preserve">means February 19,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GAAP</w:t>
      </w:r>
      <w:r>
        <w:rPr>
          <w:rFonts w:ascii="Times New Roman" w:hAnsi="Times New Roman"/>
          <w:sz w:val="20"/>
        </w:rPr>
        <w:t xml:space="preserve">” means accounting principles generally accepted in the United States set forth in the Accounting Standards Codification of the Financial Accounting Standards Board or in such other documents by such other entity as have been approved by a significant segment of the accounting profession, which are in effect as of the date of determination. </w:t>
      </w:r>
    </w:p>
    <w:p>
      <w:pPr>
        <w:pStyle w:val="TextBody"/>
        <w:bidi w:val="0"/>
        <w:spacing w:before="240" w:after="0"/>
        <w:jc w:val="left"/>
        <w:rPr/>
      </w:pPr>
      <w:r>
        <w:rPr/>
        <w:t>“</w:t>
      </w:r>
      <w:r>
        <w:rPr>
          <w:rFonts w:ascii="Times New Roman" w:hAnsi="Times New Roman"/>
          <w:sz w:val="20"/>
        </w:rPr>
        <w:t xml:space="preserve">Governmental Agency” means: </w:t>
      </w:r>
    </w:p>
    <w:p>
      <w:pPr>
        <w:pStyle w:val="TextBody"/>
        <w:bidi w:val="0"/>
        <w:spacing w:before="120" w:after="0"/>
        <w:jc w:val="left"/>
        <w:rPr>
          <w:rFonts w:ascii="Times New Roman" w:hAnsi="Times New Roman"/>
          <w:sz w:val="20"/>
        </w:rPr>
      </w:pPr>
      <w:r>
        <w:rPr>
          <w:rFonts w:ascii="Times New Roman" w:hAnsi="Times New Roman"/>
          <w:sz w:val="20"/>
        </w:rPr>
        <w:t xml:space="preserve">(1) any foreign, federal, state, county or municipal government, or political subdivision thereof; </w:t>
      </w:r>
    </w:p>
    <w:p>
      <w:pPr>
        <w:pStyle w:val="TextBody"/>
        <w:bidi w:val="0"/>
        <w:spacing w:before="240" w:after="0"/>
        <w:jc w:val="left"/>
        <w:rPr>
          <w:rFonts w:ascii="Times New Roman" w:hAnsi="Times New Roman"/>
          <w:sz w:val="20"/>
        </w:rPr>
      </w:pPr>
      <w:r>
        <w:rPr>
          <w:rFonts w:ascii="Times New Roman" w:hAnsi="Times New Roman"/>
          <w:sz w:val="20"/>
        </w:rPr>
        <w:t xml:space="preserve">(2) any governmental or quasi-governmental agency, authority, board, bureau, commission, department, instrumentality or public body; </w:t>
      </w:r>
    </w:p>
    <w:p>
      <w:pPr>
        <w:pStyle w:val="TextBody"/>
        <w:bidi w:val="0"/>
        <w:spacing w:before="240" w:after="0"/>
        <w:jc w:val="left"/>
        <w:rPr>
          <w:rFonts w:ascii="Times New Roman" w:hAnsi="Times New Roman"/>
          <w:sz w:val="20"/>
        </w:rPr>
      </w:pPr>
      <w:r>
        <w:rPr>
          <w:rFonts w:ascii="Times New Roman" w:hAnsi="Times New Roman"/>
          <w:sz w:val="20"/>
        </w:rPr>
        <w:t xml:space="preserve">(3) any court or administrative tribunal; and </w:t>
      </w:r>
    </w:p>
    <w:p>
      <w:pPr>
        <w:pStyle w:val="TextBody"/>
        <w:bidi w:val="0"/>
        <w:spacing w:before="240" w:after="0"/>
        <w:jc w:val="left"/>
        <w:rPr>
          <w:rFonts w:ascii="Times New Roman" w:hAnsi="Times New Roman"/>
          <w:sz w:val="20"/>
        </w:rPr>
      </w:pPr>
      <w:r>
        <w:rPr>
          <w:rFonts w:ascii="Times New Roman" w:hAnsi="Times New Roman"/>
          <w:sz w:val="20"/>
        </w:rPr>
        <w:t xml:space="preserve">(4) with respect to any Person, any arbitration tribunal or other nongovernmental authority to whose jurisdiction that Person has consented. </w:t>
      </w:r>
    </w:p>
    <w:p>
      <w:pPr>
        <w:pStyle w:val="TextBody"/>
        <w:bidi w:val="0"/>
        <w:spacing w:before="240" w:after="0"/>
        <w:jc w:val="left"/>
        <w:rPr/>
      </w:pPr>
      <w:r>
        <w:rPr/>
        <w:t>“</w:t>
      </w:r>
      <w:r>
        <w:rPr>
          <w:rFonts w:ascii="Times New Roman" w:hAnsi="Times New Roman"/>
          <w:b/>
          <w:sz w:val="20"/>
        </w:rPr>
        <w:t>Hedging Obligations</w:t>
      </w:r>
      <w:r>
        <w:rPr>
          <w:rFonts w:ascii="Times New Roman" w:hAnsi="Times New Roman"/>
          <w:sz w:val="20"/>
        </w:rPr>
        <w:t xml:space="preserve">” means, with respect to any specified Person, the obligations of such Person under: </w:t>
      </w:r>
    </w:p>
    <w:p>
      <w:pPr>
        <w:pStyle w:val="TextBody"/>
        <w:bidi w:val="0"/>
        <w:spacing w:before="120" w:after="0"/>
        <w:jc w:val="left"/>
        <w:rPr>
          <w:rFonts w:ascii="Times New Roman" w:hAnsi="Times New Roman"/>
          <w:sz w:val="20"/>
        </w:rPr>
      </w:pPr>
      <w:r>
        <w:rPr>
          <w:rFonts w:ascii="Times New Roman" w:hAnsi="Times New Roman"/>
          <w:sz w:val="20"/>
        </w:rPr>
        <w:t xml:space="preserve">(1) interest rate swap agreements (whether from fixed to floating or from floating to fixed), interest rate cap agreements and interest rate collar agreements; </w:t>
      </w:r>
    </w:p>
    <w:p>
      <w:pPr>
        <w:pStyle w:val="TextBody"/>
        <w:bidi w:val="0"/>
        <w:spacing w:before="240" w:after="0"/>
        <w:jc w:val="left"/>
        <w:rPr>
          <w:rFonts w:ascii="Times New Roman" w:hAnsi="Times New Roman"/>
          <w:sz w:val="20"/>
        </w:rPr>
      </w:pPr>
      <w:r>
        <w:rPr>
          <w:rFonts w:ascii="Times New Roman" w:hAnsi="Times New Roman"/>
          <w:sz w:val="20"/>
        </w:rPr>
        <w:t xml:space="preserve">(2) other agreements or arrangements designed to manage interest rates or interest rate risk; and </w:t>
      </w:r>
    </w:p>
    <w:p>
      <w:pPr>
        <w:pStyle w:val="TextBody"/>
        <w:bidi w:val="0"/>
        <w:spacing w:before="240" w:after="0"/>
        <w:jc w:val="left"/>
        <w:rPr>
          <w:rFonts w:ascii="Times New Roman" w:hAnsi="Times New Roman"/>
          <w:sz w:val="20"/>
        </w:rPr>
      </w:pPr>
      <w:r>
        <w:rPr>
          <w:rFonts w:ascii="Times New Roman" w:hAnsi="Times New Roman"/>
          <w:sz w:val="20"/>
        </w:rPr>
        <w:t xml:space="preserve">(3) other agreements or arrangements designed to protect such Person against fluctuations in currency exchange rates or commodity prices.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of any Person means, without duplication, any indebtedness, whether or not contingent, in respect of borrowed money or evidenced by bonds, notes, debentures or similar instruments or letters of credit (or reimbursement agreements with respect thereto) or representing the balance deferred and unpaid of the purchase price of any Property (including pursuant to Finance Leases), except any such balance that constitutes an accrued expense or trade payable, if and to the extent any of the foregoing indebtedness would appear as a liability upon a balance sheet of such Person prepared on a consolidated basis in accordance with GAAP (but does not include contingent liabilities which appear only in a footnote to a balance sheet), and shall also include, to the extent not otherwise included, the guaranty of items which would be included within this definition. </w:t>
      </w:r>
    </w:p>
    <w:p>
      <w:pPr>
        <w:pStyle w:val="TextBody"/>
        <w:bidi w:val="0"/>
        <w:spacing w:before="240" w:after="0"/>
        <w:jc w:val="left"/>
        <w:rPr/>
      </w:pPr>
      <w:r>
        <w:rPr/>
        <w:t>“</w:t>
      </w:r>
      <w:r>
        <w:rPr>
          <w:rFonts w:ascii="Times New Roman" w:hAnsi="Times New Roman"/>
          <w:b/>
          <w:sz w:val="20"/>
        </w:rPr>
        <w:t>Laws</w:t>
      </w:r>
      <w:r>
        <w:rPr>
          <w:rFonts w:ascii="Times New Roman" w:hAnsi="Times New Roman"/>
          <w:sz w:val="20"/>
        </w:rPr>
        <w:t xml:space="preserve">” means, collectively, all foreign, federal, state and local statutes, treaties, rules, regulations, ordinances, codes and administrative or controlling precedents of any Governmental Agency.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means any lien, security interest, charge or encumbrance of any kind (including any conditional sale or other title retention agreement, any lease in the nature thereof, and any agreement to give any security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Make-Whole Amount</w:t>
      </w:r>
      <w:r>
        <w:rPr>
          <w:rFonts w:ascii="Times New Roman" w:hAnsi="Times New Roman"/>
          <w:sz w:val="20"/>
        </w:rPr>
        <w:t xml:space="preserve">” means the excess of (1) the net present value, on the redemption date, of the principal being redeemed or paid and the amount of interest (exclusive of interest accrued to the date of redemption) that would have been payable if such redemption had not been made (calculated as if the maturity date of such series of Notes was the par call date relating to such series of Notes, to the extent applicable), over (2) the aggregate principal amount of such series of Notes being redeemed or paid. Net present value shall be determined by discounting, on a semi-annual basis, such principal and interest at the Reinvestment Rate (as defined below and as determined on the third Business Day preceding the date of redemption) from the respective dates on which such principal and interest would have been payable if such redemption had not been made.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Liens securing Indebtedness under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(2) Liens on accounts receivable, merchandise inventory, equipment, and patents, trademarks, trade names and other intangibles, securing Indebtedness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 Liens on any assets of the Company, any of its Subsidiaries’ assets, or the assets of any joint venture to which the Company or any of its Subsidiaries is a party,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(4) (a) Liens given to secure the payment of the purchase price incurred in connection with the acquisition (including acquisition through merger or consolidation) of Property (including shares of stock), including Finance Lease transactions in connection with any such acquisition, and (b) Liens existing on Property at the time of acquisition thereof or at the time of acquisition by the Company or one of its Subsidiaries of any Person then owning such Property whether or not such existing Liens were given to secure the payment of the purchase price of the Property to which they attach; </w:t>
      </w:r>
      <w:r>
        <w:rPr>
          <w:rFonts w:ascii="Times New Roman" w:hAnsi="Times New Roman"/>
          <w:i/>
          <w:sz w:val="20"/>
        </w:rPr>
        <w:t xml:space="preserve">provided </w:t>
      </w:r>
      <w:r>
        <w:rPr>
          <w:rFonts w:ascii="Times New Roman" w:hAnsi="Times New Roman"/>
          <w:sz w:val="20"/>
        </w:rPr>
        <w:t xml:space="preserve">that, with respect to clause (a), the Liens shall be given within 24 months after such acquisition and shall attach solely to the Property acquired or purchased and any improvements then or thereafter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(5) Liens in favor of customs and revenue authorities arising as a matter of law to secure payment of customs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(6) Liens upon specific items of inventory or other goods and proceeds of any Person securing such Person’s obligations in respect of bankers’ acceptances issued or created for the account of such Person to facilitate the purchase, shipment or storage of such inventory or other goods; </w:t>
      </w:r>
    </w:p>
    <w:p>
      <w:pPr>
        <w:pStyle w:val="TextBody"/>
        <w:bidi w:val="0"/>
        <w:spacing w:before="240" w:after="0"/>
        <w:jc w:val="left"/>
        <w:rPr>
          <w:rFonts w:ascii="Times New Roman" w:hAnsi="Times New Roman"/>
          <w:sz w:val="20"/>
        </w:rPr>
      </w:pPr>
      <w:r>
        <w:rPr>
          <w:rFonts w:ascii="Times New Roman" w:hAnsi="Times New Roman"/>
          <w:sz w:val="20"/>
        </w:rPr>
        <w:t xml:space="preserve">(7) Liens securing reimbursement obligations with respect to letters of credit that encumber documents and other Property relating to such letters of credit and the products and proceeds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Liens on key-man life insurance policies granted to secure Indebtedness of the Company against the cash surrender value thereof; </w:t>
      </w:r>
    </w:p>
    <w:p>
      <w:pPr>
        <w:pStyle w:val="TextBody"/>
        <w:bidi w:val="0"/>
        <w:spacing w:before="240" w:after="0"/>
        <w:jc w:val="left"/>
        <w:rPr>
          <w:rFonts w:ascii="Times New Roman" w:hAnsi="Times New Roman"/>
          <w:sz w:val="20"/>
        </w:rPr>
      </w:pPr>
      <w:r>
        <w:rPr>
          <w:rFonts w:ascii="Times New Roman" w:hAnsi="Times New Roman"/>
          <w:sz w:val="20"/>
        </w:rPr>
        <w:t xml:space="preserve">(9) Liens encumbering customary initial deposits and margin deposits and other Liens in the ordinary course of business, in each case securing Hedging Obligations and forward contract, option, futures contracts, futures options or similar agreements or arrangements designed to protect the Company or any of its Subsidiaries from fluctuations in interest rates, currencies or the price of commodities; </w:t>
      </w:r>
    </w:p>
    <w:p>
      <w:pPr>
        <w:pStyle w:val="TextBody"/>
        <w:bidi w:val="0"/>
        <w:spacing w:before="240" w:after="0"/>
        <w:jc w:val="left"/>
        <w:rPr>
          <w:rFonts w:ascii="Times New Roman" w:hAnsi="Times New Roman"/>
          <w:sz w:val="20"/>
        </w:rPr>
      </w:pPr>
      <w:r>
        <w:rPr>
          <w:rFonts w:ascii="Times New Roman" w:hAnsi="Times New Roman"/>
          <w:sz w:val="20"/>
        </w:rPr>
        <w:t xml:space="preserve">(10) Liens arising out of conditional sale, title retention, consignment or similar arrangements for the sale of goods entered into by the Company or any of its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(11) pre-existing Liens on assets acquired by the Company or any of its Subsidiaries after the First Issue Date; </w:t>
      </w:r>
    </w:p>
    <w:p>
      <w:pPr>
        <w:pStyle w:val="TextBody"/>
        <w:bidi w:val="0"/>
        <w:spacing w:before="240" w:after="0"/>
        <w:jc w:val="left"/>
        <w:rPr>
          <w:rFonts w:ascii="Times New Roman" w:hAnsi="Times New Roman"/>
          <w:sz w:val="20"/>
        </w:rPr>
      </w:pPr>
      <w:r>
        <w:rPr>
          <w:rFonts w:ascii="Times New Roman" w:hAnsi="Times New Roman"/>
          <w:sz w:val="20"/>
        </w:rPr>
        <w:t xml:space="preserve">(12) Liens in favor of the Company or in favor of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(13) 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(14) statutory Liens arising in the ordinary course of business with respect to obligations which are not delinquent or are being contested in good faith, if reserves or other appropriate provisions, if any, as shall be required by GAAP shall have been made therefor; </w:t>
      </w:r>
    </w:p>
    <w:p>
      <w:pPr>
        <w:pStyle w:val="TextBody"/>
        <w:bidi w:val="0"/>
        <w:spacing w:before="240" w:after="0"/>
        <w:jc w:val="left"/>
        <w:rPr>
          <w:rFonts w:ascii="Times New Roman" w:hAnsi="Times New Roman"/>
          <w:sz w:val="20"/>
        </w:rPr>
      </w:pPr>
      <w:r>
        <w:rPr>
          <w:rFonts w:ascii="Times New Roman" w:hAnsi="Times New Roman"/>
          <w:sz w:val="20"/>
        </w:rPr>
        <w:t xml:space="preserve">(15) Liens consisting of pledges or deposits to secure obligations under workers’ compensation laws or similar legislation, including Liens of judgments thereunder which are not currently dischargeable; </w:t>
      </w:r>
    </w:p>
    <w:p>
      <w:pPr>
        <w:pStyle w:val="TextBody"/>
        <w:bidi w:val="0"/>
        <w:spacing w:before="240" w:after="0"/>
        <w:jc w:val="left"/>
        <w:rPr>
          <w:rFonts w:ascii="Times New Roman" w:hAnsi="Times New Roman"/>
          <w:sz w:val="20"/>
        </w:rPr>
      </w:pPr>
      <w:r>
        <w:rPr>
          <w:rFonts w:ascii="Times New Roman" w:hAnsi="Times New Roman"/>
          <w:sz w:val="20"/>
        </w:rPr>
        <w:t xml:space="preserve">(16) Liens consisting of pledges or deposits of Property to secure performance in connection with operating leases made in the ordinary course of business to which the Company or any of its Subsidiaries is a party as lessee, </w:t>
      </w:r>
      <w:r>
        <w:rPr>
          <w:rFonts w:ascii="Times New Roman" w:hAnsi="Times New Roman"/>
          <w:i/>
          <w:sz w:val="20"/>
        </w:rPr>
        <w:t xml:space="preserve">provided </w:t>
      </w:r>
      <w:r>
        <w:rPr>
          <w:rFonts w:ascii="Times New Roman" w:hAnsi="Times New Roman"/>
          <w:sz w:val="20"/>
        </w:rPr>
        <w:t xml:space="preserve">the aggregate value of all such pledges and deposits in connection with any such lease does not at any time exceed 162⁄3% of the annual fixed rentals payable under such lease; </w:t>
      </w:r>
    </w:p>
    <w:p>
      <w:pPr>
        <w:pStyle w:val="TextBody"/>
        <w:bidi w:val="0"/>
        <w:spacing w:before="240" w:after="0"/>
        <w:jc w:val="left"/>
        <w:rPr>
          <w:rFonts w:ascii="Times New Roman" w:hAnsi="Times New Roman"/>
          <w:sz w:val="20"/>
        </w:rPr>
      </w:pPr>
      <w:r>
        <w:rPr>
          <w:rFonts w:ascii="Times New Roman" w:hAnsi="Times New Roman"/>
          <w:sz w:val="20"/>
        </w:rPr>
        <w:t xml:space="preserve">(17) Liens consisting of deposits of Property to secure statutory obligations of the Company or statutory obligations of any of its Subsidiaries in the ordinary course of its business; </w:t>
      </w:r>
    </w:p>
    <w:p>
      <w:pPr>
        <w:pStyle w:val="TextBody"/>
        <w:bidi w:val="0"/>
        <w:spacing w:before="240" w:after="0"/>
        <w:jc w:val="left"/>
        <w:rPr>
          <w:rFonts w:ascii="Times New Roman" w:hAnsi="Times New Roman"/>
          <w:sz w:val="20"/>
        </w:rPr>
      </w:pPr>
      <w:r>
        <w:rPr>
          <w:rFonts w:ascii="Times New Roman" w:hAnsi="Times New Roman"/>
          <w:sz w:val="20"/>
        </w:rPr>
        <w:t xml:space="preserve">(18) Liens consisting of deposits of Property to secure (or in lieu of) surety, appeal or customs bonds in proceedings to which the Company or any of its Subsidiaries is a party in the ordinary course of its business, but not in excess of $100,000,000; </w:t>
      </w:r>
    </w:p>
    <w:p>
      <w:pPr>
        <w:pStyle w:val="TextBody"/>
        <w:bidi w:val="0"/>
        <w:spacing w:before="240" w:after="0"/>
        <w:jc w:val="left"/>
        <w:rPr>
          <w:rFonts w:ascii="Times New Roman" w:hAnsi="Times New Roman"/>
          <w:sz w:val="20"/>
        </w:rPr>
      </w:pPr>
      <w:r>
        <w:rPr>
          <w:rFonts w:ascii="Times New Roman" w:hAnsi="Times New Roman"/>
          <w:sz w:val="20"/>
        </w:rPr>
        <w:t xml:space="preserve">(19) purchase money Liens or purchase money security interests upon or in any Property acquired or held by the Company or any of its Subsidiaries in the ordinary course of business to secure the purchase price of such Property or to secure Indebtedness incurred solely for the purpose of financing the acquisition of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 Liens on an asset created in connection with the acquisition, construction or development of additions, extensions or improvements to such asset which shall be financed by obligations described in Sections 142, 144(a) or 144(c) of the Internal Revenue Code of 1986, as amended, or by obligations entitled to substantially similar tax benefits under other legislation or regulations in effect from time to time; and </w:t>
      </w:r>
    </w:p>
    <w:p>
      <w:pPr>
        <w:pStyle w:val="TextBody"/>
        <w:bidi w:val="0"/>
        <w:spacing w:before="240" w:after="0"/>
        <w:jc w:val="left"/>
        <w:rPr>
          <w:rFonts w:ascii="Times New Roman" w:hAnsi="Times New Roman"/>
          <w:sz w:val="20"/>
        </w:rPr>
      </w:pPr>
      <w:r>
        <w:rPr>
          <w:rFonts w:ascii="Times New Roman" w:hAnsi="Times New Roman"/>
          <w:sz w:val="20"/>
        </w:rPr>
        <w:t xml:space="preserve">(21) Liens on Property subject to escrow or similar arrangements established in connection with litigation settlements.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any individual, corporation, partnership, joint venture, association, limited liability company, joint-stock company, trust, unincorporated organization or government or any agency or political subdivision thereof. </w:t>
      </w:r>
    </w:p>
    <w:p>
      <w:pPr>
        <w:pStyle w:val="TextBody"/>
        <w:bidi w:val="0"/>
        <w:spacing w:before="240" w:after="0"/>
        <w:jc w:val="left"/>
        <w:rPr/>
      </w:pPr>
      <w:r>
        <w:rPr/>
        <w:t>“</w:t>
      </w:r>
      <w:r>
        <w:rPr>
          <w:rFonts w:ascii="Times New Roman" w:hAnsi="Times New Roman"/>
          <w:b/>
          <w:sz w:val="20"/>
        </w:rPr>
        <w:t>Property</w:t>
      </w:r>
      <w:r>
        <w:rPr>
          <w:rFonts w:ascii="Times New Roman" w:hAnsi="Times New Roman"/>
          <w:sz w:val="20"/>
        </w:rPr>
        <w:t xml:space="preserve">” means any property or asset, whether real, personal or mixed, or tangible or intangible. </w:t>
      </w:r>
    </w:p>
    <w:p>
      <w:pPr>
        <w:pStyle w:val="TextBody"/>
        <w:bidi w:val="0"/>
        <w:spacing w:before="240" w:after="0"/>
        <w:jc w:val="left"/>
        <w:rPr/>
      </w:pPr>
      <w:r>
        <w:rPr/>
        <w:t>“</w:t>
      </w:r>
      <w:r>
        <w:rPr>
          <w:rFonts w:ascii="Times New Roman" w:hAnsi="Times New Roman"/>
          <w:b/>
          <w:sz w:val="20"/>
        </w:rPr>
        <w:t>Reinvestment Rate</w:t>
      </w:r>
      <w:r>
        <w:rPr>
          <w:rFonts w:ascii="Times New Roman" w:hAnsi="Times New Roman"/>
          <w:sz w:val="20"/>
        </w:rPr>
        <w:t xml:space="preserve">” means, for the 2031 Notes, 0.10%, for the 2036 Notes, 0.15%, for the 2046 Notes, 0.15% and for the 2056 Notes, 0.15%, in each case plus the weekly yield for the most recent week set forth in the most recent Statistical Release (as defined below) for the constant maturity U.S. Treasury security (rounded to the nearest month) corresponding to the remaining life to maturity, as of the payment date of the principal being redeemed or paid. If no maturity exactly corresponds to such maturity (in the case of a series of Notes with a par call date, assuming that such series of Notes matured on the applicable par call date),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the purpose of calculating the Reinvestment Rate, the most recent Statistical Release published prior to the date of determination of the Make-Whole Amount shall be used. </w:t>
      </w:r>
    </w:p>
    <w:p>
      <w:pPr>
        <w:pStyle w:val="TextBody"/>
        <w:bidi w:val="0"/>
        <w:spacing w:before="240" w:after="0"/>
        <w:jc w:val="left"/>
        <w:rPr/>
      </w:pPr>
      <w:r>
        <w:rPr/>
        <w:t>“</w:t>
      </w:r>
      <w:r>
        <w:rPr>
          <w:rFonts w:ascii="Times New Roman" w:hAnsi="Times New Roman"/>
          <w:b/>
          <w:sz w:val="20"/>
        </w:rPr>
        <w:t>Revolving Credit Agreement</w:t>
      </w:r>
      <w:r>
        <w:rPr>
          <w:rFonts w:ascii="Times New Roman" w:hAnsi="Times New Roman"/>
          <w:sz w:val="20"/>
        </w:rPr>
        <w:t xml:space="preserve">” means the Third Amended and Restated Credit Agreement, dated as of March 9, 2023, among the Company, the banks therein named, Citibank, N.A., as administrative agent, JPMorgan Chase Bank, N.A., as syndication agent, and Citibank, N.A., JPMorgan Chase Bank, N.A., BofA Securities, Inc., Goldman Sachs Bank USA and Morgan Stanley Senior Funding, Inc., as joint lead arrangers and joint book runners, as such agreement may be further amended (including any amendment, restatement, refinancing and successors thereof), supplemented or otherwise modified from time to time, including any increase in the principal amount of the obligations thereunder. </w:t>
      </w:r>
    </w:p>
    <w:p>
      <w:pPr>
        <w:pStyle w:val="TextBody"/>
        <w:bidi w:val="0"/>
        <w:spacing w:before="240" w:after="0"/>
        <w:jc w:val="left"/>
        <w:rPr/>
      </w:pPr>
      <w:r>
        <w:rPr/>
        <w:t>“</w:t>
      </w:r>
      <w:r>
        <w:rPr>
          <w:rFonts w:ascii="Times New Roman" w:hAnsi="Times New Roman"/>
          <w:b/>
          <w:sz w:val="20"/>
        </w:rPr>
        <w:t>Statistical Release</w:t>
      </w:r>
      <w:r>
        <w:rPr>
          <w:rFonts w:ascii="Times New Roman" w:hAnsi="Times New Roman"/>
          <w:sz w:val="20"/>
        </w:rPr>
        <w:t xml:space="preserve">” means the statistical release designated “H.15” or any comparable online data source or publication which is made available by the Federal Reserve System and which establishes yields on actively traded U.S. government securities adjusted to constant maturities, or, if such Statistical Release is not published at the time of any determination under the Indenture, then such other reasonably comparable index which shall be designated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Stockholders’ Equity</w:t>
      </w:r>
      <w:r>
        <w:rPr>
          <w:rFonts w:ascii="Times New Roman" w:hAnsi="Times New Roman"/>
          <w:sz w:val="20"/>
        </w:rPr>
        <w:t xml:space="preserve">” means, as of any date of determination, stockholders’ equity as of that date determined in accordance with GAAP; </w:t>
      </w:r>
      <w:r>
        <w:rPr>
          <w:rFonts w:ascii="Times New Roman" w:hAnsi="Times New Roman"/>
          <w:i/>
          <w:sz w:val="20"/>
        </w:rPr>
        <w:t xml:space="preserve">provided </w:t>
      </w:r>
      <w:r>
        <w:rPr>
          <w:rFonts w:ascii="Times New Roman" w:hAnsi="Times New Roman"/>
          <w:sz w:val="20"/>
        </w:rPr>
        <w:t xml:space="preserve">that there shall be excluded from Stockholders’ Equity any amount attributable to capital stock that is, directly or indirectly, required to be redeemed or repurchased by the issuer thereof at a specified date or upon the occurrence of specified events or at the election of the holder thereof.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bidi w:val="0"/>
        <w:spacing w:before="240" w:after="0"/>
        <w:jc w:val="left"/>
        <w:rPr/>
      </w:pPr>
      <w:r>
        <w:rPr/>
        <w:t>“</w:t>
      </w:r>
      <w:r>
        <w:rPr>
          <w:rFonts w:ascii="Times New Roman" w:hAnsi="Times New Roman"/>
          <w:b/>
          <w:sz w:val="20"/>
        </w:rPr>
        <w:t>Term Loan Credit Agreement</w:t>
      </w:r>
      <w:r>
        <w:rPr>
          <w:rFonts w:ascii="Times New Roman" w:hAnsi="Times New Roman"/>
          <w:sz w:val="20"/>
        </w:rPr>
        <w:t xml:space="preserve">” means certain credit agreement entered into by and among the Company, Citibank, as administrative agent, and Bank of America, as syndication agent, Citibank, Bank of America, Goldman Sachs Bank USA and Mizuho Bank, Ltd., as lead arrangers and book runners, and Goldman Sachs Bank USA and Mizuho Bank, Ltd., as documentation agents, on December 22, 2022, as amended (including any amendment, restatement, refinancing and successors thereof), supplemented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9. Section 9.1(h) of the Indenture shall be amended and restated solely with respect to the Notes as follows: </w:t>
      </w:r>
    </w:p>
    <w:p>
      <w:pPr>
        <w:pStyle w:val="TextBody"/>
        <w:bidi w:val="0"/>
        <w:spacing w:before="120" w:after="0"/>
        <w:jc w:val="left"/>
        <w:rPr>
          <w:rFonts w:ascii="Times New Roman" w:hAnsi="Times New Roman"/>
          <w:sz w:val="20"/>
        </w:rPr>
      </w:pPr>
      <w:r>
        <w:rPr>
          <w:rFonts w:ascii="Times New Roman" w:hAnsi="Times New Roman"/>
          <w:sz w:val="20"/>
        </w:rPr>
        <w:t xml:space="preserve">(h) to make any change that does not adversely affect the rights of any Securityholder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10. Pursuant to Section 3.4 of the Indenture, solely with respect to the Notes, notices of redemption sent by the Company pursuant to the Indenture may be conditional. </w:t>
      </w:r>
    </w:p>
    <w:p>
      <w:pPr>
        <w:pStyle w:val="TextBody"/>
        <w:bidi w:val="0"/>
        <w:spacing w:before="240" w:after="0"/>
        <w:jc w:val="left"/>
        <w:rPr>
          <w:rFonts w:ascii="Times New Roman" w:hAnsi="Times New Roman"/>
          <w:sz w:val="20"/>
        </w:rPr>
      </w:pPr>
      <w:r>
        <w:rPr>
          <w:rFonts w:ascii="Times New Roman" w:hAnsi="Times New Roman"/>
          <w:sz w:val="20"/>
        </w:rPr>
        <w:t>11. The Depository for the Notes shall be The Depository Trust Company (“</w:t>
      </w:r>
      <w:r>
        <w:rPr>
          <w:rFonts w:ascii="Times New Roman" w:hAnsi="Times New Roman"/>
          <w:b/>
          <w:sz w:val="20"/>
        </w:rPr>
        <w:t>DTC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The undersigned is authorized to approve the form, terms and conditions of the Notes. </w:t>
      </w:r>
    </w:p>
    <w:p>
      <w:pPr>
        <w:pStyle w:val="TextBody"/>
        <w:bidi w:val="0"/>
        <w:spacing w:before="240" w:after="0"/>
        <w:jc w:val="left"/>
        <w:rPr>
          <w:rFonts w:ascii="Times New Roman" w:hAnsi="Times New Roman"/>
          <w:sz w:val="20"/>
        </w:rPr>
      </w:pPr>
      <w:r>
        <w:rPr>
          <w:rFonts w:ascii="Times New Roman" w:hAnsi="Times New Roman"/>
          <w:sz w:val="20"/>
        </w:rPr>
        <w:t xml:space="preserve">13. The undersigned has read the provisions of the Indenture, including the covenants and conditions precedent, pertaining to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14. In connection with this Certificate, the undersigned has examined the documents, corporate records and certificates and has made such inquiries of the other officers of the Company, which he or she has deemed necessary to enable him or her to express an informed opinion as to whether or not such comments and conditions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15. In the opinion of the undersigned, all of the conditions and covenants related to the issuance and authentication of the Notes have been complied with.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executed this Officer’s Certificate as of the date first set forth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43" w:type="dxa"/>
            <w:tcBorders>
              <w:bottom w:val="single" w:sz="2" w:space="0" w:color="000000"/>
            </w:tcBorders>
            <w:tcMar>
              <w:bottom w:w="28" w:type="dxa"/>
            </w:tcMar>
          </w:tcPr>
          <w:p>
            <w:pPr>
              <w:pStyle w:val="TableContents"/>
              <w:bidi w:val="0"/>
              <w:spacing w:before="0" w:after="283"/>
              <w:jc w:val="left"/>
              <w:rPr/>
            </w:pPr>
            <w:r>
              <w:rPr/>
              <w:t>/s/ Omari Wise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  Omari Wise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Title:   Vice President, Treasurer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2031 Note </w:t>
      </w:r>
    </w:p>
    <w:p>
      <w:pPr>
        <w:pStyle w:val="TextBody"/>
        <w:bidi w:val="0"/>
        <w:spacing w:before="120" w:after="0"/>
        <w:jc w:val="center"/>
        <w:rPr>
          <w:rFonts w:ascii="Times New Roman" w:hAnsi="Times New Roman"/>
          <w:sz w:val="20"/>
        </w:rPr>
      </w:pPr>
      <w:r>
        <w:rPr>
          <w:rFonts w:ascii="Times New Roman" w:hAnsi="Times New Roman"/>
          <w:sz w:val="20"/>
        </w:rPr>
        <w:t xml:space="preserve">[Face of Note]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right"/>
        <w:rPr>
          <w:rFonts w:ascii="Times New Roman" w:hAnsi="Times New Roman"/>
          <w:sz w:val="20"/>
        </w:rPr>
      </w:pPr>
      <w:r>
        <w:rPr>
          <w:rFonts w:ascii="Times New Roman" w:hAnsi="Times New Roman"/>
          <w:sz w:val="20"/>
        </w:rPr>
        <w:t xml:space="preserve">CUSIP 031162 DV9 </w:t>
      </w:r>
    </w:p>
    <w:p>
      <w:pPr>
        <w:pStyle w:val="TextBody"/>
        <w:bidi w:val="0"/>
        <w:spacing w:before="240" w:after="0"/>
        <w:jc w:val="center"/>
        <w:rPr>
          <w:rFonts w:ascii="Times New Roman" w:hAnsi="Times New Roman"/>
          <w:b/>
          <w:sz w:val="20"/>
        </w:rPr>
      </w:pPr>
      <w:r>
        <w:rPr>
          <w:rFonts w:ascii="Times New Roman" w:hAnsi="Times New Roman"/>
          <w:b/>
          <w:sz w:val="20"/>
        </w:rPr>
        <w:t xml:space="preserve">4.200% Senior Notes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bidi w:val="0"/>
              <w:spacing w:before="0" w:after="283"/>
              <w:jc w:val="left"/>
              <w:rPr/>
            </w:pPr>
            <w:r>
              <w:rPr/>
              <w:t>No. __</w:t>
            </w:r>
          </w:p>
        </w:tc>
        <w:tc>
          <w:tcPr>
            <w:tcW w:w="126"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AMGEN INC.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sum of </w:t>
      </w:r>
      <w:r>
        <w:rPr>
          <w:rFonts w:ascii="Times New Roman" w:hAnsi="Times New Roman"/>
          <w:b/>
          <w:sz w:val="20"/>
        </w:rPr>
        <w:t>__________________________ DOLLARS</w:t>
      </w:r>
      <w:r>
        <w:rPr>
          <w:rFonts w:ascii="Times New Roman" w:hAnsi="Times New Roman"/>
          <w:sz w:val="20"/>
        </w:rPr>
        <w:t xml:space="preserve"> on February 19, 2031.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day prior to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b/>
          <w:sz w:val="20"/>
        </w:rPr>
        <w:t>February</w:t>
      </w:r>
      <w:r>
        <w:rPr>
          <w:rFonts w:ascii="Times New Roman" w:hAnsi="Times New Roman"/>
          <w:sz w:val="20"/>
        </w:rPr>
        <w:t> </w:t>
      </w:r>
      <w:r>
        <w:rPr>
          <w:rFonts w:ascii="Times New Roman" w:hAnsi="Times New Roman"/>
          <w:b/>
          <w:sz w:val="20"/>
        </w:rPr>
        <w:t>19, 2026</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AMGEN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BANK OF NEW YORK MELLON TRUST COMPANY, N.A.</w:t>
            </w:r>
            <w:r>
              <w:rPr/>
              <w:t>, as Trustee</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Authorized Officer </w:t>
            </w:r>
          </w:p>
        </w:tc>
      </w:tr>
    </w:tbl>
    <w:tbl>
      <w:tblPr>
        <w:tblW w:w="2000" w:type="pct"/>
        <w:jc w:val="left"/>
        <w:tblInd w:w="0" w:type="dxa"/>
        <w:tblLayout w:type="fixed"/>
        <w:tblCellMar>
          <w:top w:w="0" w:type="dxa"/>
          <w:left w:w="0" w:type="dxa"/>
          <w:bottom w:w="0" w:type="dxa"/>
          <w:right w:w="0" w:type="dxa"/>
        </w:tblCellMar>
      </w:tblPr>
      <w:tblGrid>
        <w:gridCol w:w="2047"/>
        <w:gridCol w:w="60"/>
        <w:gridCol w:w="1975"/>
      </w:tblGrid>
      <w:tr>
        <w:trPr/>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04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r>
      <w:tr>
        <w:trPr/>
        <w:tc>
          <w:tcPr>
            <w:tcW w:w="2047" w:type="dxa"/>
            <w:tcBorders/>
          </w:tcPr>
          <w:p>
            <w:pPr>
              <w:pStyle w:val="TableContents"/>
              <w:bidi w:val="0"/>
              <w:spacing w:before="0" w:after="283"/>
              <w:jc w:val="left"/>
              <w:rPr/>
            </w:pPr>
            <w:r>
              <w:rPr/>
              <w:t>Authentication 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7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2031 Senior Notes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0" w:after="0"/>
        <w:jc w:val="center"/>
        <w:rPr>
          <w:rFonts w:ascii="Times New Roman" w:hAnsi="Times New Roman"/>
          <w:b/>
          <w:sz w:val="20"/>
        </w:rPr>
      </w:pPr>
      <w:r>
        <w:rPr>
          <w:rFonts w:ascii="Times New Roman" w:hAnsi="Times New Roman"/>
          <w:b/>
          <w:sz w:val="20"/>
        </w:rPr>
        <w:t xml:space="preserve">4.200%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INTEREST. Amgen Inc., a Delaware corporation (the “</w:t>
            </w:r>
            <w:r>
              <w:rPr>
                <w:rFonts w:ascii="Times New Roman" w:hAnsi="Times New Roman"/>
                <w:b/>
                <w:sz w:val="20"/>
              </w:rPr>
              <w:t>Company</w:t>
            </w:r>
            <w:r>
              <w:rPr>
                <w:rFonts w:ascii="Times New Roman" w:hAnsi="Times New Roman"/>
                <w:sz w:val="20"/>
              </w:rPr>
              <w:t>”), promises to pay interest on the principal amount of this Note at 4.200% per annum from February 19, 2026 until maturity. The Company will pay interest in cash semi-annually in arrears on February 19 and August 19 of each year, or if any such day is not a Business Day, on the next succeeding Business Day (each, an “</w:t>
            </w:r>
            <w:r>
              <w:rPr>
                <w:rFonts w:ascii="Times New Roman" w:hAnsi="Times New Roman"/>
                <w:b/>
                <w:sz w:val="20"/>
              </w:rPr>
              <w:t>Interest Payment Date</w:t>
            </w:r>
            <w:r>
              <w:rPr>
                <w:rFonts w:ascii="Times New Roman" w:hAnsi="Times New Roman"/>
                <w:sz w:val="20"/>
              </w:rPr>
              <w:t xml:space="preserve">”). Interest on the Notes will accrue from the most recent date to which interest has been paid or, if no interest has been paid, from the date of issuance; provided that the first Interest Payment Date shall be August 19, 2026; provided further that after August 19, 2026, if there is no existing Default in the payment of interest, and if this Note is authenticated between a record date referred to on the face hereof and the next succeeding Interest Payment Date, interest shall accrue from such next succeeding Interest Payment Date. The interest rate will be computed on the basis of a 360-day year of twelve 30-day calendar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 OF PAYMENT. The Company will pay interest on the Notes (except defaulted interest) to the Persons who are registered Holders of Notes at the close of business on the day that is 15 days prior to the next succeeding Interest Payment Date (whether or not such day is a Business Day), even if such Notes are canceled after such record date and on or before such Interest Payment Date, except as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provided in Section 2.13 of the Indenture with respect to defaulted interest. The Notes will be payable as to principal and interest at the office or agency of the Company maintained for such purpose in the Borough of Manhattan, the City and State of New York (or, if the Company fails to maintain such office or agency, at the corporate trust office of the trustee in New York, New York or if the trustee does not maintain an office in New York, at the office of a paying agent in New York), or, at the option of the Company, payment of interest may be made by check mailed to the Holders at their addresses set forth in the register of Holders</w:t>
            </w:r>
            <w:r>
              <w:rPr>
                <w:i/>
              </w:rPr>
              <w:t xml:space="preserve">; provided </w:t>
            </w:r>
            <w:r>
              <w:rPr/>
              <w:t xml:space="preserve">that payment by wire transfer of immediately available funds will be required with respect to principal of and interest on all Global Securities and all other Notes the Holders of which will have provided wire transfer instructions to the Company or the Paying Agent. Such payment will be in the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AGENT AND REGISTRAR.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INDENTURE. The terms of the Notes include those stated in the Indenture dated May 22, 2014, between the Company and the Trustee (the “</w:t>
            </w:r>
            <w:r>
              <w:rPr>
                <w:rFonts w:ascii="Times New Roman" w:hAnsi="Times New Roman"/>
                <w:b/>
                <w:sz w:val="20"/>
              </w:rPr>
              <w:t>Indenture</w:t>
            </w:r>
            <w:r>
              <w:rPr>
                <w:rFonts w:ascii="Times New Roman" w:hAnsi="Times New Roman"/>
                <w:sz w:val="20"/>
              </w:rPr>
              <w:t>”), and those made part of the Indenture by the Officer’s Certificate dated February 19, 2026, delivered pursuant thereto (the “</w:t>
            </w:r>
            <w:r>
              <w:rPr>
                <w:rFonts w:ascii="Times New Roman" w:hAnsi="Times New Roman"/>
                <w:b/>
                <w:sz w:val="20"/>
              </w:rPr>
              <w:t>Officer’s Certificate</w:t>
            </w:r>
            <w:r>
              <w:rPr>
                <w:rFonts w:ascii="Times New Roman" w:hAnsi="Times New Roman"/>
                <w:sz w:val="20"/>
              </w:rPr>
              <w:t xml:space="preserve">”) and the TIA. The Notes are subject to all such terms, and the Holders are referred to the Indenture and the TIA for a statement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OPTIONAL REDEMPTION. At any time prior to maturity, the Company will have the option to redeem all or a part of the Notes upon not less than 10 nor more than 60 days’ notice. If the Notes are redeemed before January 19, 2031 (one month prior to the maturity date of the Notes), the redemption price will equal the sum of (1) 100% of the principal amount of any Notes being redeemed, plus accrued and unpaid interest to, but not including, the redemption date, and (2) the Make-Whole Amount. If the Notes are redeemed on or after January 19, 2031 (one month prior to the maturity date of the Notes), the redemption price will equal 100% of the principal amount being redeemed, plus accrued and unpaid interest to, but not including, the redemption date. Unless the Company defaults in the payment of the redemption price, interest will cease to accrue on the Notes or portions thereof called for redemption on the applicable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REDEMPTION. Notice of redemption will be mailed at least 10 days but not more than 60 days before the redemption date 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$2,000 may be redeemed in part but only in whole multiples of $1,000, unless all of the Notes held by a Holder are to be redeemed. Notices of redemption for the Notes may be conditional.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MANDATORY REDEMPTION. Except as provided in Section 8 below, the Company is not required to make mandatory redemption or sinking fund payments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TRIGGERING EVENT. In the event of a Change of Control Triggering Event, the Holders may require the Company to purchase for cash all or a portion of their Notes at a purchase price equal to 101% of the principal amount of the Notes, plus accrued and unpaid interest, if any, pursuant to the provisions of Section 7 of the Officer’s Certificate. If holders of not less than 90% in aggregate principal amount of the outstanding Notes validly tender and do not withdraw such Notes in a Change Of Control Offer and the Company, or any third party making such an offer in lieu of the Company, purchases all of the Notes validly tendered and not withdrawn by such holders, the Company or such third party will have the right, upon not less than 10 days nor more than 60 days’ prior notice, provided that such notice is given not more than 30 days following such repurchase pursuant to the Change Of Control Offer described above, to redeem all Notes that remain outstanding following such purchase on a date specified in such notice (the “</w:t>
            </w:r>
            <w:r>
              <w:rPr>
                <w:rFonts w:ascii="Times New Roman" w:hAnsi="Times New Roman"/>
                <w:b/>
                <w:sz w:val="20"/>
              </w:rPr>
              <w:t>Second Change Of Control Payment Date</w:t>
            </w:r>
            <w:r>
              <w:rPr>
                <w:rFonts w:ascii="Times New Roman" w:hAnsi="Times New Roman"/>
                <w:sz w:val="20"/>
              </w:rPr>
              <w:t xml:space="preserve">”) and at a price in cash equal to 101% of the aggregate principal amount of Notes repurchased plus any accrued and unpaid interest on the Notes repurchased to, but not including, the Second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PRIOR TO MATURITY. The Indenture contains provisions for defeasance of (i) the entire indebtedness of the Notes or (ii) certain covenants and Events of Default with respect to the Notes, in each case upon compliance with certain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The Indenture and the Officer’s Certificate impose certain limitations on the Company and its Subsidiaries, including limitations on the Company’s and its Subsidiaries’ ability to create or incur certain Liens on any of their respective properties or assets and to enter into certain sale and lease-back transactions and on the Company’s ability to engage in mergers or consolidations or the conveyance, transfer or lease of all or substantially all of its properties and assets. These limitations are subject to a number of important qualifications and exceptions and reference is made to the Indenture and the Officer’s Certificate for a description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EXCHANGE. The Notes are in registered form without coupons in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OWNERS. The registered Holder of a Note may be treated as its owner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Subject to certain exceptions, the Indenture or the Notes may be amended or supplemented with the consent of the Holders of at least a majority in aggregate principal amount of the then outstanding Notes voting as a single class, and any existing Default or Event of Default or compliance with any provision of the Indenture or the Notes may be waived with the consent of the Holders of a majority in aggregate principal amount of the then outstanding Notes voting as a single class. Without the consent of any Holder of a Note, the Indenture or the Notes may be amended or supplemented to cure any ambiguity, defect or inconsistency; to comply with Article V of the Indenture; to provide for uncertificated Notes in addition to or in place of certificated Notes; to add guarantees with respect to the Notes or secure the Notes; to surrender any of the Company’s rights or powers under the Indenture; to add covenants or events of default for the benefit of the Holders of the Notes; to comply with the applicable procedures of the applicable depositary; to make any change that would not adversely affect the rights under the Indenture of any such Holder in any material respect; to provide for the issuance of and establish the form and terms and conditions of Notes of any series as permitted by the Indenture; to evidence and provide for the acceptance of appointment under the Indenture by a successor trustee with respect to the Notes and to add to or change any of the provisions of the Indenture necessary to provide for the administration of the trusts in the Indenture by more than one trustee; or to comply with the requirements of the SEC in order to effect or maintain the qualification of the Indenture under the TIA. No amendment to cure any ambiguity, defect or inconsistency in the Indenture made solely to conform the Indenture to the description of notes contained in the Prospectus Supplement related to the Notes, dated February 17, 2026, will be deemed to adversely affect the interests of the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If an Event of Default shall occur and be continuing, the principal of the Notes may be declared (or, in certain cases, shall ipso facto become) due and payable in the manner and with the effect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COMPANY. The Trustee under the Indenture, in its individual or any other capacity, may deal with the Company or an Affiliate of the Company with the same rights it would have if it were not Trustee.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A director, officer, employee or stockholder of the Company shall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This Note will not be valid until authenticated by the manual signature of the Trustee or an authenticating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THE INDENTURE AND THIS NOTE, INCLUDING ANY CLAIM OR CONTROVERSY ARISING OUT OF OR RELATED TO THE INDENTURE OR THIS NOTE, SHALL BE GOVERNED BY THE LAWS OF THE STATE OF NEW YORK.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and/or the Officer’s Certificate. </w:t>
      </w:r>
    </w:p>
    <w:p>
      <w:pPr>
        <w:pStyle w:val="TextBody"/>
        <w:bidi w:val="0"/>
        <w:spacing w:before="240" w:after="0"/>
        <w:jc w:val="center"/>
        <w:rPr>
          <w:rFonts w:ascii="Times New Roman" w:hAnsi="Times New Roman"/>
          <w:sz w:val="20"/>
        </w:rPr>
      </w:pPr>
      <w:r>
        <w:rPr>
          <w:rFonts w:ascii="Times New Roman" w:hAnsi="Times New Roman"/>
          <w:b/>
          <w:i/>
          <w:sz w:val="20"/>
        </w:rPr>
        <w:t>Requests may be made to</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Amgen Inc. </w:t>
      </w:r>
    </w:p>
    <w:p>
      <w:pPr>
        <w:pStyle w:val="TextBody"/>
        <w:bidi w:val="0"/>
        <w:spacing w:before="0" w:after="0"/>
        <w:jc w:val="center"/>
        <w:rPr>
          <w:rFonts w:ascii="Times New Roman" w:hAnsi="Times New Roman"/>
          <w:sz w:val="20"/>
        </w:rPr>
      </w:pPr>
      <w:r>
        <w:rPr>
          <w:rFonts w:ascii="Times New Roman" w:hAnsi="Times New Roman"/>
          <w:sz w:val="20"/>
        </w:rPr>
        <w:t xml:space="preserve">One Amgen Center Drive </w:t>
      </w:r>
    </w:p>
    <w:p>
      <w:pPr>
        <w:pStyle w:val="TextBody"/>
        <w:bidi w:val="0"/>
        <w:spacing w:before="0" w:after="0"/>
        <w:jc w:val="center"/>
        <w:rPr>
          <w:rFonts w:ascii="Times New Roman" w:hAnsi="Times New Roman"/>
          <w:sz w:val="20"/>
        </w:rPr>
      </w:pPr>
      <w:r>
        <w:rPr>
          <w:rFonts w:ascii="Times New Roman" w:hAnsi="Times New Roman"/>
          <w:sz w:val="20"/>
        </w:rPr>
        <w:t xml:space="preserve">Thousand Oaks, CA 91320-1799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66"/>
        <w:gridCol w:w="129"/>
        <w:gridCol w:w="6110"/>
      </w:tblGrid>
      <w:tr>
        <w:trPr/>
        <w:tc>
          <w:tcPr>
            <w:tcW w:w="396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3966" w:type="dxa"/>
            <w:tcBorders/>
          </w:tcPr>
          <w:p>
            <w:pPr>
              <w:pStyle w:val="TableContents"/>
              <w:bidi w:val="0"/>
              <w:spacing w:before="0" w:after="283"/>
              <w:jc w:val="left"/>
              <w:rPr/>
            </w:pPr>
            <w:r>
              <w:rPr/>
              <w:t>(I) or (we) assign and transfer this Note to:</w:t>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u w:val="single"/>
              </w:rPr>
            </w:pPr>
            <w:r>
              <w:rPr>
                <w:u w:val="single"/>
              </w:rPr>
              <w:t>                     </w:t>
            </w:r>
          </w:p>
        </w:tc>
      </w:tr>
      <w:tr>
        <w:trPr/>
        <w:tc>
          <w:tcPr>
            <w:tcW w:w="3966"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pPr>
            <w:r>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7"/>
        <w:gridCol w:w="135"/>
        <w:gridCol w:w="7793"/>
      </w:tblGrid>
      <w:tr>
        <w:trPr/>
        <w:tc>
          <w:tcPr>
            <w:tcW w:w="227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277" w:type="dxa"/>
            <w:tcBorders/>
          </w:tcPr>
          <w:p>
            <w:pPr>
              <w:pStyle w:val="TableContents"/>
              <w:bidi w:val="0"/>
              <w:spacing w:before="0" w:after="283"/>
              <w:jc w:val="left"/>
              <w:rPr/>
            </w:pPr>
            <w:r>
              <w:rPr/>
              <w:t>and irrevocably appoint </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779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76" w:type="dxa"/>
            <w:tcBorders>
              <w:bottom w:val="single" w:sz="2" w:space="0" w:color="000000"/>
            </w:tcBorders>
            <w:tcMar>
              <w:bottom w:w="28" w:type="dxa"/>
            </w:tcMar>
          </w:tcPr>
          <w:p>
            <w:pPr>
              <w:pStyle w:val="TableContents"/>
              <w:bidi w:val="0"/>
              <w:spacing w:before="0" w:after="283"/>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2036 Note </w:t>
      </w:r>
    </w:p>
    <w:p>
      <w:pPr>
        <w:pStyle w:val="TextBody"/>
        <w:bidi w:val="0"/>
        <w:spacing w:before="120" w:after="0"/>
        <w:jc w:val="center"/>
        <w:rPr>
          <w:rFonts w:ascii="Times New Roman" w:hAnsi="Times New Roman"/>
          <w:sz w:val="20"/>
        </w:rPr>
      </w:pPr>
      <w:r>
        <w:rPr>
          <w:rFonts w:ascii="Times New Roman" w:hAnsi="Times New Roman"/>
          <w:sz w:val="20"/>
        </w:rPr>
        <w:t xml:space="preserve">[Face of Note]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right"/>
        <w:rPr>
          <w:rFonts w:ascii="Times New Roman" w:hAnsi="Times New Roman"/>
          <w:sz w:val="20"/>
        </w:rPr>
      </w:pPr>
      <w:r>
        <w:rPr>
          <w:rFonts w:ascii="Times New Roman" w:hAnsi="Times New Roman"/>
          <w:sz w:val="20"/>
        </w:rPr>
        <w:t xml:space="preserve">CUSIP 031162 DW7 </w:t>
      </w:r>
    </w:p>
    <w:p>
      <w:pPr>
        <w:pStyle w:val="TextBody"/>
        <w:bidi w:val="0"/>
        <w:spacing w:before="240" w:after="0"/>
        <w:jc w:val="center"/>
        <w:rPr>
          <w:rFonts w:ascii="Times New Roman" w:hAnsi="Times New Roman"/>
          <w:b/>
          <w:sz w:val="20"/>
        </w:rPr>
      </w:pPr>
      <w:r>
        <w:rPr>
          <w:rFonts w:ascii="Times New Roman" w:hAnsi="Times New Roman"/>
          <w:b/>
          <w:sz w:val="20"/>
        </w:rPr>
        <w:t xml:space="preserve">4.850% Senior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bidi w:val="0"/>
              <w:spacing w:before="0" w:after="283"/>
              <w:jc w:val="left"/>
              <w:rPr/>
            </w:pPr>
            <w:r>
              <w:rPr/>
              <w:t>No. __</w:t>
            </w:r>
          </w:p>
        </w:tc>
        <w:tc>
          <w:tcPr>
            <w:tcW w:w="126"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AMGEN INC.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sum of </w:t>
      </w:r>
      <w:r>
        <w:rPr>
          <w:rFonts w:ascii="Times New Roman" w:hAnsi="Times New Roman"/>
          <w:b/>
          <w:sz w:val="20"/>
        </w:rPr>
        <w:t>__________________________ DOLLARS</w:t>
      </w:r>
      <w:r>
        <w:rPr>
          <w:rFonts w:ascii="Times New Roman" w:hAnsi="Times New Roman"/>
          <w:sz w:val="20"/>
        </w:rPr>
        <w:t xml:space="preserve"> on February 19, 2036.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day prior to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b/>
          <w:sz w:val="20"/>
        </w:rPr>
        <w:t>February</w:t>
      </w:r>
      <w:r>
        <w:rPr>
          <w:rFonts w:ascii="Times New Roman" w:hAnsi="Times New Roman"/>
          <w:sz w:val="20"/>
        </w:rPr>
        <w:t> </w:t>
      </w:r>
      <w:r>
        <w:rPr>
          <w:rFonts w:ascii="Times New Roman" w:hAnsi="Times New Roman"/>
          <w:b/>
          <w:sz w:val="20"/>
        </w:rPr>
        <w:t>19, 2026</w:t>
      </w:r>
      <w:r>
        <w:rPr>
          <w:rFonts w:ascii="Times New Roman" w:hAnsi="Times New Roman"/>
          <w:sz w:val="20"/>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AMGEN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BANK OF NEW YORK MELLON TRUST COMPANY, N.A.</w:t>
            </w:r>
            <w:r>
              <w:rPr/>
              <w:t>, as Trustee</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Authorized Officer </w:t>
            </w:r>
          </w:p>
        </w:tc>
      </w:tr>
    </w:tbl>
    <w:tbl>
      <w:tblPr>
        <w:tblW w:w="2000" w:type="pct"/>
        <w:jc w:val="left"/>
        <w:tblInd w:w="0" w:type="dxa"/>
        <w:tblLayout w:type="fixed"/>
        <w:tblCellMar>
          <w:top w:w="0" w:type="dxa"/>
          <w:left w:w="0" w:type="dxa"/>
          <w:bottom w:w="0" w:type="dxa"/>
          <w:right w:w="0" w:type="dxa"/>
        </w:tblCellMar>
      </w:tblPr>
      <w:tblGrid>
        <w:gridCol w:w="2047"/>
        <w:gridCol w:w="60"/>
        <w:gridCol w:w="1975"/>
      </w:tblGrid>
      <w:tr>
        <w:trPr/>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04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r>
      <w:tr>
        <w:trPr/>
        <w:tc>
          <w:tcPr>
            <w:tcW w:w="2047" w:type="dxa"/>
            <w:tcBorders/>
          </w:tcPr>
          <w:p>
            <w:pPr>
              <w:pStyle w:val="TableContents"/>
              <w:bidi w:val="0"/>
              <w:spacing w:before="0" w:after="283"/>
              <w:jc w:val="left"/>
              <w:rPr/>
            </w:pPr>
            <w:r>
              <w:rPr/>
              <w:t>Authentication 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7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2036 Senior Notes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0" w:after="0"/>
        <w:jc w:val="center"/>
        <w:rPr>
          <w:rFonts w:ascii="Times New Roman" w:hAnsi="Times New Roman"/>
          <w:b/>
          <w:sz w:val="20"/>
        </w:rPr>
      </w:pPr>
      <w:r>
        <w:rPr>
          <w:rFonts w:ascii="Times New Roman" w:hAnsi="Times New Roman"/>
          <w:b/>
          <w:sz w:val="20"/>
        </w:rPr>
        <w:t xml:space="preserve">4.850% SENIOR NOTES DUE 2036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INTEREST. Amgen Inc., a Delaware corporation (the “</w:t>
            </w:r>
            <w:r>
              <w:rPr>
                <w:rFonts w:ascii="Times New Roman" w:hAnsi="Times New Roman"/>
                <w:b/>
                <w:sz w:val="20"/>
              </w:rPr>
              <w:t>Company</w:t>
            </w:r>
            <w:r>
              <w:rPr>
                <w:rFonts w:ascii="Times New Roman" w:hAnsi="Times New Roman"/>
                <w:sz w:val="20"/>
              </w:rPr>
              <w:t>”), promises to pay interest on the principal amount of this Note at 4.850% per annum from February 19, 2026 until maturity. The Company will pay interest in cash semi-annually in arrears on February 19 and August 19 of each year, or if any such day is not a Business Day, on the next succeeding Business Day (each, an “</w:t>
            </w:r>
            <w:r>
              <w:rPr>
                <w:rFonts w:ascii="Times New Roman" w:hAnsi="Times New Roman"/>
                <w:b/>
                <w:sz w:val="20"/>
              </w:rPr>
              <w:t>Interest Payment Date</w:t>
            </w:r>
            <w:r>
              <w:rPr>
                <w:rFonts w:ascii="Times New Roman" w:hAnsi="Times New Roman"/>
                <w:sz w:val="20"/>
              </w:rPr>
              <w:t xml:space="preserve">”). Interest on the Notes will accrue from the most recent date to which interest has been paid or, if no interest has been paid, from the date of issuance; provided that the first Interest Payment Date shall be August 19, 2026; provided further that after August 19, 2026, if there is no existing Default in the payment of interest, and if this Note is authenticated between a record date referred to on the face hereof and the next succeeding Interest Payment Date, interest shall accrue from such next succeeding Interest Payment Date. The interest rate will be computed on the basis of a 360-day year of twelve 30-day calendar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 OF PAYMENT. The Company will pay interest on the Notes (except defaulted interest) to the Persons who are registered Holders of Notes at the close of business on the day that is 15 days prior to the next succeeding Interest Payment Date (whether or not such day is a Business Day), even if such Notes are canceled after such record date and on or before such Interest Payment Date, except as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provided in Section 2.13 of the Indenture with respect to defaulted interest. The Notes will be payable as to principal and interest at the office or agency of the Company maintained for such purpose in the Borough of Manhattan, the City and State of New York (or, if the Company fails to maintain such office or agency, at the corporate trust office of the trustee in New York, New York or if the trustee does not maintain an office in New York, at the office of a paying agent in New York), or, at the option of the Company, payment of interest may be made by check mailed to the Holders at their addresses set forth in the register of Holders</w:t>
            </w:r>
            <w:r>
              <w:rPr>
                <w:i/>
              </w:rPr>
              <w:t xml:space="preserve">; provided </w:t>
            </w:r>
            <w:r>
              <w:rPr/>
              <w:t xml:space="preserve">that payment by wire transfer of immediately available funds will be required with respect to principal of and interest on all Global Securities and all other Notes the Holders of which will have provided wire transfer instructions to the Company or the Paying Agent. Such payment will be in the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AGENT AND REGISTRAR.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INDENTURE. The terms of the Notes include those stated in the Indenture dated May 22, 2014, between the Company and the Trustee (the “</w:t>
            </w:r>
            <w:r>
              <w:rPr>
                <w:rFonts w:ascii="Times New Roman" w:hAnsi="Times New Roman"/>
                <w:b/>
                <w:sz w:val="20"/>
              </w:rPr>
              <w:t>Indenture</w:t>
            </w:r>
            <w:r>
              <w:rPr>
                <w:rFonts w:ascii="Times New Roman" w:hAnsi="Times New Roman"/>
                <w:sz w:val="20"/>
              </w:rPr>
              <w:t>”), and those made part of the Indenture by the Officer’s Certificate dated February 19, 2026, delivered pursuant thereto (the “</w:t>
            </w:r>
            <w:r>
              <w:rPr>
                <w:rFonts w:ascii="Times New Roman" w:hAnsi="Times New Roman"/>
                <w:b/>
                <w:sz w:val="20"/>
              </w:rPr>
              <w:t>Officer’s Certificate</w:t>
            </w:r>
            <w:r>
              <w:rPr>
                <w:rFonts w:ascii="Times New Roman" w:hAnsi="Times New Roman"/>
                <w:sz w:val="20"/>
              </w:rPr>
              <w:t xml:space="preserve">”) and the TIA. The Notes are subject to all such terms, and the Holders are referred to the Indenture and the TIA for a statement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OPTIONAL REDEMPTION. At any time prior to maturity, the Company will have the option to redeem all or a part of the Notes upon not less than 10 nor more than 60 days’ notice. If the Notes are redeemed before November 19, 2035 (three months prior to the maturity date of the Notes), the redemption price will equal the sum of (1) 100% of the principal amount of any Notes being redeemed, plus accrued and unpaid interest to, but not including, the redemption date, and (2) the Make-Whole Amount. If the Notes are redeemed on or after November 19, 2035 (three months prior to the maturity date of the Notes), the redemption price will equal 100% of the principal amount being redeemed, plus accrued and unpaid interest to, but not including, the redemption date. Unless the Company defaults in the payment of the redemption price, interest will cease to accrue on the Notes or portions thereof called for redemption on the applicable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REDEMPTION. Notice of redemption will be mailed at least 10 days but not more than 60 days before the redemption date 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$2,000 may be redeemed in part but only in whole multiples of $1,000, unless all of the Notes held by a Holder are to be redeemed. Notices of redemption for the Notes may be conditional.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MANDATORY REDEMPTION. Except as provided in Section 8 below, the Company is not required to make mandatory redemption or sinking fund payments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TRIGGERING EVENT. In the event of a Change of Control Triggering Event, the Holders may require the Company to purchase for cash all or a portion of their Notes at a purchase price equal to 101% of the principal amount of the Notes, plus accrued and unpaid interest, if any, pursuant to the provisions of Section 7 of the Officer’s Certificate. If holders of not less than 90% in aggregate principal amount of the outstanding Notes validly tender and do not withdraw such Notes in a Change Of Control Offer and the Company, or any third party making such an offer in lieu of the Company, purchases all of the Notes validly tendered and not withdrawn by such holders, the Company or such third party will have the right, upon not less than 10 days nor more than 60 days’ prior notice, provided that such notice is given not more than 30 days following such repurchase pursuant to the Change Of Control Offer described above, to redeem all Notes that remain outstanding following such purchase on a date specified in such notice (the “</w:t>
            </w:r>
            <w:r>
              <w:rPr>
                <w:rFonts w:ascii="Times New Roman" w:hAnsi="Times New Roman"/>
                <w:b/>
                <w:sz w:val="20"/>
              </w:rPr>
              <w:t>Second Change Of Control Payment Date</w:t>
            </w:r>
            <w:r>
              <w:rPr>
                <w:rFonts w:ascii="Times New Roman" w:hAnsi="Times New Roman"/>
                <w:sz w:val="20"/>
              </w:rPr>
              <w:t xml:space="preserve">”) and at a price in cash equal to 101% of the aggregate principal amount of Notes repurchased plus any accrued and unpaid interest on the Notes repurchased to, but not including, the Second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PRIOR TO MATURITY. The Indenture contains provisions for defeasance of (i) the entire indebtedness of the Notes or (ii) certain covenants and Events of Default with respect to the Notes, in each case upon compliance with certain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The Indenture and the Officer’s Certificate impose certain limitations on the Company and its Subsidiaries, including limitations on the Company’s and its Subsidiaries’ ability to create or incur certain Liens on any of their respective properties or assets and to enter into certain sale and lease-back transactions and on the Company’s ability to engage in mergers or consolidations or the conveyance, transfer or lease of all or substantially all of its properties and assets. These limitations are subject to a number of important qualifications and exceptions and reference is made to the Indenture and the Officer’s Certificate for a description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EXCHANGE. The Notes are in registered form without coupons in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OWNERS. The registered Holder of a Note may be treated as its owner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Subject to certain exceptions, the Indenture or the Notes may be amended or supplemented with the consent of the Holders of at least a majority in aggregate principal amount of the then outstanding Notes voting as a single class, and any existing Default or Event of Default or compliance with any provision of the Indenture or the Notes may be waived with the consent of the Holders of a majority in aggregate principal amount of the then outstanding Notes voting as a single class. Without the consent of any Holder of a Note, the Indenture or the Notes may be amended or supplemented to cure any ambiguity, defect or inconsistency; to comply with Article V of the Indenture; to provide for uncertificated Notes in addition to or in place of certificated Notes; to add guarantees with respect to the Notes or secure the Notes; to surrender any of the Company’s rights or powers under the Indenture; to add covenants or events of default for the benefit of the Holders of the Notes; to comply with the applicable procedures of the applicable depositary; to make any change that would not adversely affect the rights under the Indenture of any such Holder in any material respect; to provide for the issuance of and establish the form and terms and conditions of Notes of any series as permitted by the Indenture; to evidence and provide for the acceptance of appointment under the Indenture by a successor trustee with respect to the Notes and to add to or change any of the provisions of the Indenture necessary to provide for the administration of the trusts in the Indenture by more than one trustee; or to comply with the requirements of the SEC in order to effect or maintain the qualification of the Indenture under the TIA. No amendment to cure any ambiguity, defect or inconsistency in the Indenture made solely to conform the Indenture to the description of notes contained in the Prospectus Supplement related to the Notes, dated February 17, 2026, will be deemed to adversely affect the interests of the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If an Event of Default shall occur and be continuing, the principal of the Notes may be declared (or, in certain cases, shall ipso facto become) due and payable in the manner and with the effect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COMPANY. The Trustee under the Indenture, in its individual or any other capacity, may deal with the Company or an Affiliate of the Company with the same rights it would have if it were not Trustee.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A director, officer, employee or stockholder of the Company shall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This Note will not be valid until authenticated by the manual signature of the Trustee or an authenticating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THE INDENTURE AND THIS NOTE, INCLUDING ANY CLAIM OR CONTROVERSY ARISING OUT OF OR RELATED TO THE INDENTURE OR THIS NOTE, SHALL BE GOVERNED BY THE LAWS OF THE STATE OF NEW YORK.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and/or the Officer’s Certificate. </w:t>
      </w:r>
    </w:p>
    <w:p>
      <w:pPr>
        <w:pStyle w:val="TextBody"/>
        <w:bidi w:val="0"/>
        <w:spacing w:before="240" w:after="0"/>
        <w:jc w:val="center"/>
        <w:rPr>
          <w:rFonts w:ascii="Times New Roman" w:hAnsi="Times New Roman"/>
          <w:sz w:val="20"/>
        </w:rPr>
      </w:pPr>
      <w:r>
        <w:rPr>
          <w:rFonts w:ascii="Times New Roman" w:hAnsi="Times New Roman"/>
          <w:b/>
          <w:i/>
          <w:sz w:val="20"/>
        </w:rPr>
        <w:t>Requests may be made to</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Amgen Inc. </w:t>
      </w:r>
    </w:p>
    <w:p>
      <w:pPr>
        <w:pStyle w:val="TextBody"/>
        <w:bidi w:val="0"/>
        <w:spacing w:before="0" w:after="0"/>
        <w:jc w:val="center"/>
        <w:rPr>
          <w:rFonts w:ascii="Times New Roman" w:hAnsi="Times New Roman"/>
          <w:sz w:val="20"/>
        </w:rPr>
      </w:pPr>
      <w:r>
        <w:rPr>
          <w:rFonts w:ascii="Times New Roman" w:hAnsi="Times New Roman"/>
          <w:sz w:val="20"/>
        </w:rPr>
        <w:t xml:space="preserve">One Amgen Center Drive </w:t>
      </w:r>
    </w:p>
    <w:p>
      <w:pPr>
        <w:pStyle w:val="TextBody"/>
        <w:bidi w:val="0"/>
        <w:spacing w:before="0" w:after="0"/>
        <w:jc w:val="center"/>
        <w:rPr>
          <w:rFonts w:ascii="Times New Roman" w:hAnsi="Times New Roman"/>
          <w:sz w:val="20"/>
        </w:rPr>
      </w:pPr>
      <w:r>
        <w:rPr>
          <w:rFonts w:ascii="Times New Roman" w:hAnsi="Times New Roman"/>
          <w:sz w:val="20"/>
        </w:rPr>
        <w:t xml:space="preserve">Thousand Oaks, CA 91320-1799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66"/>
        <w:gridCol w:w="129"/>
        <w:gridCol w:w="6110"/>
      </w:tblGrid>
      <w:tr>
        <w:trPr/>
        <w:tc>
          <w:tcPr>
            <w:tcW w:w="396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3966" w:type="dxa"/>
            <w:tcBorders/>
          </w:tcPr>
          <w:p>
            <w:pPr>
              <w:pStyle w:val="TableContents"/>
              <w:bidi w:val="0"/>
              <w:spacing w:before="0" w:after="283"/>
              <w:jc w:val="left"/>
              <w:rPr/>
            </w:pPr>
            <w:r>
              <w:rPr/>
              <w:t>(I) or (we) assign and transfer this Note to:</w:t>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u w:val="single"/>
              </w:rPr>
            </w:pPr>
            <w:r>
              <w:rPr>
                <w:u w:val="single"/>
              </w:rPr>
              <w:t>                      </w:t>
            </w:r>
          </w:p>
        </w:tc>
      </w:tr>
      <w:tr>
        <w:trPr/>
        <w:tc>
          <w:tcPr>
            <w:tcW w:w="3966"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pPr>
            <w:r>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7"/>
        <w:gridCol w:w="135"/>
        <w:gridCol w:w="7793"/>
      </w:tblGrid>
      <w:tr>
        <w:trPr/>
        <w:tc>
          <w:tcPr>
            <w:tcW w:w="227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277" w:type="dxa"/>
            <w:tcBorders/>
          </w:tcPr>
          <w:p>
            <w:pPr>
              <w:pStyle w:val="TableContents"/>
              <w:bidi w:val="0"/>
              <w:spacing w:before="0" w:after="283"/>
              <w:jc w:val="left"/>
              <w:rPr/>
            </w:pPr>
            <w:r>
              <w:rPr/>
              <w:t>and irrevocably appoint </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779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76" w:type="dxa"/>
            <w:tcBorders>
              <w:bottom w:val="single" w:sz="2" w:space="0" w:color="000000"/>
            </w:tcBorders>
            <w:tcMar>
              <w:bottom w:w="28" w:type="dxa"/>
            </w:tcMar>
          </w:tcPr>
          <w:p>
            <w:pPr>
              <w:pStyle w:val="TableContents"/>
              <w:bidi w:val="0"/>
              <w:spacing w:before="0" w:after="283"/>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2046 Note </w:t>
      </w:r>
    </w:p>
    <w:p>
      <w:pPr>
        <w:pStyle w:val="TextBody"/>
        <w:bidi w:val="0"/>
        <w:spacing w:before="120" w:after="0"/>
        <w:jc w:val="center"/>
        <w:rPr>
          <w:rFonts w:ascii="Times New Roman" w:hAnsi="Times New Roman"/>
          <w:sz w:val="20"/>
        </w:rPr>
      </w:pPr>
      <w:r>
        <w:rPr>
          <w:rFonts w:ascii="Times New Roman" w:hAnsi="Times New Roman"/>
          <w:sz w:val="20"/>
        </w:rPr>
        <w:t xml:space="preserve">[Face of Note]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right"/>
        <w:rPr>
          <w:rFonts w:ascii="Times New Roman" w:hAnsi="Times New Roman"/>
          <w:sz w:val="20"/>
        </w:rPr>
      </w:pPr>
      <w:r>
        <w:rPr>
          <w:rFonts w:ascii="Times New Roman" w:hAnsi="Times New Roman"/>
          <w:sz w:val="20"/>
        </w:rPr>
        <w:t xml:space="preserve">CUSIP 031162 DX5 </w:t>
      </w:r>
    </w:p>
    <w:p>
      <w:pPr>
        <w:pStyle w:val="TextBody"/>
        <w:bidi w:val="0"/>
        <w:spacing w:before="240" w:after="0"/>
        <w:jc w:val="center"/>
        <w:rPr>
          <w:rFonts w:ascii="Times New Roman" w:hAnsi="Times New Roman"/>
          <w:b/>
          <w:sz w:val="20"/>
        </w:rPr>
      </w:pPr>
      <w:r>
        <w:rPr>
          <w:rFonts w:ascii="Times New Roman" w:hAnsi="Times New Roman"/>
          <w:b/>
          <w:sz w:val="20"/>
        </w:rPr>
        <w:t xml:space="preserve">5.500% Senior Notes due 2046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bidi w:val="0"/>
              <w:spacing w:before="0" w:after="283"/>
              <w:jc w:val="left"/>
              <w:rPr/>
            </w:pPr>
            <w:r>
              <w:rPr/>
              <w:t>No. __</w:t>
            </w:r>
          </w:p>
        </w:tc>
        <w:tc>
          <w:tcPr>
            <w:tcW w:w="126"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AMGEN INC.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sum of </w:t>
      </w:r>
      <w:r>
        <w:rPr>
          <w:rFonts w:ascii="Times New Roman" w:hAnsi="Times New Roman"/>
          <w:b/>
          <w:sz w:val="20"/>
        </w:rPr>
        <w:t>__________________________ DOLLARS</w:t>
      </w:r>
      <w:r>
        <w:rPr>
          <w:rFonts w:ascii="Times New Roman" w:hAnsi="Times New Roman"/>
          <w:sz w:val="20"/>
        </w:rPr>
        <w:t xml:space="preserve"> on February 19, 2046.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day prior to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b/>
          <w:sz w:val="20"/>
        </w:rPr>
        <w:t>February</w:t>
      </w:r>
      <w:r>
        <w:rPr>
          <w:rFonts w:ascii="Times New Roman" w:hAnsi="Times New Roman"/>
          <w:sz w:val="20"/>
        </w:rPr>
        <w:t> </w:t>
      </w:r>
      <w:r>
        <w:rPr>
          <w:rFonts w:ascii="Times New Roman" w:hAnsi="Times New Roman"/>
          <w:b/>
          <w:sz w:val="20"/>
        </w:rPr>
        <w:t>19, 2026</w:t>
      </w:r>
      <w:r>
        <w:rPr>
          <w:rFonts w:ascii="Times New Roman" w:hAnsi="Times New Roman"/>
          <w:sz w:val="20"/>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AMGEN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BANK OF NEW YORK MELLON TRUST COMPANY, N.A.</w:t>
            </w:r>
            <w:r>
              <w:rPr/>
              <w:t>, as Trustee</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Authorized Officer </w:t>
            </w:r>
          </w:p>
        </w:tc>
      </w:tr>
    </w:tbl>
    <w:tbl>
      <w:tblPr>
        <w:tblW w:w="2000" w:type="pct"/>
        <w:jc w:val="left"/>
        <w:tblInd w:w="0" w:type="dxa"/>
        <w:tblLayout w:type="fixed"/>
        <w:tblCellMar>
          <w:top w:w="0" w:type="dxa"/>
          <w:left w:w="0" w:type="dxa"/>
          <w:bottom w:w="0" w:type="dxa"/>
          <w:right w:w="0" w:type="dxa"/>
        </w:tblCellMar>
      </w:tblPr>
      <w:tblGrid>
        <w:gridCol w:w="2047"/>
        <w:gridCol w:w="60"/>
        <w:gridCol w:w="1975"/>
      </w:tblGrid>
      <w:tr>
        <w:trPr/>
        <w:tc>
          <w:tcPr>
            <w:tcW w:w="20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047" w:type="dxa"/>
            <w:tcBorders/>
            <w:vAlign w:val="center"/>
          </w:tcPr>
          <w:p>
            <w:pPr>
              <w:pStyle w:val="TableContents"/>
              <w:bidi w:val="0"/>
              <w:spacing w:before="0" w:after="283"/>
              <w:jc w:val="left"/>
              <w:rPr>
                <w:sz w:val="4"/>
                <w:szCs w:val="4"/>
              </w:rPr>
            </w:pPr>
            <w:r>
              <w:rPr>
                <w:sz w:val="4"/>
                <w:szCs w:val="4"/>
              </w:rPr>
            </w:r>
          </w:p>
        </w:tc>
        <w:tc>
          <w:tcPr>
            <w:tcW w:w="2035" w:type="dxa"/>
            <w:gridSpan w:val="2"/>
            <w:tcBorders/>
            <w:vAlign w:val="center"/>
          </w:tcPr>
          <w:p>
            <w:pPr>
              <w:pStyle w:val="TableContents"/>
              <w:bidi w:val="0"/>
              <w:spacing w:before="0" w:after="283"/>
              <w:jc w:val="left"/>
              <w:rPr>
                <w:sz w:val="4"/>
                <w:szCs w:val="4"/>
              </w:rPr>
            </w:pPr>
            <w:r>
              <w:rPr>
                <w:sz w:val="4"/>
                <w:szCs w:val="4"/>
              </w:rPr>
            </w:r>
          </w:p>
        </w:tc>
      </w:tr>
      <w:tr>
        <w:trPr/>
        <w:tc>
          <w:tcPr>
            <w:tcW w:w="2047" w:type="dxa"/>
            <w:tcBorders/>
          </w:tcPr>
          <w:p>
            <w:pPr>
              <w:pStyle w:val="TableContents"/>
              <w:bidi w:val="0"/>
              <w:spacing w:before="0" w:after="283"/>
              <w:jc w:val="left"/>
              <w:rPr/>
            </w:pPr>
            <w:r>
              <w:rPr/>
              <w:t>Authentication 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75"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2046 Senior Notes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0" w:after="0"/>
        <w:jc w:val="center"/>
        <w:rPr>
          <w:rFonts w:ascii="Times New Roman" w:hAnsi="Times New Roman"/>
          <w:b/>
          <w:sz w:val="20"/>
        </w:rPr>
      </w:pPr>
      <w:r>
        <w:rPr>
          <w:rFonts w:ascii="Times New Roman" w:hAnsi="Times New Roman"/>
          <w:b/>
          <w:sz w:val="20"/>
        </w:rPr>
        <w:t xml:space="preserve">5.500% SENIOR NOTES DUE 2046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INTEREST. Amgen Inc., a Delaware corporation (the “</w:t>
            </w:r>
            <w:r>
              <w:rPr>
                <w:rFonts w:ascii="Times New Roman" w:hAnsi="Times New Roman"/>
                <w:b/>
                <w:sz w:val="20"/>
              </w:rPr>
              <w:t>Company</w:t>
            </w:r>
            <w:r>
              <w:rPr>
                <w:rFonts w:ascii="Times New Roman" w:hAnsi="Times New Roman"/>
                <w:sz w:val="20"/>
              </w:rPr>
              <w:t>”), promises to pay interest on the principal amount of this Note at 5.500% per annum from February 19, 2026 until maturity. The Company will pay interest in cash semi-annually in arrears on February 19 and August 19 of each year, or if any such day is not a Business Day, on the next succeeding Business Day (each, an “</w:t>
            </w:r>
            <w:r>
              <w:rPr>
                <w:rFonts w:ascii="Times New Roman" w:hAnsi="Times New Roman"/>
                <w:b/>
                <w:sz w:val="20"/>
              </w:rPr>
              <w:t>Interest Payment Date</w:t>
            </w:r>
            <w:r>
              <w:rPr>
                <w:rFonts w:ascii="Times New Roman" w:hAnsi="Times New Roman"/>
                <w:sz w:val="20"/>
              </w:rPr>
              <w:t xml:space="preserve">”). Interest on the Notes will accrue from the most recent date to which interest has been paid or, if no interest has been paid, from the date of issuance; provided that the first Interest Payment Date shall be August 19, 2026; provided further that after August 19, 2026, if there is no existing Default in the payment of interest, and if this Note is authenticated between a record date referred to on the face hereof and the next succeeding Interest Payment Date, interest shall accrue from such next succeeding Interest Payment Date. The interest rate will be computed on the basis of a 360-day year of twelve 30-day calendar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 OF PAYMENT. The Company will pay interest on the Notes (except defaulted interest) to the Persons who are registered Holders of Notes at the close of business on the day that is 15 days prior to the next succeeding Interest Payment Date (whether or not such day is a Business Day), even if such Notes are canceled after such record date and on or before such Interest Payment Date, except as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provided in Section 2.13 of the Indenture with respect to defaulted interest. The Notes will be payable as to principal and interest at the office or agency of the Company maintained for such purpose in the Borough of Manhattan, the City and State of New York (or, if the Company fails to maintain such office or agency, at the corporate trust office of the trustee in New York, New York or if the trustee does not maintain an office in New York, at the office of a paying agent in New York), or, at the option of the Company, payment of interest may be made by check mailed to the Holders at their addresses set forth in the register of Holders</w:t>
            </w:r>
            <w:r>
              <w:rPr>
                <w:i/>
              </w:rPr>
              <w:t xml:space="preserve">; provided </w:t>
            </w:r>
            <w:r>
              <w:rPr/>
              <w:t xml:space="preserve">that payment by wire transfer of immediately available funds will be required with respect to principal of and interest on all Global Securities and all other Notes the Holders of which will have provided wire transfer instructions to the Company or the Paying Agent. Such payment will be in the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AGENT AND REGISTRAR.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INDENTURE. The terms of the Notes include those stated in the Indenture dated May 22, 2014, between the Company and the Trustee (the “</w:t>
            </w:r>
            <w:r>
              <w:rPr>
                <w:rFonts w:ascii="Times New Roman" w:hAnsi="Times New Roman"/>
                <w:b/>
                <w:sz w:val="20"/>
              </w:rPr>
              <w:t>Indenture</w:t>
            </w:r>
            <w:r>
              <w:rPr>
                <w:rFonts w:ascii="Times New Roman" w:hAnsi="Times New Roman"/>
                <w:sz w:val="20"/>
              </w:rPr>
              <w:t>”), and those made part of the Indenture by the Officer’s Certificate dated February 19, 2026, delivered pursuant thereto (the “</w:t>
            </w:r>
            <w:r>
              <w:rPr>
                <w:rFonts w:ascii="Times New Roman" w:hAnsi="Times New Roman"/>
                <w:b/>
                <w:sz w:val="20"/>
              </w:rPr>
              <w:t>Officer’s Certificate</w:t>
            </w:r>
            <w:r>
              <w:rPr>
                <w:rFonts w:ascii="Times New Roman" w:hAnsi="Times New Roman"/>
                <w:sz w:val="20"/>
              </w:rPr>
              <w:t xml:space="preserve">”) and the TIA. The Notes are subject to all such terms, and the Holders are referred to the Indenture and the TIA for a statement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OPTIONAL REDEMPTION. At any time prior to maturity, the Company will have the option to redeem all or a part of the Notes upon not less than 10 nor more than 60 days’ notice. If the Notes are redeemed before August 19, 2045 (six months prior to the maturity date of the Notes), the redemption price will equal the sum of (1) 100% of the principal amount of any Notes being redeemed, plus accrued and unpaid interest to, but not including, the redemption date, and (2) the Make-Whole Amount. If the Notes are redeemed on or after August 19, 2045 (six months prior to the maturity date of the Notes), the redemption price will equal 100% of the principal amount being redeemed, plus accrued and unpaid interest to, but not including, the redemption date. Unless the Company defaults in the payment of the redemption price, interest will cease to accrue on the Notes or portions thereof called for redemption on the applicable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REDEMPTION. Notice of redemption will be mailed at least 10 days but not more than 60 days before the redemption date 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$2,000 may be redeemed in part but only in whole multiples of $1,000, unless all of the Notes held by a Holder are to be redeemed. Notices of redemption for the Notes may be conditional.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MANDATORY REDEMPTION. Except as provided in Section 8 below, the Company is not required to make mandatory redemption or sinking fund payments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TRIGGERING EVENT. In the event of a Change of Control Triggering Event, the Holders may require the Company to purchase for cash all or a portion of their Notes at a purchase price equal to 101% of the principal amount of the Notes, plus accrued and unpaid interest, if any, pursuant to the provisions of Section 7 of the Officer’s Certificate. If holders of not less than 90% in aggregate principal amount of the outstanding Notes validly tender and do not withdraw such Notes in a Change Of Control Offer and the Company, or any third party making such an offer in lieu of the Company, purchases all of the Notes validly tendered and not withdrawn by such holders, the Company or such third party will have the right, upon not less than 10 days nor more than 60 days’ prior notice, provided that such notice is given not more than 30 days following such repurchase pursuant to the Change Of Control Offer described above, to redeem all Notes that remain outstanding following such purchase on a date specified in such notice (the “</w:t>
            </w:r>
            <w:r>
              <w:rPr>
                <w:rFonts w:ascii="Times New Roman" w:hAnsi="Times New Roman"/>
                <w:b/>
                <w:sz w:val="20"/>
              </w:rPr>
              <w:t>Second Change Of Control Payment Date</w:t>
            </w:r>
            <w:r>
              <w:rPr>
                <w:rFonts w:ascii="Times New Roman" w:hAnsi="Times New Roman"/>
                <w:sz w:val="20"/>
              </w:rPr>
              <w:t xml:space="preserve">”) and at a price in cash equal to 101% of the aggregate principal amount of Notes repurchased plus any accrued and unpaid interest on the Notes repurchased to, but not including, the Second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PRIOR TO MATURITY. The Indenture contains provisions for defeasance of (i) the entire indebtedness of the Notes or (ii) certain covenants and Events of Default with respect to the Notes, in each case upon compliance with certain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The Indenture and the Officer’s Certificate impose certain limitations on the Company and its Subsidiaries, including limitations on the Company’s and its Subsidiaries’ ability to create or incur certain Liens on any of their respective properties or assets and to enter into certain sale and lease-back transactions and on the Company’s ability to engage in mergers or consolidations or the conveyance, transfer or lease of all or substantially all of its properties and assets. These limitations are subject to a number of important qualifications and exceptions and reference is made to the Indenture and the Officer’s Certificate for a description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EXCHANGE. The Notes are in registered form without coupons in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OWNERS. The registered Holder of a Note may be treated as its owner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Subject to certain exceptions, the Indenture or the Notes may be amended or supplemented with the consent of the Holders of at least a majority in aggregate principal amount of the then outstanding Notes voting as a single class, and any existing Default or Event of Default or compliance with any provision of the Indenture or the Notes may be waived with the consent of the Holders of a majority in aggregate principal amount of the then outstanding Notes voting as a single class. Without the consent of any Holder of a Note, the Indenture or the Notes may be amended or supplemented to cure any ambiguity, defect or inconsistency; to comply with Article V of the Indenture; to provide for uncertificated Notes in addition to or in place of certificated Notes; to add guarantees with respect to the Notes or secure the Notes; to surrender any of the Company’s rights or powers under the Indenture; to add covenants or events of default for the benefit of the Holders of the Notes; to comply with the applicable procedures of the applicable depositary; to make any change that would not adversely affect the rights under the Indenture of any such Holder in any material respect; to provide for the issuance of and establish the form and terms and conditions of Notes of any series as permitted by the Indenture; to evidence and provide for the acceptance of appointment under the Indenture by a successor trustee with respect to the Notes and to add to or change any of the provisions of the Indenture necessary to provide for the administration of the trusts in the Indenture by more than one trustee; or to comply with the requirements of the SEC in order to effect or maintain the qualification of the Indenture under the TIA. No amendment to cure any ambiguity, defect or inconsistency in the Indenture made solely to conform the Indenture to the description of notes contained in the Prospectus Supplement related to the Notes, dated February 17, 2026, will be deemed to adversely affect the interests of the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If an Event of Default shall occur and be continuing, the principal of the Notes may be declared (or, in certain cases, shall ipso facto become) due and payable in the manner and with the effect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COMPANY. The Trustee under the Indenture, in its individual or any other capacity, may deal with the Company or an Affiliate of the Company with the same rights it would have if it were not Trustee.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A director, officer, employee or stockholder of the Company shall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This Note will not be valid until authenticated by the manual signature of the Trustee or an authenticating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THE INDENTURE AND THIS NOTE, INCLUDING ANY CLAIM OR CONTROVERSY ARISING OUT OF OR RELATED TO THE INDENTURE OR THIS NOTE, SHALL BE GOVERNED BY THE LAWS OF THE STATE OF NEW YORK.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and/or the Officer’s Certificate. </w:t>
      </w:r>
    </w:p>
    <w:p>
      <w:pPr>
        <w:pStyle w:val="TextBody"/>
        <w:bidi w:val="0"/>
        <w:spacing w:before="240" w:after="0"/>
        <w:jc w:val="center"/>
        <w:rPr>
          <w:rFonts w:ascii="Times New Roman" w:hAnsi="Times New Roman"/>
          <w:sz w:val="20"/>
        </w:rPr>
      </w:pPr>
      <w:r>
        <w:rPr>
          <w:rFonts w:ascii="Times New Roman" w:hAnsi="Times New Roman"/>
          <w:b/>
          <w:i/>
          <w:sz w:val="20"/>
        </w:rPr>
        <w:t>Requests may be made to</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Amgen Inc. </w:t>
      </w:r>
    </w:p>
    <w:p>
      <w:pPr>
        <w:pStyle w:val="TextBody"/>
        <w:bidi w:val="0"/>
        <w:spacing w:before="0" w:after="0"/>
        <w:jc w:val="center"/>
        <w:rPr>
          <w:rFonts w:ascii="Times New Roman" w:hAnsi="Times New Roman"/>
          <w:sz w:val="20"/>
        </w:rPr>
      </w:pPr>
      <w:r>
        <w:rPr>
          <w:rFonts w:ascii="Times New Roman" w:hAnsi="Times New Roman"/>
          <w:sz w:val="20"/>
        </w:rPr>
        <w:t xml:space="preserve">One Amgen Center Drive </w:t>
      </w:r>
    </w:p>
    <w:p>
      <w:pPr>
        <w:pStyle w:val="TextBody"/>
        <w:bidi w:val="0"/>
        <w:spacing w:before="0" w:after="0"/>
        <w:jc w:val="center"/>
        <w:rPr>
          <w:rFonts w:ascii="Times New Roman" w:hAnsi="Times New Roman"/>
          <w:sz w:val="20"/>
        </w:rPr>
      </w:pPr>
      <w:r>
        <w:rPr>
          <w:rFonts w:ascii="Times New Roman" w:hAnsi="Times New Roman"/>
          <w:sz w:val="20"/>
        </w:rPr>
        <w:t xml:space="preserve">Thousand Oaks, CA 91320-1799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66"/>
        <w:gridCol w:w="129"/>
        <w:gridCol w:w="6110"/>
      </w:tblGrid>
      <w:tr>
        <w:trPr/>
        <w:tc>
          <w:tcPr>
            <w:tcW w:w="396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3966" w:type="dxa"/>
            <w:tcBorders/>
          </w:tcPr>
          <w:p>
            <w:pPr>
              <w:pStyle w:val="TableContents"/>
              <w:bidi w:val="0"/>
              <w:spacing w:before="0" w:after="283"/>
              <w:jc w:val="left"/>
              <w:rPr/>
            </w:pPr>
            <w:r>
              <w:rPr/>
              <w:t>(I) or (we) assign and transfer this Note to:</w:t>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u w:val="single"/>
              </w:rPr>
            </w:pPr>
            <w:r>
              <w:rPr>
                <w:u w:val="single"/>
              </w:rPr>
              <w:t>                     </w:t>
            </w:r>
          </w:p>
        </w:tc>
      </w:tr>
      <w:tr>
        <w:trPr/>
        <w:tc>
          <w:tcPr>
            <w:tcW w:w="3966"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pPr>
            <w:r>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7"/>
        <w:gridCol w:w="135"/>
        <w:gridCol w:w="7793"/>
      </w:tblGrid>
      <w:tr>
        <w:trPr/>
        <w:tc>
          <w:tcPr>
            <w:tcW w:w="227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277" w:type="dxa"/>
            <w:tcBorders/>
          </w:tcPr>
          <w:p>
            <w:pPr>
              <w:pStyle w:val="TableContents"/>
              <w:bidi w:val="0"/>
              <w:spacing w:before="0" w:after="283"/>
              <w:jc w:val="left"/>
              <w:rPr/>
            </w:pPr>
            <w:r>
              <w:rPr/>
              <w:t>and irrevocably appoint</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779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76" w:type="dxa"/>
            <w:tcBorders>
              <w:bottom w:val="single" w:sz="2" w:space="0" w:color="000000"/>
            </w:tcBorders>
            <w:tcMar>
              <w:bottom w:w="28" w:type="dxa"/>
            </w:tcMar>
          </w:tcPr>
          <w:p>
            <w:pPr>
              <w:pStyle w:val="TableContents"/>
              <w:bidi w:val="0"/>
              <w:spacing w:before="0" w:after="283"/>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D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2056 Note </w:t>
      </w:r>
    </w:p>
    <w:p>
      <w:pPr>
        <w:pStyle w:val="TextBody"/>
        <w:bidi w:val="0"/>
        <w:spacing w:before="120" w:after="0"/>
        <w:jc w:val="center"/>
        <w:rPr>
          <w:rFonts w:ascii="Times New Roman" w:hAnsi="Times New Roman"/>
          <w:sz w:val="20"/>
        </w:rPr>
      </w:pPr>
      <w:r>
        <w:rPr>
          <w:rFonts w:ascii="Times New Roman" w:hAnsi="Times New Roman"/>
          <w:sz w:val="20"/>
        </w:rPr>
        <w:t xml:space="preserve">[Face of Note]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right"/>
        <w:rPr>
          <w:rFonts w:ascii="Times New Roman" w:hAnsi="Times New Roman"/>
          <w:sz w:val="20"/>
        </w:rPr>
      </w:pPr>
      <w:r>
        <w:rPr>
          <w:rFonts w:ascii="Times New Roman" w:hAnsi="Times New Roman"/>
          <w:sz w:val="20"/>
        </w:rPr>
        <w:t xml:space="preserve">CUSIP 031162 DY3 </w:t>
      </w:r>
    </w:p>
    <w:p>
      <w:pPr>
        <w:pStyle w:val="TextBody"/>
        <w:bidi w:val="0"/>
        <w:spacing w:before="240" w:after="0"/>
        <w:jc w:val="center"/>
        <w:rPr>
          <w:rFonts w:ascii="Times New Roman" w:hAnsi="Times New Roman"/>
          <w:b/>
          <w:sz w:val="20"/>
        </w:rPr>
      </w:pPr>
      <w:r>
        <w:rPr>
          <w:rFonts w:ascii="Times New Roman" w:hAnsi="Times New Roman"/>
          <w:b/>
          <w:sz w:val="20"/>
        </w:rPr>
        <w:t xml:space="preserve">5.650% Senior Notes due 2056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4"/>
        <w:gridCol w:w="126"/>
        <w:gridCol w:w="4865"/>
      </w:tblGrid>
      <w:tr>
        <w:trPr/>
        <w:tc>
          <w:tcPr>
            <w:tcW w:w="521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4" w:type="dxa"/>
            <w:tcBorders/>
            <w:vAlign w:val="bottom"/>
          </w:tcPr>
          <w:p>
            <w:pPr>
              <w:pStyle w:val="TableContents"/>
              <w:bidi w:val="0"/>
              <w:spacing w:before="0" w:after="283"/>
              <w:jc w:val="left"/>
              <w:rPr/>
            </w:pPr>
            <w:r>
              <w:rPr/>
              <w:t>No. __</w:t>
            </w:r>
          </w:p>
        </w:tc>
        <w:tc>
          <w:tcPr>
            <w:tcW w:w="126" w:type="dxa"/>
            <w:tcBorders/>
            <w:vAlign w:val="bottom"/>
          </w:tcPr>
          <w:p>
            <w:pPr>
              <w:pStyle w:val="TableContents"/>
              <w:bidi w:val="0"/>
              <w:spacing w:before="0" w:after="283"/>
              <w:jc w:val="left"/>
              <w:rPr/>
            </w:pPr>
            <w:r>
              <w:rPr/>
              <w:t>  </w:t>
            </w:r>
          </w:p>
        </w:tc>
        <w:tc>
          <w:tcPr>
            <w:tcW w:w="4865" w:type="dxa"/>
            <w:tcBorders/>
            <w:vAlign w:val="bottom"/>
          </w:tcPr>
          <w:p>
            <w:pPr>
              <w:pStyle w:val="TableContents"/>
              <w:bidi w:val="0"/>
              <w:spacing w:before="0" w:after="283"/>
              <w:jc w:val="right"/>
              <w:rPr/>
            </w:pPr>
            <w:r>
              <w:rPr/>
              <w:t>$_______________</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AMGEN INC.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sum of </w:t>
      </w:r>
      <w:r>
        <w:rPr>
          <w:rFonts w:ascii="Times New Roman" w:hAnsi="Times New Roman"/>
          <w:b/>
          <w:sz w:val="20"/>
        </w:rPr>
        <w:t>__________________________ DOLLARS</w:t>
      </w:r>
      <w:r>
        <w:rPr>
          <w:rFonts w:ascii="Times New Roman" w:hAnsi="Times New Roman"/>
          <w:sz w:val="20"/>
        </w:rPr>
        <w:t xml:space="preserve"> on February 19, 2056.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Record Dates: 15th day prior to February 19 and August 19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b/>
          <w:sz w:val="20"/>
        </w:rPr>
        <w:t>February</w:t>
      </w:r>
      <w:r>
        <w:rPr>
          <w:rFonts w:ascii="Times New Roman" w:hAnsi="Times New Roman"/>
          <w:sz w:val="20"/>
        </w:rPr>
        <w:t> </w:t>
      </w:r>
      <w:r>
        <w:rPr>
          <w:rFonts w:ascii="Times New Roman" w:hAnsi="Times New Roman"/>
          <w:b/>
          <w:sz w:val="20"/>
        </w:rPr>
        <w:t>19, 2026</w:t>
      </w:r>
      <w:r>
        <w:rPr>
          <w:rFonts w:ascii="Times New Roman" w:hAnsi="Times New Roman"/>
          <w:sz w:val="20"/>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AMGEN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4" w:type="dxa"/>
            <w:tcBorders>
              <w:bottom w:val="single" w:sz="2" w:space="0" w:color="000000"/>
            </w:tcBorders>
            <w:tcMar>
              <w:bottom w:w="28" w:type="dxa"/>
            </w:tcMar>
          </w:tcPr>
          <w:p>
            <w:pPr>
              <w:pStyle w:val="TableContents"/>
              <w:bidi w:val="0"/>
              <w:spacing w:before="0" w:after="283"/>
              <w:jc w:val="left"/>
              <w:rPr/>
            </w:pPr>
            <w:r>
              <w:rPr/>
              <w:t> </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w:t>
      </w:r>
    </w:p>
    <w:p>
      <w:pPr>
        <w:pStyle w:val="TextBody"/>
        <w:bidi w:val="0"/>
        <w:spacing w:before="0" w:after="0"/>
        <w:jc w:val="left"/>
        <w:rPr>
          <w:rFonts w:ascii="Times New Roman" w:hAnsi="Times New Roman"/>
          <w:sz w:val="20"/>
        </w:rPr>
      </w:pPr>
      <w:r>
        <w:rPr>
          <w:rFonts w:ascii="Times New Roman" w:hAnsi="Times New Roman"/>
          <w:sz w:val="20"/>
        </w:rPr>
        <w:t xml:space="preserve">in the within-mentioned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99"/>
        <w:gridCol w:w="60"/>
        <w:gridCol w:w="3623"/>
      </w:tblGrid>
      <w:tr>
        <w:trPr/>
        <w:tc>
          <w:tcPr>
            <w:tcW w:w="39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THE BANK OF NEW YORK MELLON TRUST COMPANY, N.A.</w:t>
            </w:r>
            <w:r>
              <w:rPr/>
              <w:t>, as Trustee</w:t>
            </w:r>
          </w:p>
        </w:tc>
      </w:tr>
      <w:tr>
        <w:trPr>
          <w:trHeight w:val="240" w:hRule="atLeast"/>
        </w:trPr>
        <w:tc>
          <w:tcPr>
            <w:tcW w:w="399" w:type="dxa"/>
            <w:tcBorders/>
            <w:vAlign w:val="center"/>
          </w:tcPr>
          <w:p>
            <w:pPr>
              <w:pStyle w:val="TableContents"/>
              <w:bidi w:val="0"/>
              <w:spacing w:before="0" w:after="283"/>
              <w:jc w:val="left"/>
              <w:rPr>
                <w:sz w:val="4"/>
                <w:szCs w:val="4"/>
              </w:rPr>
            </w:pPr>
            <w:r>
              <w:rPr>
                <w:sz w:val="4"/>
                <w:szCs w:val="4"/>
              </w:rPr>
            </w:r>
          </w:p>
        </w:tc>
        <w:tc>
          <w:tcPr>
            <w:tcW w:w="3683" w:type="dxa"/>
            <w:gridSpan w:val="2"/>
            <w:tcBorders/>
            <w:vAlign w:val="center"/>
          </w:tcPr>
          <w:p>
            <w:pPr>
              <w:pStyle w:val="TableContents"/>
              <w:bidi w:val="0"/>
              <w:spacing w:before="0" w:after="283"/>
              <w:jc w:val="left"/>
              <w:rPr>
                <w:sz w:val="4"/>
                <w:szCs w:val="4"/>
              </w:rPr>
            </w:pPr>
            <w:r>
              <w:rPr>
                <w:sz w:val="4"/>
                <w:szCs w:val="4"/>
              </w:rPr>
            </w:r>
          </w:p>
        </w:tc>
      </w:tr>
      <w:tr>
        <w:trPr/>
        <w:tc>
          <w:tcPr>
            <w:tcW w:w="39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3" w:type="dxa"/>
            <w:tcBorders>
              <w:bottom w:val="single" w:sz="2" w:space="0" w:color="000000"/>
            </w:tcBorders>
            <w:tcMar>
              <w:bottom w:w="28" w:type="dxa"/>
            </w:tcMar>
          </w:tcPr>
          <w:p>
            <w:pPr>
              <w:pStyle w:val="TableContents"/>
              <w:bidi w:val="0"/>
              <w:spacing w:before="0" w:after="283"/>
              <w:jc w:val="left"/>
              <w:rPr/>
            </w:pPr>
            <w:r>
              <w:rPr/>
              <w:t> </w:t>
            </w:r>
          </w:p>
        </w:tc>
      </w:tr>
      <w:tr>
        <w:trPr/>
        <w:tc>
          <w:tcPr>
            <w:tcW w:w="39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Authorized Officer </w:t>
            </w:r>
          </w:p>
        </w:tc>
      </w:tr>
    </w:tbl>
    <w:tbl>
      <w:tblPr>
        <w:tblW w:w="2000" w:type="pct"/>
        <w:jc w:val="left"/>
        <w:tblInd w:w="0" w:type="dxa"/>
        <w:tblLayout w:type="fixed"/>
        <w:tblCellMar>
          <w:top w:w="0" w:type="dxa"/>
          <w:left w:w="0" w:type="dxa"/>
          <w:bottom w:w="0" w:type="dxa"/>
          <w:right w:w="0" w:type="dxa"/>
        </w:tblCellMar>
      </w:tblPr>
      <w:tblGrid>
        <w:gridCol w:w="2201"/>
        <w:gridCol w:w="60"/>
        <w:gridCol w:w="1821"/>
      </w:tblGrid>
      <w:tr>
        <w:trPr/>
        <w:tc>
          <w:tcPr>
            <w:tcW w:w="22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201" w:type="dxa"/>
            <w:tcBorders/>
            <w:vAlign w:val="center"/>
          </w:tcPr>
          <w:p>
            <w:pPr>
              <w:pStyle w:val="TableContents"/>
              <w:bidi w:val="0"/>
              <w:spacing w:before="0" w:after="283"/>
              <w:jc w:val="left"/>
              <w:rPr>
                <w:sz w:val="4"/>
                <w:szCs w:val="4"/>
              </w:rPr>
            </w:pPr>
            <w:r>
              <w:rPr>
                <w:sz w:val="4"/>
                <w:szCs w:val="4"/>
              </w:rPr>
            </w:r>
          </w:p>
        </w:tc>
        <w:tc>
          <w:tcPr>
            <w:tcW w:w="1881" w:type="dxa"/>
            <w:gridSpan w:val="2"/>
            <w:tcBorders/>
            <w:vAlign w:val="center"/>
          </w:tcPr>
          <w:p>
            <w:pPr>
              <w:pStyle w:val="TableContents"/>
              <w:bidi w:val="0"/>
              <w:spacing w:before="0" w:after="283"/>
              <w:jc w:val="left"/>
              <w:rPr>
                <w:sz w:val="4"/>
                <w:szCs w:val="4"/>
              </w:rPr>
            </w:pPr>
            <w:r>
              <w:rPr>
                <w:sz w:val="4"/>
                <w:szCs w:val="4"/>
              </w:rPr>
            </w:r>
          </w:p>
        </w:tc>
      </w:tr>
      <w:tr>
        <w:trPr/>
        <w:tc>
          <w:tcPr>
            <w:tcW w:w="2201" w:type="dxa"/>
            <w:tcBorders/>
          </w:tcPr>
          <w:p>
            <w:pPr>
              <w:pStyle w:val="TableContents"/>
              <w:bidi w:val="0"/>
              <w:spacing w:before="0" w:after="283"/>
              <w:jc w:val="left"/>
              <w:rPr/>
            </w:pPr>
            <w:r>
              <w:rPr/>
              <w:t>Authentication 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2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2056 Senior Notes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0" w:after="0"/>
        <w:jc w:val="center"/>
        <w:rPr>
          <w:rFonts w:ascii="Times New Roman" w:hAnsi="Times New Roman"/>
          <w:b/>
          <w:sz w:val="20"/>
        </w:rPr>
      </w:pPr>
      <w:r>
        <w:rPr>
          <w:rFonts w:ascii="Times New Roman" w:hAnsi="Times New Roman"/>
          <w:b/>
          <w:sz w:val="20"/>
        </w:rPr>
        <w:t xml:space="preserve">5.650% SENIOR NOTES DUE 2056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THE DEPOSITORY OR A NOMINEE OF THE DEPOSITORY. THIS SECURITY IS EXCHANGEABLE FOR SECURITIES REGISTERED IN THE NAME OF A PERSON OTHER THAN THE DEPOSITORY OR ITS NOMINEE ONLY IN THE LIMITED CIRCUMSTANCES DESCRIBED IN THE INDENTURE, AND MAY NOT BE TRANSFERRED EXCEPT AS A WHOLE BY THE DEPOSITORY TO A NOMINEE OF THE DEPOSITORY, BY A NOMINEE OF THE DEPOSITORY TO THE DEPOSITORY OR ANOTHER NOMINEE OF THE DEPOSITORY OR BY THE DEPOSITORY OR ANY SUCH NOMINEE TO A SUCCESSOR DEPOSITORY OR A NOMINEE OF SUCH A SUCCESSOR DEPOSITORY.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meanings assigned to them in the Indenture referred to below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INTEREST. Amgen Inc., a Delaware corporation (the “</w:t>
            </w:r>
            <w:r>
              <w:rPr>
                <w:rFonts w:ascii="Times New Roman" w:hAnsi="Times New Roman"/>
                <w:b/>
                <w:sz w:val="20"/>
              </w:rPr>
              <w:t>Company</w:t>
            </w:r>
            <w:r>
              <w:rPr>
                <w:rFonts w:ascii="Times New Roman" w:hAnsi="Times New Roman"/>
                <w:sz w:val="20"/>
              </w:rPr>
              <w:t>”), promises to pay interest on the principal amount of this Note at 5.650% per annum from February 19, 2026 until maturity. The Company will pay interest in cash semi-annually in arrears on February 19 and August 19 of each year, or if any such day is not a Business Day, on the next succeeding Business Day (each, an “</w:t>
            </w:r>
            <w:r>
              <w:rPr>
                <w:rFonts w:ascii="Times New Roman" w:hAnsi="Times New Roman"/>
                <w:b/>
                <w:sz w:val="20"/>
              </w:rPr>
              <w:t>Interest Payment Date</w:t>
            </w:r>
            <w:r>
              <w:rPr>
                <w:rFonts w:ascii="Times New Roman" w:hAnsi="Times New Roman"/>
                <w:sz w:val="20"/>
              </w:rPr>
              <w:t xml:space="preserve">”). Interest on the Notes will accrue from the most recent date to which interest has been paid or, if no interest has been paid, from the date of issuance; provided that the first Interest Payment Date shall be August 19, 2026; provided further that after August 19, 2026, if there is no existing Default in the payment of interest, and if this Note is authenticated between a record date referred to on the face hereof and the next succeeding Interest Payment Date, interest shall accrue from such next succeeding Interest Payment Date. The interest rate will be computed on the basis of a 360-day year of twelve 30-day calendar months.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METHOD OF PAYMENT. The Company will pay interest on the Notes (except defaulted interest) to the Persons who are registered Holders of Notes at the close of business on the day that is 15 days prior to the next succeeding Interest Payment Date (whether or not such day is a Business Day), even if such Notes are canceled after such record date and on or before such Interest Payment Date, except as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provided in Section 2.13 of the Indenture with respect to defaulted interest. The Notes will be payable as to principal and interest at the office or agency of the Company maintained for such purpose in the Borough of Manhattan, the City and State of New York (or, if the Company fails to maintain such office or agency, at the corporate trust office of the trustee in New York, New York or if the trustee does not maintain an office in New York, at the office of a paying agent in New York), or, at the option of the Company, payment of interest may be made by check mailed to the Holders at their addresses set forth in the register of Holders</w:t>
            </w:r>
            <w:r>
              <w:rPr>
                <w:i/>
              </w:rPr>
              <w:t xml:space="preserve">; provided </w:t>
            </w:r>
            <w:r>
              <w:rPr/>
              <w:t xml:space="preserve">that payment by wire transfer of immediately available funds will be required with respect to principal of and interest on all Global Securities and all other Notes the Holders of which will have provided wire transfer instructions to the Company or the Paying Agent. Such payment will be in the currency of the United States of America.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PAYING AGENT AND REGISTRAR. Initially, The Bank of New York Mellon Trust Company, N.A., the Trustee under the Indenture, will act as Paying Agent and Registrar. The Company may change any Paying Agent or Registrar without notice to any Holder. The Company or any of its Subsidiaries may act in any such capacity.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INDENTURE. The terms of the Notes include those stated in the Indenture dated May 22, 2014, between the Company and the Trustee (the “</w:t>
            </w:r>
            <w:r>
              <w:rPr>
                <w:rFonts w:ascii="Times New Roman" w:hAnsi="Times New Roman"/>
                <w:b/>
                <w:sz w:val="20"/>
              </w:rPr>
              <w:t>Indenture</w:t>
            </w:r>
            <w:r>
              <w:rPr>
                <w:rFonts w:ascii="Times New Roman" w:hAnsi="Times New Roman"/>
                <w:sz w:val="20"/>
              </w:rPr>
              <w:t>”), and those made part of the Indenture by the Officer’s Certificate dated February 19, 2026, delivered pursuant thereto (the “</w:t>
            </w:r>
            <w:r>
              <w:rPr>
                <w:rFonts w:ascii="Times New Roman" w:hAnsi="Times New Roman"/>
                <w:b/>
                <w:sz w:val="20"/>
              </w:rPr>
              <w:t>Officer’s Certificate</w:t>
            </w:r>
            <w:r>
              <w:rPr>
                <w:rFonts w:ascii="Times New Roman" w:hAnsi="Times New Roman"/>
                <w:sz w:val="20"/>
              </w:rPr>
              <w:t xml:space="preserve">”) and the TIA. The Notes are subject to all such terms, and the Holders are referred to the Indenture and the TIA for a statement of them.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OPTIONAL REDEMPTION. At any time prior to maturity, the Company will have the option to redeem all or a part of the Notes upon not less than 10 nor more than 60 days’ notice. If the Notes are redeemed before August 19, 2055 (six months prior to the maturity date of the Notes), the redemption price will equal the sum of (1) 100% of the principal amount of any Notes being redeemed, plus accrued and unpaid interest to, but not including, the redemption date, and (2) the Make-Whole Amount. If the Notes are redeemed on or after August 19, 2055 (six months prior to the maturity date of the Notes), the redemption price will equal 100% of the principal amount being redeemed, plus accrued and unpaid interest to, but not including, the redemption date. Unless the Company defaults in the payment of the redemption price, interest will cease to accrue on the Notes or portions thereof called for redemption on the applicable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NOTICE OF REDEMPTION. Notice of redemption will be mailed at least 10 days but not more than 60 days before the redemption date 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$2,000 may be redeemed in part but only in whole multiples of $1,000, unless all of the Notes held by a Holder are to be redeemed. Notices of redemption for the Notes may be conditional.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MANDATORY REDEMPTION. Except as provided in Section 8 below, the Company is not required to make mandatory redemption or sinking fund payments with respect to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CHANGE OF CONTROL TRIGGERING EVENT. In the event of a Change of Control Triggering Event, the Holders may require the Company to purchase for cash all or a portion of their Notes at a purchase price equal to 101% of the principal amount of the Notes, plus accrued and unpaid interest, if any, pursuant to the provisions of Section 7 of the Officer’s Certificate. If holders of not less than 90% in aggregate principal amount of the outstanding Notes validly tender and do not withdraw such Notes in a Change Of Control Offer and the Company, or any third party making such an offer in lieu of the Company, purchases all of the Notes validly tendered and not withdrawn by such holders, the Company or such third party will have the right, upon not less than 10 days nor more than 60 days’ prior notice, provided that such notice is given not more than 30 days following such repurchase pursuant to the Change Of Control Offer described above, to redeem all Notes that remain outstanding following such purchase on a date specified in such notice (the “</w:t>
            </w:r>
            <w:r>
              <w:rPr>
                <w:rFonts w:ascii="Times New Roman" w:hAnsi="Times New Roman"/>
                <w:b/>
                <w:sz w:val="20"/>
              </w:rPr>
              <w:t>Second Change Of Control Payment Date</w:t>
            </w:r>
            <w:r>
              <w:rPr>
                <w:rFonts w:ascii="Times New Roman" w:hAnsi="Times New Roman"/>
                <w:sz w:val="20"/>
              </w:rPr>
              <w:t xml:space="preserve">”) and at a price in cash equal to 101% of the aggregate principal amount of Notes repurchased plus any accrued and unpaid interest on the Notes repurchased to, but not including, the Second Change Of Control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DEFEASANCE PRIOR TO MATURITY. The Indenture contains provisions for defeasance of (i) the entire indebtedness of the Notes or (ii) certain covenants and Events of Default with respect to the Notes, in each case upon compliance with certain conditions set forth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RESTRICTIVE COVENANTS. The Indenture and the Officer’s Certificate impose certain limitations on the Company and its Subsidiaries, including limitations on the Company’s and its Subsidiaries’ ability to create or incur certain Liens on any of their respective properties or assets and to enter into certain sale and lease-back transactions and on the Company’s ability to engage in mergers or consolidations or the conveyance, transfer or lease of all or substantially all of its properties and assets. These limitations are subject to a number of important qualifications and exceptions and reference is made to the Indenture and the Officer’s Certificate for a description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DENOMINATIONS, TRANSFER, EXCHANGE. The Notes are in registered form without coupons in denominations of $2,000 and integral multiples of $1,000.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283"/>
              <w:jc w:val="left"/>
              <w:rPr/>
            </w:pPr>
            <w:r>
              <w:rPr/>
              <w:t xml:space="preserve">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OWNERS. The registered Holder of a Note may be treated as its owner for all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(13)</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 SUPPLEMENT AND WAIVER. Subject to certain exceptions, the Indenture or the Notes may be amended or supplemented with the consent of the Holders of at least a majority in aggregate principal amount of the then outstanding Notes voting as a single class, and any existing Default or Event of Default or compliance with any provision of the Indenture or the Notes may be waived with the consent of the Holders of a majority in aggregate principal amount of the then outstanding Notes voting as a single class. Without the consent of any Holder of a Note, the Indenture or the Notes may be amended or supplemented to cure any ambiguity, defect or inconsistency; to comply with Article V of the Indenture; to provide for uncertificated Notes in addition to or in place of certificated Notes; to add guarantees with respect to the Notes or secure the Notes; to surrender any of the Company’s rights or powers under the Indenture; to add covenants or events of default for the benefit of the Holders of the Notes; to comply with the applicable procedures of the applicable depositary; to make any change that would not adversely affect the rights under the Indenture of any such Holder in any material respect; to provide for the issuance of and establish the form and terms and conditions of Notes of any series as permitted by the Indenture; to evidence and provide for the acceptance of appointment under the Indenture by a successor trustee with respect to the Notes and to add to or change any of the provisions of the Indenture necessary to provide for the administration of the trusts in the Indenture by more than one trustee; or to comply with the requirements of the SEC in order to effect or maintain the qualification of the Indenture under the TIA. No amendment to cure any ambiguity, defect or inconsistency in the Indenture made solely to conform the Indenture to the description of notes contained in the Prospectus Supplement related to the Notes, dated February 17, 2026, will be deemed to adversely affect the interests of the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AND REMEDIES. If an Event of Default shall occur and be continuing, the principal of the Notes may be declared (or, in certain cases, shall ipso facto become) due and payable in the manner and with the effect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(15)</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TRUSTEE DEALINGS WITH COMPANY. The Trustee under the Indenture, in its individual or any other capacity, may deal with the Company or an Affiliate of the Company with the same rights it would have if it were not Trustee.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(16)</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RECOURSE AGAINST OTHERS. A director, officer, employee or stockholder of the Company shall not have any 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AUTHENTICATION. This Note will not be valid until authenticated by the manual signature of the Trustee or an authenticating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(18)</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ABBREVIATIONS. Customary abbreviations may be used in the name of a Holder or an assignee, such as: TEN COM (= tenants in common), TEN ENT (= tenants by the entireties), JT TEN (= joint tenants with right of survivorship and not as tenants in common), CUST (= Custodian), and U/G/M/A (= Uniform Gifts to Minors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CUSIP NUMBERS. Pursuant to a recommendation promulgated by the Committee on Uniform Security Identification Procedures, the Company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(20)</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GOVERNING LAW. THE INDENTURE AND THIS NOTE, INCLUDING ANY CLAIM OR CONTROVERSY ARISING OUT OF OR RELATED TO THE INDENTURE OR THIS NOTE, SHALL BE GOVERNED BY THE LAWS OF THE STATE OF NEW YORK.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Company will furnish to any Holder upon written request and without charge a copy of the Indenture and/or the Officer’s Certificate. </w:t>
      </w:r>
    </w:p>
    <w:p>
      <w:pPr>
        <w:pStyle w:val="TextBody"/>
        <w:bidi w:val="0"/>
        <w:spacing w:before="240" w:after="0"/>
        <w:jc w:val="center"/>
        <w:rPr>
          <w:rFonts w:ascii="Times New Roman" w:hAnsi="Times New Roman"/>
          <w:sz w:val="20"/>
        </w:rPr>
      </w:pPr>
      <w:r>
        <w:rPr>
          <w:rFonts w:ascii="Times New Roman" w:hAnsi="Times New Roman"/>
          <w:b/>
          <w:i/>
          <w:sz w:val="20"/>
        </w:rPr>
        <w:t>Requests may be made to</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Amgen Inc. </w:t>
      </w:r>
    </w:p>
    <w:p>
      <w:pPr>
        <w:pStyle w:val="TextBody"/>
        <w:bidi w:val="0"/>
        <w:spacing w:before="0" w:after="0"/>
        <w:jc w:val="center"/>
        <w:rPr>
          <w:rFonts w:ascii="Times New Roman" w:hAnsi="Times New Roman"/>
          <w:sz w:val="20"/>
        </w:rPr>
      </w:pPr>
      <w:r>
        <w:rPr>
          <w:rFonts w:ascii="Times New Roman" w:hAnsi="Times New Roman"/>
          <w:sz w:val="20"/>
        </w:rPr>
        <w:t xml:space="preserve">One Amgen Center Drive </w:t>
      </w:r>
    </w:p>
    <w:p>
      <w:pPr>
        <w:pStyle w:val="TextBody"/>
        <w:bidi w:val="0"/>
        <w:spacing w:before="0" w:after="0"/>
        <w:jc w:val="center"/>
        <w:rPr>
          <w:rFonts w:ascii="Times New Roman" w:hAnsi="Times New Roman"/>
          <w:sz w:val="20"/>
        </w:rPr>
      </w:pPr>
      <w:r>
        <w:rPr>
          <w:rFonts w:ascii="Times New Roman" w:hAnsi="Times New Roman"/>
          <w:sz w:val="20"/>
        </w:rPr>
        <w:t xml:space="preserve">Thousand Oaks, CA 91320-1799 </w:t>
      </w:r>
    </w:p>
    <w:p>
      <w:pPr>
        <w:pStyle w:val="TextBody"/>
        <w:bidi w:val="0"/>
        <w:spacing w:before="0" w:after="0"/>
        <w:jc w:val="center"/>
        <w:rPr>
          <w:rFonts w:ascii="Times New Roman" w:hAnsi="Times New Roman"/>
          <w:sz w:val="20"/>
        </w:rPr>
      </w:pPr>
      <w:r>
        <w:rPr>
          <w:rFonts w:ascii="Times New Roman" w:hAnsi="Times New Roman"/>
          <w:sz w:val="20"/>
        </w:rPr>
        <w:t xml:space="preserve">Attention: Investor Relations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66"/>
        <w:gridCol w:w="129"/>
        <w:gridCol w:w="6110"/>
      </w:tblGrid>
      <w:tr>
        <w:trPr/>
        <w:tc>
          <w:tcPr>
            <w:tcW w:w="3966"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r>
      <w:tr>
        <w:trPr/>
        <w:tc>
          <w:tcPr>
            <w:tcW w:w="3966" w:type="dxa"/>
            <w:tcBorders/>
          </w:tcPr>
          <w:p>
            <w:pPr>
              <w:pStyle w:val="TableContents"/>
              <w:bidi w:val="0"/>
              <w:spacing w:before="0" w:after="283"/>
              <w:jc w:val="left"/>
              <w:rPr/>
            </w:pPr>
            <w:r>
              <w:rPr/>
              <w:t>(I) or (we) assign and transfer this Note to:</w:t>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u w:val="single"/>
              </w:rPr>
            </w:pPr>
            <w:r>
              <w:rPr>
                <w:u w:val="single"/>
              </w:rPr>
              <w:t>                      </w:t>
            </w:r>
          </w:p>
        </w:tc>
      </w:tr>
      <w:tr>
        <w:trPr/>
        <w:tc>
          <w:tcPr>
            <w:tcW w:w="3966" w:type="dxa"/>
            <w:tcBorders/>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110" w:type="dxa"/>
            <w:tcBorders/>
          </w:tcPr>
          <w:p>
            <w:pPr>
              <w:pStyle w:val="TableContents"/>
              <w:bidi w:val="0"/>
              <w:spacing w:before="0" w:after="283"/>
              <w:jc w:val="left"/>
              <w:rPr/>
            </w:pPr>
            <w:r>
              <w:rPr/>
              <w:t>(Insert assignee’s legal name)</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77"/>
        <w:gridCol w:w="135"/>
        <w:gridCol w:w="7793"/>
      </w:tblGrid>
      <w:tr>
        <w:trPr/>
        <w:tc>
          <w:tcPr>
            <w:tcW w:w="2277"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793" w:type="dxa"/>
            <w:tcBorders/>
            <w:vAlign w:val="center"/>
          </w:tcPr>
          <w:p>
            <w:pPr>
              <w:pStyle w:val="TableContents"/>
              <w:bidi w:val="0"/>
              <w:spacing w:before="0" w:after="283"/>
              <w:jc w:val="left"/>
              <w:rPr>
                <w:sz w:val="4"/>
                <w:szCs w:val="4"/>
              </w:rPr>
            </w:pPr>
            <w:r>
              <w:rPr>
                <w:sz w:val="4"/>
                <w:szCs w:val="4"/>
              </w:rPr>
            </w:r>
          </w:p>
        </w:tc>
      </w:tr>
      <w:tr>
        <w:trPr/>
        <w:tc>
          <w:tcPr>
            <w:tcW w:w="2277" w:type="dxa"/>
            <w:tcBorders/>
          </w:tcPr>
          <w:p>
            <w:pPr>
              <w:pStyle w:val="TableContents"/>
              <w:bidi w:val="0"/>
              <w:spacing w:before="0" w:after="283"/>
              <w:jc w:val="left"/>
              <w:rPr/>
            </w:pPr>
            <w:r>
              <w:rPr/>
              <w:t>and irrevocably appoint</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779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Company.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376" w:type="dxa"/>
            <w:tcBorders>
              <w:bottom w:val="single" w:sz="2" w:space="0" w:color="000000"/>
            </w:tcBorders>
            <w:tcMar>
              <w:bottom w:w="28" w:type="dxa"/>
            </w:tcMar>
          </w:tcPr>
          <w:p>
            <w:pPr>
              <w:pStyle w:val="TableContents"/>
              <w:bidi w:val="0"/>
              <w:spacing w:before="0" w:after="283"/>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right"/>
        <w:rPr>
          <w:rFonts w:ascii="Times New Roman" w:hAnsi="Times New Roman"/>
          <w:b/>
          <w:sz w:val="20"/>
        </w:rPr>
      </w:pPr>
      <w:bookmarkStart w:id="6" w:name="d106293dex51.htm"/>
      <w:bookmarkStart w:id="7" w:name="ksd106293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61"/>
        <w:gridCol w:w="101"/>
        <w:gridCol w:w="1410"/>
        <w:gridCol w:w="120"/>
        <w:gridCol w:w="1713"/>
      </w:tblGrid>
      <w:tr>
        <w:trPr/>
        <w:tc>
          <w:tcPr>
            <w:tcW w:w="6861"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43" w:type="dxa"/>
            <w:gridSpan w:val="3"/>
            <w:tcBorders/>
          </w:tcPr>
          <w:p>
            <w:pPr>
              <w:pStyle w:val="TableContents"/>
              <w:bidi w:val="0"/>
              <w:spacing w:before="0" w:after="283"/>
              <w:jc w:val="left"/>
              <w:rPr/>
            </w:pPr>
            <w:r>
              <w:rPr/>
              <w:t>1271 Avenue of the Americas</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43" w:type="dxa"/>
            <w:gridSpan w:val="3"/>
            <w:tcBorders/>
          </w:tcPr>
          <w:p>
            <w:pPr>
              <w:pStyle w:val="TableContents"/>
              <w:bidi w:val="0"/>
              <w:spacing w:before="0" w:after="283"/>
              <w:jc w:val="left"/>
              <w:rPr/>
            </w:pPr>
            <w:r>
              <w:rPr/>
              <w:t>New York, New York 10020-1401</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24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Tel: +1.212.906.1200 Fax: +1.212.751.4864</w:t>
            </w:r>
          </w:p>
          <w:p>
            <w:pPr>
              <w:pStyle w:val="TableContents"/>
              <w:bidi w:val="0"/>
              <w:spacing w:before="0" w:after="20"/>
              <w:jc w:val="left"/>
              <w:rPr>
                <w:rFonts w:ascii="Times New Roman" w:hAnsi="Times New Roman"/>
                <w:sz w:val="20"/>
              </w:rPr>
            </w:pPr>
            <w:r>
              <w:rPr>
                <w:rFonts w:ascii="Times New Roman" w:hAnsi="Times New Roman"/>
                <w:sz w:val="20"/>
              </w:rPr>
              <w:t>www.lw.com</w:t>
            </w:r>
          </w:p>
        </w:tc>
      </w:tr>
      <w:tr>
        <w:trPr>
          <w:trHeight w:val="240" w:hRule="atLeast"/>
        </w:trPr>
        <w:tc>
          <w:tcPr>
            <w:tcW w:w="6861" w:type="dxa"/>
            <w:tcBorders/>
            <w:vAlign w:val="center"/>
          </w:tcPr>
          <w:p>
            <w:pPr>
              <w:pStyle w:val="TableContents"/>
              <w:bidi w:val="0"/>
              <w:spacing w:before="0" w:after="283"/>
              <w:jc w:val="left"/>
              <w:rPr>
                <w:sz w:val="4"/>
                <w:szCs w:val="4"/>
              </w:rPr>
            </w:pPr>
            <w:r>
              <w:rPr>
                <w:sz w:val="4"/>
                <w:szCs w:val="4"/>
              </w:rPr>
            </w:r>
          </w:p>
        </w:tc>
        <w:tc>
          <w:tcPr>
            <w:tcW w:w="3344" w:type="dxa"/>
            <w:gridSpan w:val="4"/>
            <w:tcBorders/>
            <w:vAlign w:val="center"/>
          </w:tcPr>
          <w:p>
            <w:pPr>
              <w:pStyle w:val="TableContents"/>
              <w:bidi w:val="0"/>
              <w:spacing w:before="0" w:after="283"/>
              <w:jc w:val="left"/>
              <w:rPr>
                <w:sz w:val="4"/>
                <w:szCs w:val="4"/>
              </w:rPr>
            </w:pPr>
            <w:r>
              <w:rPr>
                <w:sz w:val="4"/>
                <w:szCs w:val="4"/>
              </w:rPr>
            </w:r>
          </w:p>
        </w:tc>
      </w:tr>
      <w:tr>
        <w:trPr/>
        <w:tc>
          <w:tcPr>
            <w:tcW w:w="6861" w:type="dxa"/>
            <w:vMerge w:val="restart"/>
            <w:tcBorders/>
          </w:tcPr>
          <w:p>
            <w:pPr>
              <w:pStyle w:val="TableContents"/>
              <w:bidi w:val="0"/>
              <w:spacing w:before="0" w:after="283"/>
              <w:jc w:val="left"/>
              <w:rPr/>
            </w:pPr>
            <w:r>
              <w:rPr/>
              <w:drawing>
                <wp:inline distT="0" distB="0" distL="0" distR="0">
                  <wp:extent cx="2276475"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2276475" cy="228600"/>
                          </a:xfrm>
                          <a:prstGeom prst="rect">
                            <a:avLst/>
                          </a:prstGeom>
                        </pic:spPr>
                      </pic:pic>
                    </a:graphicData>
                  </a:graphic>
                </wp:inline>
              </w:drawing>
            </w:r>
            <w:r>
              <w:rPr/>
              <w:t xml:space="preserve"> </w:t>
            </w:r>
          </w:p>
        </w:tc>
        <w:tc>
          <w:tcPr>
            <w:tcW w:w="101" w:type="dxa"/>
            <w:tcBorders/>
            <w:vAlign w:val="bottom"/>
          </w:tcPr>
          <w:p>
            <w:pPr>
              <w:pStyle w:val="TableContents"/>
              <w:bidi w:val="0"/>
              <w:spacing w:before="0" w:after="283"/>
              <w:jc w:val="left"/>
              <w:rPr/>
            </w:pPr>
            <w:r>
              <w:rPr/>
              <w:t> </w:t>
            </w:r>
          </w:p>
        </w:tc>
        <w:tc>
          <w:tcPr>
            <w:tcW w:w="3243" w:type="dxa"/>
            <w:gridSpan w:val="3"/>
            <w:tcBorders/>
          </w:tcPr>
          <w:p>
            <w:pPr>
              <w:pStyle w:val="TableContents"/>
              <w:bidi w:val="0"/>
              <w:spacing w:before="0" w:after="283"/>
              <w:jc w:val="left"/>
              <w:rPr/>
            </w:pPr>
            <w:r>
              <w:rPr/>
              <w:t>FIRM / AFFILIATE OFFICES</w:t>
            </w:r>
          </w:p>
        </w:tc>
      </w:tr>
      <w:tr>
        <w:trPr/>
        <w:tc>
          <w:tcPr>
            <w:tcW w:w="6861"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Milan</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Munich</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New York</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Orange County</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Paris</w:t>
            </w:r>
          </w:p>
        </w:tc>
      </w:tr>
      <w:tr>
        <w:trPr/>
        <w:tc>
          <w:tcPr>
            <w:tcW w:w="6861" w:type="dxa"/>
            <w:tcBorders/>
          </w:tcPr>
          <w:p>
            <w:pPr>
              <w:pStyle w:val="TableContents"/>
              <w:bidi w:val="0"/>
              <w:spacing w:before="0" w:after="283"/>
              <w:jc w:val="left"/>
              <w:rPr/>
            </w:pPr>
            <w:r>
              <w:rPr/>
              <w:t>February 19, 2026</w:t>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Riyadh</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San Diego</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San Francisco</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Seoul</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Silicon Valley</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Singapore</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Tel Aviv</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Tokyo</w:t>
            </w:r>
          </w:p>
        </w:tc>
      </w:tr>
      <w:tr>
        <w:trPr/>
        <w:tc>
          <w:tcPr>
            <w:tcW w:w="6861"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410"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1713"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sz w:val="20"/>
        </w:rPr>
      </w:pPr>
      <w:r>
        <w:rPr>
          <w:rFonts w:ascii="Times New Roman" w:hAnsi="Times New Roman"/>
          <w:sz w:val="20"/>
        </w:rPr>
        <w:t xml:space="preserve">Amgen Inc. </w:t>
      </w:r>
    </w:p>
    <w:p>
      <w:pPr>
        <w:pStyle w:val="TextBody"/>
        <w:bidi w:val="0"/>
        <w:spacing w:before="0" w:after="0"/>
        <w:jc w:val="left"/>
        <w:rPr>
          <w:rFonts w:ascii="Times New Roman" w:hAnsi="Times New Roman"/>
          <w:sz w:val="20"/>
        </w:rPr>
      </w:pPr>
      <w:r>
        <w:rPr>
          <w:rFonts w:ascii="Times New Roman" w:hAnsi="Times New Roman"/>
          <w:sz w:val="20"/>
        </w:rPr>
        <w:t xml:space="preserve">One Amgen Center Drive </w:t>
      </w:r>
    </w:p>
    <w:p>
      <w:pPr>
        <w:pStyle w:val="TextBody"/>
        <w:bidi w:val="0"/>
        <w:spacing w:before="0" w:after="0"/>
        <w:jc w:val="left"/>
        <w:rPr>
          <w:rFonts w:ascii="Times New Roman" w:hAnsi="Times New Roman"/>
          <w:sz w:val="20"/>
        </w:rPr>
      </w:pPr>
      <w:r>
        <w:rPr>
          <w:rFonts w:ascii="Times New Roman" w:hAnsi="Times New Roman"/>
          <w:sz w:val="20"/>
        </w:rPr>
        <w:t xml:space="preserve">Thousand Oaks, CA 91320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Re:</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Registration Statement No. 333-293477; $1,000,000,000 Aggregate Principal Amount of 4.200% Senior Notes due 2031, $1,750,000,000 Aggregate Principal Amount of 4.850% Senior Notes due 2036, $500,000,000 Aggregate Principal Amount of 5.500% Senior Notes due 2046 and $750,000,000 Aggregate Principal Amount of 5.650% Senior Notes due 2056</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We have acted as special counsel to Amgen Inc., a Delaware corporation (the “</w:t>
      </w:r>
      <w:r>
        <w:rPr>
          <w:rFonts w:ascii="Times New Roman" w:hAnsi="Times New Roman"/>
          <w:b/>
          <w:i/>
          <w:sz w:val="20"/>
        </w:rPr>
        <w:t>Company</w:t>
      </w:r>
      <w:r>
        <w:rPr>
          <w:rFonts w:ascii="Times New Roman" w:hAnsi="Times New Roman"/>
          <w:sz w:val="20"/>
        </w:rPr>
        <w:t>”), in connection with the issuance of $1,000,000,000 aggregate principal amount of the Company’s 4.200% Senior Notes due 2031 (the “</w:t>
      </w:r>
      <w:r>
        <w:rPr>
          <w:rFonts w:ascii="Times New Roman" w:hAnsi="Times New Roman"/>
          <w:b/>
          <w:i/>
          <w:sz w:val="20"/>
        </w:rPr>
        <w:t>2031 Notes</w:t>
      </w:r>
      <w:r>
        <w:rPr>
          <w:rFonts w:ascii="Times New Roman" w:hAnsi="Times New Roman"/>
          <w:sz w:val="20"/>
        </w:rPr>
        <w:t>”), $1,750,000,000 aggregate principal amount of the Company’s 4.850% Senior Notes due 2036 (the “</w:t>
      </w:r>
      <w:r>
        <w:rPr>
          <w:rFonts w:ascii="Times New Roman" w:hAnsi="Times New Roman"/>
          <w:b/>
          <w:i/>
          <w:sz w:val="20"/>
        </w:rPr>
        <w:t>2036</w:t>
      </w:r>
      <w:r>
        <w:rPr>
          <w:rFonts w:ascii="Times New Roman" w:hAnsi="Times New Roman"/>
          <w:sz w:val="20"/>
        </w:rPr>
        <w:t xml:space="preserve"> </w:t>
      </w:r>
      <w:r>
        <w:rPr>
          <w:rFonts w:ascii="Times New Roman" w:hAnsi="Times New Roman"/>
          <w:b/>
          <w:i/>
          <w:sz w:val="20"/>
        </w:rPr>
        <w:t>Notes</w:t>
      </w:r>
      <w:r>
        <w:rPr>
          <w:rFonts w:ascii="Times New Roman" w:hAnsi="Times New Roman"/>
          <w:sz w:val="20"/>
        </w:rPr>
        <w:t>”), $500,000,000 aggregate principal amount of the Company’s 5.500% Senior Notes due 2046 (the “</w:t>
      </w:r>
      <w:r>
        <w:rPr>
          <w:rFonts w:ascii="Times New Roman" w:hAnsi="Times New Roman"/>
          <w:b/>
          <w:i/>
          <w:sz w:val="20"/>
        </w:rPr>
        <w:t>2046</w:t>
      </w:r>
      <w:r>
        <w:rPr>
          <w:rFonts w:ascii="Times New Roman" w:hAnsi="Times New Roman"/>
          <w:sz w:val="20"/>
        </w:rPr>
        <w:t xml:space="preserve"> </w:t>
      </w:r>
      <w:r>
        <w:rPr>
          <w:rFonts w:ascii="Times New Roman" w:hAnsi="Times New Roman"/>
          <w:b/>
          <w:i/>
          <w:sz w:val="20"/>
        </w:rPr>
        <w:t>Notes</w:t>
      </w:r>
      <w:r>
        <w:rPr>
          <w:rFonts w:ascii="Times New Roman" w:hAnsi="Times New Roman"/>
          <w:sz w:val="20"/>
        </w:rPr>
        <w:t>”) and $750,000,000 aggregate principal amount of the Company’s 5.650% Senior Notes due 2056 (the “</w:t>
      </w:r>
      <w:r>
        <w:rPr>
          <w:rFonts w:ascii="Times New Roman" w:hAnsi="Times New Roman"/>
          <w:b/>
          <w:i/>
          <w:sz w:val="20"/>
        </w:rPr>
        <w:t>2056 Notes</w:t>
      </w:r>
      <w:r>
        <w:rPr>
          <w:rFonts w:ascii="Times New Roman" w:hAnsi="Times New Roman"/>
          <w:sz w:val="20"/>
        </w:rPr>
        <w:t>” and, together with the 2031 Notes, the 2036 Notes and the 2046 Notes, the “</w:t>
      </w:r>
      <w:r>
        <w:rPr>
          <w:rFonts w:ascii="Times New Roman" w:hAnsi="Times New Roman"/>
          <w:b/>
          <w:i/>
          <w:sz w:val="20"/>
        </w:rPr>
        <w:t>Notes</w:t>
      </w:r>
      <w:r>
        <w:rPr>
          <w:rFonts w:ascii="Times New Roman" w:hAnsi="Times New Roman"/>
          <w:sz w:val="20"/>
        </w:rPr>
        <w:t>”), under an Indenture, dated as of May 22, 2014 (the “</w:t>
      </w:r>
      <w:r>
        <w:rPr>
          <w:rFonts w:ascii="Times New Roman" w:hAnsi="Times New Roman"/>
          <w:b/>
          <w:i/>
          <w:sz w:val="20"/>
        </w:rPr>
        <w:t>Indenture</w:t>
      </w:r>
      <w:r>
        <w:rPr>
          <w:rFonts w:ascii="Times New Roman" w:hAnsi="Times New Roman"/>
          <w:sz w:val="20"/>
        </w:rPr>
        <w:t>”), between the Company and The Bank of New York Mellon Trust Company, N.A., as trustee (the “</w:t>
      </w:r>
      <w:r>
        <w:rPr>
          <w:rFonts w:ascii="Times New Roman" w:hAnsi="Times New Roman"/>
          <w:b/>
          <w:i/>
          <w:sz w:val="20"/>
        </w:rPr>
        <w:t>Trustee</w:t>
      </w:r>
      <w:r>
        <w:rPr>
          <w:rFonts w:ascii="Times New Roman" w:hAnsi="Times New Roman"/>
          <w:sz w:val="20"/>
        </w:rPr>
        <w:t>”), and an officer’s certificate dated as of February 19, 2026, setting forth the terms of the Notes (the “</w:t>
      </w:r>
      <w:r>
        <w:rPr>
          <w:rFonts w:ascii="Times New Roman" w:hAnsi="Times New Roman"/>
          <w:b/>
          <w:i/>
          <w:sz w:val="20"/>
        </w:rPr>
        <w:t>Officer’s Certificate</w:t>
      </w:r>
      <w:r>
        <w:rPr>
          <w:rFonts w:ascii="Times New Roman" w:hAnsi="Times New Roman"/>
          <w:sz w:val="20"/>
        </w:rPr>
        <w:t>”), and pursuant to a registration statement on Form S-3 under the Securities Act of 1933, as amended (the “</w:t>
      </w:r>
      <w:r>
        <w:rPr>
          <w:rFonts w:ascii="Times New Roman" w:hAnsi="Times New Roman"/>
          <w:b/>
          <w:i/>
          <w:sz w:val="20"/>
        </w:rPr>
        <w:t>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February 13, 2026 (Registration No. 333-293477) (as so filed and amended, the “</w:t>
      </w:r>
      <w:r>
        <w:rPr>
          <w:rFonts w:ascii="Times New Roman" w:hAnsi="Times New Roman"/>
          <w:b/>
          <w:i/>
          <w:sz w:val="20"/>
        </w:rPr>
        <w:t>Registration Statement</w:t>
      </w:r>
      <w:r>
        <w:rPr>
          <w:rFonts w:ascii="Times New Roman" w:hAnsi="Times New Roman"/>
          <w:sz w:val="20"/>
        </w:rPr>
        <w:t>”), a base prospectus, dated February 13, 2026, included in the Registration Statement at the time it originally became effective (the “</w:t>
      </w:r>
      <w:r>
        <w:rPr>
          <w:rFonts w:ascii="Times New Roman" w:hAnsi="Times New Roman"/>
          <w:b/>
          <w:i/>
          <w:sz w:val="20"/>
        </w:rPr>
        <w:t>Base Prospectus</w:t>
      </w:r>
      <w:r>
        <w:rPr>
          <w:rFonts w:ascii="Times New Roman" w:hAnsi="Times New Roman"/>
          <w:sz w:val="20"/>
        </w:rPr>
        <w:t>”), a final prospectus supplement, dated February 17, 2026, filed with the Commission pursuant to Rule 424(b) under the Act on February 18, 2026 (together with the Base Prospectus, the “</w:t>
      </w:r>
      <w:r>
        <w:rPr>
          <w:rFonts w:ascii="Times New Roman" w:hAnsi="Times New Roman"/>
          <w:b/>
          <w:i/>
          <w:sz w:val="20"/>
        </w:rPr>
        <w:t>Prospectus</w:t>
      </w:r>
      <w:r>
        <w:rPr>
          <w:rFonts w:ascii="Times New Roman" w:hAnsi="Times New Roman"/>
          <w:sz w:val="20"/>
        </w:rPr>
        <w:t>”), and an underwriting agreement, dated February 17, 2026, between the underwriters named therein and the Company (the “</w:t>
      </w:r>
      <w:r>
        <w:rPr>
          <w:rFonts w:ascii="Times New Roman" w:hAnsi="Times New Roman"/>
          <w:b/>
          <w:i/>
          <w:sz w:val="20"/>
        </w:rPr>
        <w:t>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February 19,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562100" cy="190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issuance of the Notes.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the General Corporation Law of the State of Delaware, and we express no opinion with respect to the applicability thereto, or the effect thereon, of the laws of any other jurisdiction or, in the case of Delaware, any other laws, or as to any matters of municipal law or the laws of any local agencies within any state.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the Notes have been duly authorized by all necessary corporate action of the Company and, when the Notes have been duly executed, authenticated, issued and delivered against payment therefor in accordance with the terms of the Indenture and in the manner contemplated by the Underwriting Agreement, the Notes will be the legally valid and binding obligations of the Company, enforceable against the Company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subject to: (i) the effect of bankruptcy, insolvency, reorganization, fraudulent transfer, moratorium or other similar laws relating to or affecting the rights and remedies of creditors; (ii) the effect of general principles of equity, whether enforcement is considered in a proceeding in equity or at law (including the possible unavailability of specific performance or injunctive relief), concepts of materiality, reasonableness, good faith and fair dealing, and the discretion of the court before which any proceeding may be brought; (iii) the invalidity under certain circumstances under law or court decisions of provisions providing for the indemnification of or contribution to a party with respect to a liability where such indemnification or contribution is contrary to public policy. We express no opinion with respect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the waiver of rights or defenses contained in Section 4.4 of the Indenture; (d) any provision requiring the payment of attorneys’ fees, where such payment is contrary to law or public policy; (e) any provision permitting, upon acceleration of the Notes, collection of that portion of the stated principal amount thereof which might be determined to constitute unearned interest thereon; (f) advance waivers of claims, defenses, rights granted by law, or notice, opportunity for hearing, evidentiary requirements, statutes of limitation, trial by jury or at law or other procedural rights; (g) waivers of broadly or vaguely stated rights; (h) provisions for exclusivity, election or cumulation of rights or remedies; (i) provisions authorizing or validating conclusive or discretionary determinations; (j) grants of setoff rights; (k) proxies, powers and trusts; (l) provisions prohibiting, restricting or requiring consent to assignment or transfer of any right or property; and (m) the severability, if invalid, of provisions to the foregoing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February 19, 2026 </w:t>
      </w:r>
    </w:p>
    <w:p>
      <w:pPr>
        <w:pStyle w:val="TextBody"/>
        <w:bidi w:val="0"/>
        <w:spacing w:before="0" w:after="0"/>
        <w:jc w:val="left"/>
        <w:rPr>
          <w:rFonts w:ascii="Times New Roman" w:hAnsi="Times New Roman"/>
          <w:b/>
          <w:sz w:val="20"/>
        </w:rPr>
      </w:pPr>
      <w:r>
        <w:rPr>
          <w:rFonts w:ascii="Times New Roman" w:hAnsi="Times New Roman"/>
          <w:b/>
          <w:sz w:val="20"/>
        </w:rPr>
        <w:t xml:space="preserve">Page 3 </w:t>
      </w:r>
    </w:p>
    <w:p>
      <w:pPr>
        <w:pStyle w:val="TextBody"/>
        <w:bidi w:val="0"/>
        <w:spacing w:before="0" w:after="0"/>
        <w:jc w:val="left"/>
        <w:rPr/>
      </w:pPr>
      <w:r>
        <w:rPr/>
        <w:t> </w:t>
      </w:r>
    </w:p>
    <w:p>
      <w:pPr>
        <w:pStyle w:val="TextBody"/>
        <w:bidi w:val="0"/>
        <w:spacing w:before="0" w:after="0"/>
        <w:jc w:val="left"/>
        <w:rPr/>
      </w:pPr>
      <w:r>
        <w:rPr/>
        <w:drawing>
          <wp:inline distT="0" distB="0" distL="0" distR="0">
            <wp:extent cx="156210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562100" cy="1905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With your consent, we have assumed (a) that the Indenture, the Officer’s Certificate and the Notes (collectively, the “</w:t>
      </w:r>
      <w:r>
        <w:rPr>
          <w:rFonts w:ascii="Times New Roman" w:hAnsi="Times New Roman"/>
          <w:b/>
          <w:i/>
          <w:sz w:val="20"/>
        </w:rPr>
        <w:t>Documents</w:t>
      </w:r>
      <w:r>
        <w:rPr>
          <w:rFonts w:ascii="Times New Roman" w:hAnsi="Times New Roman"/>
          <w:sz w:val="20"/>
        </w:rPr>
        <w:t xml:space="preserve">”) have been duly authorized, executed and delivered by the parties thereto other than the Company, (b) that the Documents constitute legally valid and binding obligations of the parties thereto other than the Company, enforceable against each of them in accordance with their respective terms, and (c) that the status of the Documents as legally valid and binding obligations of the parties is not affected by any (i) breaches of, or defaults under, agreements or instruments, (ii) violations of statutes, rules, regulations or court or governmental orders or (iii) failures to obtain required consents, approvals or authorizations from, or make required registrations, declarations or filings with, governmental authorities.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February 19, 2026 and to the reference to our firm contained in the Prospectus under the heading “Validity of the Notes.”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18154/000119312514209848/d732359dex41.htm"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30727</Words>
  <Characters>157239</Characters>
  <CharactersWithSpaces>188370</CharactersWithSpaces>
  <Paragraphs>1814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