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HOLLEY CHARLES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AMGEN CENTER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THOUSAND OAKS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AMGEN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0"/>
        <w:gridCol w:w="901"/>
        <w:gridCol w:w="772"/>
        <w:gridCol w:w="598"/>
        <w:gridCol w:w="341"/>
        <w:gridCol w:w="1092"/>
        <w:gridCol w:w="436"/>
        <w:gridCol w:w="598"/>
        <w:gridCol w:w="1389"/>
        <w:gridCol w:w="974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103.4189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12,990.452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Holley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include 1,652 Dividend Equivalents (DEs) granted pursuant to the Amgen Inc. Second Amended and Restated 2009 Equity Incentive Plan and subject to a qualifying dividend reinvestment plan. DEs are credited to the reporting person's unvested Restricted Stock Units and are paid out in shares of the Company's common stock on a one-to-one basis according to the vesting schedule, along with a cash payment for any remaining fractional share amount.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M. Holley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6478" TargetMode="External"/><Relationship Id="rId5" Type="http://schemas.openxmlformats.org/officeDocument/2006/relationships/hyperlink" Target="http://www.sec.gov/cgi-bin/browse-edgar?action=getcompany&amp;CIK=00003181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3459</Characters>
  <CharactersWithSpaces>4028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