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Busch Matthew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AMGEN CENTER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THOUSAND OAKS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AMGEN INC</w:t>
              </w:r>
            </w:hyperlink>
            <w:r>
              <w:rPr/>
              <w:t xml:space="preserve"> [ </w:t>
            </w:r>
            <w:r>
              <w:rPr>
                <w:rFonts w:ascii="Times;serif" w:hAnsi="Times;serif"/>
                <w:color w:val="0000FF"/>
                <w:sz w:val="24"/>
                <w:shd w:fill="FFFFFF" w:val="clear"/>
              </w:rPr>
              <w:t>AMGN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Finance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730</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5,080</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were granted pursuant to the Amgen Inc. Second Amended and Restated 2009 Equity Incentive Plan (the Equity Incentive Plan) and vest in four equal annual installments of 25% each, commencing on 8/7/2027. Vested RSUs will be paid in shares of the Company's common stock on a one-to-one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include 45 Dividend Equivalents (DEs) granted pursuant to the Equity Incentive Plan and subject to a qualifying dividend reinvestment plan. DEs are credited to the reporting person's unvested RSUs and are paid out in shares of the Company's common stock on a one-to-one basis according to the vesting schedule, along with a cash payment for any remaining fractional share amount.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C. Busch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926" TargetMode="External"/><Relationship Id="rId5" Type="http://schemas.openxmlformats.org/officeDocument/2006/relationships/hyperlink" Target="http://www.sec.gov/cgi-bin/browse-edgar?action=getcompany&amp;CIK=00003181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3649</Characters>
  <CharactersWithSpaces>4262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