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May 14,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000-12477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95-3540776</w:t>
      </w:r>
    </w:p>
    <w:p>
      <w:pPr>
        <w:spacing w:after="0" w:line="31" w:lineRule="exact"/>
        <w:rPr>
          <w:sz w:val="24"/>
          <w:szCs w:val="24"/>
          <w:color w:val="auto"/>
        </w:rPr>
      </w:pPr>
    </w:p>
    <w:p>
      <w:pPr>
        <w:sectPr>
          <w:pgSz w:w="11900" w:h="16838" w:orient="portrait"/>
          <w:cols w:equalWidth="0" w:num="3">
            <w:col w:w="4740" w:space="720"/>
            <w:col w:w="2980" w:space="720"/>
            <w:col w:w="2240"/>
          </w:cols>
          <w:pgMar w:left="240" w:top="368" w:right="2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60"/>
          </w:cols>
          <w:pgMar w:left="240" w:top="368" w:right="259" w:bottom="1440" w:gutter="0" w:footer="0" w:header="0"/>
          <w:type w:val="continuous"/>
        </w:sectPr>
      </w:pPr>
    </w:p>
    <w:p>
      <w:pPr>
        <w:spacing w:after="0" w:line="33" w:lineRule="exact"/>
        <w:rPr>
          <w:sz w:val="24"/>
          <w:szCs w:val="24"/>
          <w:color w:val="auto"/>
        </w:rPr>
      </w:pPr>
    </w:p>
    <w:p>
      <w:pPr>
        <w:jc w:val="center"/>
        <w:ind w:right="1720"/>
        <w:spacing w:after="0"/>
        <w:rPr>
          <w:sz w:val="20"/>
          <w:szCs w:val="20"/>
          <w:color w:val="auto"/>
        </w:rPr>
      </w:pPr>
      <w:r>
        <w:rPr>
          <w:rFonts w:ascii="Arial" w:cs="Arial" w:eastAsia="Arial" w:hAnsi="Arial"/>
          <w:sz w:val="17"/>
          <w:szCs w:val="17"/>
          <w:b w:val="1"/>
          <w:bCs w:val="1"/>
          <w:color w:val="auto"/>
        </w:rPr>
        <w:t>One Amgen Center Drive</w:t>
      </w:r>
    </w:p>
    <w:p>
      <w:pPr>
        <w:spacing w:after="0" w:line="39"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Thousand Oaks, California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38" w:orient="portrait"/>
          <w:cols w:equalWidth="0" w:num="2">
            <w:col w:w="7500" w:space="720"/>
            <w:col w:w="3180"/>
          </w:cols>
          <w:pgMar w:left="240" w:top="368" w:right="2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80"/>
          </w:cols>
          <w:pgMar w:left="240" w:top="368"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805-447-1000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held its Annual Meeting on May 14, 2015. The final results of the voting for each matter submitted to a vote of stockholders at the meeting are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Election of Directors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Each of the following 13 nominees for director were elected to serve a one-year term expiring at the Company’s 2016 annual meeting of stockholders and until his or her successor is elected and qualified, or until his or her earlier retirement, resignation, disqualification, removal or death.</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4"/>
                <w:szCs w:val="14"/>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Votes For</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Votes Against</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Abstain</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Broker Non-</w:t>
            </w:r>
          </w:p>
        </w:tc>
        <w:tc>
          <w:tcPr>
            <w:tcW w:w="0" w:type="dxa"/>
            <w:vAlign w:val="bottom"/>
          </w:tcPr>
          <w:p>
            <w:pPr>
              <w:spacing w:after="0"/>
              <w:rPr>
                <w:sz w:val="1"/>
                <w:szCs w:val="1"/>
                <w:color w:val="auto"/>
              </w:rPr>
            </w:pPr>
          </w:p>
        </w:tc>
      </w:tr>
      <w:tr>
        <w:trPr>
          <w:trHeight w:val="178"/>
        </w:trPr>
        <w:tc>
          <w:tcPr>
            <w:tcW w:w="396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Dr.</w:t>
            </w: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David Baltimore</w:t>
            </w:r>
          </w:p>
        </w:tc>
        <w:tc>
          <w:tcPr>
            <w:tcW w:w="218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71"/>
              </w:rPr>
              <w:t>579,381,536</w:t>
            </w:r>
          </w:p>
        </w:tc>
        <w:tc>
          <w:tcPr>
            <w:tcW w:w="38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12,269,060</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7"/>
              </w:rPr>
              <w:t>13,282,213</w:t>
            </w:r>
          </w:p>
        </w:tc>
        <w:tc>
          <w:tcPr>
            <w:tcW w:w="280" w:type="dxa"/>
            <w:vAlign w:val="bottom"/>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80,423,699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Frank J. Biondi, Jr.</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543,233,686</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47,602,425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2,142,699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Robert A. Bradway</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565,777,480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23,406,241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3,795,085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François de Carbonnel</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585,459,609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5,861,112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1,658,088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Dr. Vance D. Coffman</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581,171,846</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9,564,482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2,242,480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Robert A. Eckert</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586,895,018</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4,462,245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1,621,546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Greg C. Garland</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582,645,003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8,720,908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1,612,898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Dr. Rebecca M. Henderson</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585,762,683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5,637,933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1,578,193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Mr. Frank C. Herringer</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581,456,333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9,896,171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1,626,306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Dr. Tyler Jacks</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586,135,516</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5,591,222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1,252,071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80,423,700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Ms. Judith C. Pelham</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581,555,469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9,710,264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1,713,076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Dr. Ronald D. Sugar</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581,764,080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9,253,327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1,961,404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80,423,698</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Dr. R. Sanders Williams</w:t>
            </w:r>
          </w:p>
        </w:tc>
        <w:tc>
          <w:tcPr>
            <w:tcW w:w="3160" w:type="dxa"/>
            <w:vAlign w:val="bottom"/>
            <w:gridSpan w:val="3"/>
          </w:tcPr>
          <w:p>
            <w:pPr>
              <w:jc w:val="center"/>
              <w:ind w:left="1690"/>
              <w:spacing w:after="0"/>
              <w:rPr>
                <w:sz w:val="20"/>
                <w:szCs w:val="20"/>
                <w:color w:val="auto"/>
              </w:rPr>
            </w:pPr>
            <w:r>
              <w:rPr>
                <w:rFonts w:ascii="Arial" w:cs="Arial" w:eastAsia="Arial" w:hAnsi="Arial"/>
                <w:sz w:val="18"/>
                <w:szCs w:val="18"/>
                <w:color w:val="auto"/>
                <w:w w:val="89"/>
              </w:rPr>
              <w:t>586,134,776</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5,233,911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1,610,123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80,423,699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Ratification of Selection of Independent Registered Public Accountants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Ernst &amp; Young LLP was ratified as the Company’s independent registered public accountants for the fiscal year ending December 31, 2015. No Broker Non-Votes resulted from the vote on this proposal.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For:</w:t>
            </w:r>
          </w:p>
        </w:tc>
        <w:tc>
          <w:tcPr>
            <w:tcW w:w="1640" w:type="dxa"/>
            <w:vAlign w:val="bottom"/>
          </w:tcPr>
          <w:p>
            <w:pPr>
              <w:ind w:left="740"/>
              <w:spacing w:after="0"/>
              <w:rPr>
                <w:sz w:val="20"/>
                <w:szCs w:val="20"/>
                <w:color w:val="auto"/>
              </w:rPr>
            </w:pPr>
            <w:r>
              <w:rPr>
                <w:rFonts w:ascii="Arial" w:cs="Arial" w:eastAsia="Arial" w:hAnsi="Arial"/>
                <w:sz w:val="18"/>
                <w:szCs w:val="18"/>
                <w:color w:val="auto"/>
                <w:w w:val="87"/>
              </w:rPr>
              <w:t>664,639,464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Against:</w:t>
            </w:r>
          </w:p>
        </w:tc>
        <w:tc>
          <w:tcPr>
            <w:tcW w:w="1640" w:type="dxa"/>
            <w:vAlign w:val="bottom"/>
          </w:tcPr>
          <w:p>
            <w:pPr>
              <w:ind w:left="740"/>
              <w:spacing w:after="0"/>
              <w:rPr>
                <w:sz w:val="20"/>
                <w:szCs w:val="20"/>
                <w:color w:val="auto"/>
              </w:rPr>
            </w:pPr>
            <w:r>
              <w:rPr>
                <w:rFonts w:ascii="Arial" w:cs="Arial" w:eastAsia="Arial" w:hAnsi="Arial"/>
                <w:sz w:val="18"/>
                <w:szCs w:val="18"/>
                <w:color w:val="auto"/>
              </w:rPr>
              <w:t>7,013,010</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Abstain:</w:t>
            </w:r>
          </w:p>
        </w:tc>
        <w:tc>
          <w:tcPr>
            <w:tcW w:w="1640" w:type="dxa"/>
            <w:vAlign w:val="bottom"/>
          </w:tcPr>
          <w:p>
            <w:pPr>
              <w:ind w:left="740"/>
              <w:spacing w:after="0"/>
              <w:rPr>
                <w:sz w:val="20"/>
                <w:szCs w:val="20"/>
                <w:color w:val="auto"/>
              </w:rPr>
            </w:pPr>
            <w:r>
              <w:rPr>
                <w:rFonts w:ascii="Arial" w:cs="Arial" w:eastAsia="Arial" w:hAnsi="Arial"/>
                <w:sz w:val="18"/>
                <w:szCs w:val="18"/>
                <w:color w:val="auto"/>
              </w:rPr>
              <w:t>1,750,034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Advisory Vote to Approve Our Executive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advisory vote to approve our executive compensation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For:</w:t>
            </w:r>
          </w:p>
        </w:tc>
        <w:tc>
          <w:tcPr>
            <w:tcW w:w="1260" w:type="dxa"/>
            <w:vAlign w:val="bottom"/>
          </w:tcPr>
          <w:p>
            <w:pPr>
              <w:ind w:left="360"/>
              <w:spacing w:after="0"/>
              <w:rPr>
                <w:sz w:val="20"/>
                <w:szCs w:val="20"/>
                <w:color w:val="auto"/>
              </w:rPr>
            </w:pPr>
            <w:r>
              <w:rPr>
                <w:rFonts w:ascii="Arial" w:cs="Arial" w:eastAsia="Arial" w:hAnsi="Arial"/>
                <w:sz w:val="18"/>
                <w:szCs w:val="18"/>
                <w:color w:val="auto"/>
                <w:w w:val="87"/>
              </w:rPr>
              <w:t>574,873,839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Against:</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14,929,649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Abstain:</w:t>
            </w:r>
          </w:p>
        </w:tc>
        <w:tc>
          <w:tcPr>
            <w:tcW w:w="1260" w:type="dxa"/>
            <w:vAlign w:val="bottom"/>
          </w:tcPr>
          <w:p>
            <w:pPr>
              <w:ind w:left="360"/>
              <w:spacing w:after="0"/>
              <w:rPr>
                <w:sz w:val="20"/>
                <w:szCs w:val="20"/>
                <w:color w:val="auto"/>
              </w:rPr>
            </w:pPr>
            <w:r>
              <w:rPr>
                <w:rFonts w:ascii="Arial" w:cs="Arial" w:eastAsia="Arial" w:hAnsi="Arial"/>
                <w:sz w:val="18"/>
                <w:szCs w:val="18"/>
                <w:color w:val="auto"/>
              </w:rPr>
              <w:t>3,175,320</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Broker Non-Votes:</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80,423,701</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 Stockholder Proposal (Vote Tabulation)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 proposal relating to vote tabulation was not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For:</w:t>
            </w:r>
          </w:p>
        </w:tc>
        <w:tc>
          <w:tcPr>
            <w:tcW w:w="1420" w:type="dxa"/>
            <w:vAlign w:val="bottom"/>
          </w:tcPr>
          <w:p>
            <w:pPr>
              <w:ind w:left="520"/>
              <w:spacing w:after="0"/>
              <w:rPr>
                <w:sz w:val="20"/>
                <w:szCs w:val="20"/>
                <w:color w:val="auto"/>
              </w:rPr>
            </w:pPr>
            <w:r>
              <w:rPr>
                <w:rFonts w:ascii="Arial" w:cs="Arial" w:eastAsia="Arial" w:hAnsi="Arial"/>
                <w:sz w:val="18"/>
                <w:szCs w:val="18"/>
                <w:color w:val="auto"/>
                <w:w w:val="97"/>
              </w:rPr>
              <w:t>34,285,440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Against:</w:t>
            </w:r>
          </w:p>
        </w:tc>
        <w:tc>
          <w:tcPr>
            <w:tcW w:w="1420" w:type="dxa"/>
            <w:vAlign w:val="bottom"/>
          </w:tcPr>
          <w:p>
            <w:pPr>
              <w:ind w:left="520"/>
              <w:spacing w:after="0"/>
              <w:rPr>
                <w:sz w:val="20"/>
                <w:szCs w:val="20"/>
                <w:color w:val="auto"/>
              </w:rPr>
            </w:pPr>
            <w:r>
              <w:rPr>
                <w:rFonts w:ascii="Arial" w:cs="Arial" w:eastAsia="Arial" w:hAnsi="Arial"/>
                <w:sz w:val="18"/>
                <w:szCs w:val="18"/>
                <w:color w:val="auto"/>
                <w:w w:val="87"/>
              </w:rPr>
              <w:t>555,481,058</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Abstain:</w:t>
            </w:r>
          </w:p>
        </w:tc>
        <w:tc>
          <w:tcPr>
            <w:tcW w:w="1420" w:type="dxa"/>
            <w:vAlign w:val="bottom"/>
          </w:tcPr>
          <w:p>
            <w:pPr>
              <w:ind w:left="520"/>
              <w:spacing w:after="0"/>
              <w:rPr>
                <w:sz w:val="20"/>
                <w:szCs w:val="20"/>
                <w:color w:val="auto"/>
              </w:rPr>
            </w:pPr>
            <w:r>
              <w:rPr>
                <w:rFonts w:ascii="Arial" w:cs="Arial" w:eastAsia="Arial" w:hAnsi="Arial"/>
                <w:sz w:val="18"/>
                <w:szCs w:val="18"/>
                <w:color w:val="auto"/>
              </w:rPr>
              <w:t>3,212,319</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Broker Non-Votes:</w:t>
            </w:r>
          </w:p>
        </w:tc>
        <w:tc>
          <w:tcPr>
            <w:tcW w:w="1420" w:type="dxa"/>
            <w:vAlign w:val="bottom"/>
          </w:tcPr>
          <w:p>
            <w:pPr>
              <w:ind w:left="520"/>
              <w:spacing w:after="0"/>
              <w:rPr>
                <w:sz w:val="20"/>
                <w:szCs w:val="20"/>
                <w:color w:val="auto"/>
              </w:rPr>
            </w:pPr>
            <w:r>
              <w:rPr>
                <w:rFonts w:ascii="Arial" w:cs="Arial" w:eastAsia="Arial" w:hAnsi="Arial"/>
                <w:sz w:val="18"/>
                <w:szCs w:val="18"/>
                <w:color w:val="auto"/>
                <w:w w:val="97"/>
              </w:rPr>
              <w:t>80,423,699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matters were submitted for stockholder action.</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 copy of the press release announcing the vote results is furnished as Exhibit 99.1 to this Current Report on Form 8-K and shall not be deemed “filed” for purposes of Section 18 of the Securities Exchange Act of 1934, as amended, or otherwise subject to the liabilities of that Section.</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14,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2"/>
          </w:tcPr>
          <w:p>
            <w:pPr>
              <w:ind w:left="5460"/>
              <w:spacing w:after="0"/>
              <w:rPr>
                <w:sz w:val="20"/>
                <w:szCs w:val="20"/>
                <w:color w:val="auto"/>
              </w:rPr>
            </w:pPr>
            <w:r>
              <w:rPr>
                <w:rFonts w:ascii="Arial" w:cs="Arial" w:eastAsia="Arial" w:hAnsi="Arial"/>
                <w:sz w:val="18"/>
                <w:szCs w:val="18"/>
                <w:color w:val="auto"/>
              </w:rPr>
              <w:t>AMGEN INC.</w:t>
            </w: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Date: May 14, 2015</w:t>
            </w:r>
          </w:p>
        </w:tc>
        <w:tc>
          <w:tcPr>
            <w:tcW w:w="5360" w:type="dxa"/>
            <w:vAlign w:val="bottom"/>
          </w:tcPr>
          <w:p>
            <w:pPr>
              <w:spacing w:after="0"/>
              <w:rPr>
                <w:sz w:val="24"/>
                <w:szCs w:val="24"/>
                <w:color w:val="auto"/>
              </w:rPr>
            </w:pPr>
          </w:p>
        </w:tc>
      </w:tr>
      <w:tr>
        <w:trPr>
          <w:trHeight w:val="432"/>
        </w:trPr>
        <w:tc>
          <w:tcPr>
            <w:tcW w:w="6060" w:type="dxa"/>
            <w:vAlign w:val="bottom"/>
          </w:tcPr>
          <w:p>
            <w:pPr>
              <w:ind w:left="54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Scott</w:t>
            </w:r>
          </w:p>
        </w:tc>
      </w:tr>
      <w:tr>
        <w:trPr>
          <w:trHeight w:val="209"/>
        </w:trPr>
        <w:tc>
          <w:tcPr>
            <w:tcW w:w="6060" w:type="dxa"/>
            <w:vAlign w:val="bottom"/>
          </w:tcPr>
          <w:p>
            <w:pPr>
              <w:ind w:left="546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David J. Scott</w:t>
            </w:r>
          </w:p>
        </w:tc>
      </w:tr>
      <w:tr>
        <w:trPr>
          <w:trHeight w:val="230"/>
        </w:trPr>
        <w:tc>
          <w:tcPr>
            <w:tcW w:w="6060" w:type="dxa"/>
            <w:vAlign w:val="bottom"/>
          </w:tcPr>
          <w:p>
            <w:pPr>
              <w:ind w:left="546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1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7"/>
              </w:rPr>
              <w:t>Press Release, dated May 14, 2015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2689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4718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One Amgen Center Drive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Thousand Oaks, CA 91320-1799</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Telephone 805-447-1000</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www.Amgen.com</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ANNOUNCES VOTING RESULTS OF ANNUAL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 OF STOCKHOLDERS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THOUSAND OAKS, Calif. (May 14, 2015) - Amgen (NASDAQ:AMGN) today announced voting results from the Company’s Annual Meeting of Stockholders, held in Westlake Village, Calif. Approximately 89 percent of outstanding shares were represented at the meeting.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director nominees David Baltimore, Frank J. Biondi, Jr., Robert A. Bradway, François de Carbonnel, Vance D. Coffman, Robert A. Eckert, Greg C. Garland, Rebecca M. Henderson, Frank C. Herringer, Tyler Jacks, Judith C. Pelham, Ronald D. Sugar, and R. Sanders Williams were each re-elected to Amgen’s Board of Directors. Each director received at least 92 percent of the votes cast “For.” With the re-election of all of the director nominees, Amgen currently has 13 directors.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approximately 99 percent of the votes cast “For,” stockholders ratified Ernst &amp; Young LLP as Amgen’s independent registered public accountants for the year ending Dec. 31,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Stockholders approved, on an advisory basis, the named executive officer compensation, commonly known as “Say on Pay.” The non-binding proposal gives stockholders the opportunity to endorse or not endorse Amgen’s executive pay programs and policies. Say on Pay received approximately 97 percent of the votes cast “For” the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proposal regarding vote tabulation did not pass, receiving approximately 6 percent of the votes cast “For” the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Amgen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Amgen focuses on areas of high unmet medical need and leverages its biologics manufacturing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www.amgen.com and follow us on www.twitter.com/amgen.</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news release contains forward-looking statements that involve significant risks and uncertainties, including those discussed below and others that can be found in our Form 10-K for the year ended Dec. 31, 2014, and in any subsequent periodic reports on Form 10-Q and Form 8-K. Amgen is providing this information as of the date of this news release and does not undertake any obligation to update any forward-looking statements contained in this document as a result of new information, future events or otherwise.</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 forward-looking statement can be guaranteed and actual results may differ materially from those we project. The Company’s results may be affected by our ability to successfully market both new and existing products domestically and internationally, clinical and regulatory developments (domestic or foreign) involving current and future products, sales growth of recently launched products, competition from other products (domestic or foreign) and difficulties or delays in manufacturing our products. In addition, sales of our products are affected by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as well as U.S. legislation affecting pharmaceutical pricing and reimbursement. Government and others’ regulations and reimbursement policies may affect the development, usage and pricing of our products. Furthermore, our research, testing, pricing, marketing and other operations are subject to extensive regulation by domestic and foreign government regulatory authorities. We or others could identify safety, side effects or manufacturing problems with our products after they are on the market. Our business may be impacted by government investigations, litigation and product liability claims.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We depend on third parties for a significant portion of our manufacturing capacity for the supply of certain of our current and future products and limits on supply may constrain sales of certain of our current products and product candidate development. In addition, we compete with other companies with respect to some of our marketed products as well as for the discovery and development of new products. Discovery or identification of new product candidates cannot be guaranteed and movement from concept to product is uncertain; consequently, there can be no guarantee that any particular product candidate will be successful and become a commercial product. Further, some raw materials, medical devices and component parts for our products are supplied by sole third-party suppliers. Our efforts to integrate the operations of companies we have acquired may not be successful. We may experience difficulties, delays or unexpected costs and not achieve anticipated benefits and savings from our recently announced restructuring plan. Our business performance could affect or limit the ability of the Amgen Inc. Board of Directors to declare a dividend or our ability to pay a dividend or repurchase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Amgen, Thousand Oaks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Cuyler Mayer, 805-447-6332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Arvind Sood, 805-447-1060 (investors)</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2019-12-05T19:24:35Z</dcterms:created>
  <dcterms:modified xsi:type="dcterms:W3CDTF">2019-12-05T19:24:35Z</dcterms:modified>
</cp:coreProperties>
</file>