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11-K</w:t>
      </w:r>
    </w:p>
    <w:p>
      <w:pPr>
        <w:pStyle w:val="TextBody"/>
        <w:bidi w:val="0"/>
        <w:spacing w:lineRule="auto" w:line="288" w:before="280" w:after="283"/>
        <w:jc w:val="left"/>
        <w:rPr>
          <w:rFonts w:ascii="Times New Roman;serif" w:hAnsi="Times New Roman;serif"/>
          <w:b/>
          <w:color w:val="000000"/>
          <w:sz w:val="24"/>
        </w:rPr>
      </w:pPr>
      <w:r>
        <w:rPr>
          <w:rFonts w:ascii="Times New Roman;serif" w:hAnsi="Times New Roman;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ANNUAL REPORT PURSUANT TO SECTION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Commission file number 001-37702</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RETIREMENT AND SAVINGS PLAN FOR</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AMGEN MANUFACTURING LIMITED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Road 31, Kilometer 24.6, Juncos, Puerto Rico 00777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(Full title and address of the plan)</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AMGEN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issuer of the securities held)</w:t>
      </w:r>
    </w:p>
    <w:p>
      <w:pPr>
        <w:pStyle w:val="TextBody"/>
        <w:bidi w:val="0"/>
        <w:spacing w:lineRule="auto" w:line="288" w:before="0" w:after="0"/>
        <w:jc w:val="left"/>
        <w:rPr>
          <w:color w:val="000000"/>
        </w:rPr>
      </w:pPr>
      <w:r>
        <w:rPr>
          <w:color w:val="000000"/>
        </w:rPr>
        <w:t> </w:t>
      </w:r>
    </w:p>
    <w:tbl>
      <w:tblPr>
        <w:tblW w:w="4212" w:type="dxa"/>
        <w:jc w:val="left"/>
        <w:tblInd w:w="0" w:type="dxa"/>
        <w:tblLayout w:type="fixed"/>
        <w:tblCellMar>
          <w:top w:w="28" w:type="dxa"/>
          <w:left w:w="28" w:type="dxa"/>
          <w:bottom w:w="28" w:type="dxa"/>
          <w:right w:w="28" w:type="dxa"/>
        </w:tblCellMar>
      </w:tblPr>
      <w:tblGrid>
        <w:gridCol w:w="1035"/>
        <w:gridCol w:w="913"/>
        <w:gridCol w:w="917"/>
        <w:gridCol w:w="109"/>
        <w:gridCol w:w="109"/>
        <w:gridCol w:w="109"/>
        <w:gridCol w:w="298"/>
        <w:gridCol w:w="298"/>
        <w:gridCol w:w="42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 Amgen Center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91320-1799</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 Oaks, California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Manufacturing Limited LLC</w: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Audited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 Supplemental Schedule</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Year Ended December 31, 2025</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Contents</w:t>
      </w:r>
    </w:p>
    <w:p>
      <w:pPr>
        <w:pStyle w:val="TextBody"/>
        <w:bidi w:val="0"/>
        <w:spacing w:lineRule="auto" w:line="288" w:before="180" w:after="283"/>
        <w:jc w:val="left"/>
        <w:rPr>
          <w:color w:val="000000"/>
        </w:rPr>
      </w:pPr>
      <w:r>
        <w:rPr>
          <w:color w:val="000000"/>
        </w:rPr>
        <w:t> </w:t>
      </w:r>
    </w:p>
    <w:tbl>
      <w:tblPr>
        <w:tblW w:w="8307" w:type="dxa"/>
        <w:jc w:val="left"/>
        <w:tblInd w:w="0" w:type="dxa"/>
        <w:tblLayout w:type="fixed"/>
        <w:tblCellMar>
          <w:top w:w="28" w:type="dxa"/>
          <w:left w:w="28" w:type="dxa"/>
          <w:bottom w:w="28" w:type="dxa"/>
          <w:right w:w="28" w:type="dxa"/>
        </w:tblCellMar>
      </w:tblPr>
      <w:tblGrid>
        <w:gridCol w:w="2872"/>
        <w:gridCol w:w="2524"/>
        <w:gridCol w:w="2539"/>
        <w:gridCol w:w="109"/>
        <w:gridCol w:w="109"/>
        <w:gridCol w:w="154"/>
      </w:tblGrid>
      <w:tr>
        <w:trPr/>
        <w:tc>
          <w:tcPr>
            <w:tcW w:w="2872"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c018afaf984626a8a22195a17135ee_7">
              <w:r>
                <w:rPr>
                  <w:rStyle w:val="InternetLink"/>
                  <w:rFonts w:ascii="Times New Roman;serif" w:hAnsi="Times New Roman;serif"/>
                  <w:b w:val="false"/>
                  <w:color w:val="0000FF"/>
                  <w:sz w:val="20"/>
                  <w:u w:val="singl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018afaf984626a8a22195a17135ee_7">
              <w:r>
                <w:rPr>
                  <w:rStyle w:val="InternetLink"/>
                  <w:rFonts w:ascii="Times New Roman;serif" w:hAnsi="Times New Roman;serif"/>
                  <w:b w:val="false"/>
                  <w:color w:val="0000FF"/>
                  <w:sz w:val="20"/>
                  <w:u w:val="single"/>
                </w:rPr>
                <w:t>1</w:t>
              </w:r>
            </w:hyperlink>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Audited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c018afaf984626a8a22195a17135ee_10">
              <w:r>
                <w:rPr>
                  <w:rStyle w:val="InternetLink"/>
                  <w:rFonts w:ascii="Times New Roman;serif" w:hAnsi="Times New Roman;serif"/>
                  <w:b w:val="false"/>
                  <w:color w:val="0000FF"/>
                  <w:sz w:val="20"/>
                  <w:u w:val="single"/>
                </w:rPr>
                <w:t>Statements of Net Assets Available for Benefits at December 31, 2025 and 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018afaf984626a8a22195a17135ee_10">
              <w:r>
                <w:rPr>
                  <w:rStyle w:val="InternetLink"/>
                  <w:rFonts w:ascii="Times New Roman;serif" w:hAnsi="Times New Roman;serif"/>
                  <w:b w:val="false"/>
                  <w:color w:val="0000FF"/>
                  <w:sz w:val="20"/>
                  <w:u w:val="single"/>
                </w:rPr>
                <w:t>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c018afaf984626a8a22195a17135ee_13">
              <w:r>
                <w:rPr>
                  <w:rStyle w:val="InternetLink"/>
                  <w:rFonts w:ascii="Times New Roman;serif" w:hAnsi="Times New Roman;serif"/>
                  <w:b w:val="false"/>
                  <w:color w:val="0000FF"/>
                  <w:sz w:val="20"/>
                  <w:u w:val="single"/>
                </w:rPr>
                <w:t>Statement of Changes in Net Assets Available for Benefits for the year ended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018afaf984626a8a22195a17135ee_13">
              <w:r>
                <w:rPr>
                  <w:rStyle w:val="InternetLink"/>
                  <w:rFonts w:ascii="Times New Roman;serif" w:hAnsi="Times New Roman;serif"/>
                  <w:b w:val="false"/>
                  <w:color w:val="0000FF"/>
                  <w:sz w:val="20"/>
                  <w:u w:val="single"/>
                </w:rPr>
                <w:t>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c018afaf984626a8a22195a17135ee_16">
              <w:r>
                <w:rPr>
                  <w:rStyle w:val="InternetLink"/>
                  <w:rFonts w:ascii="Times New Roman;serif" w:hAnsi="Times New Roman;serif"/>
                  <w:b w:val="false"/>
                  <w:color w:val="0000FF"/>
                  <w:sz w:val="20"/>
                  <w:u w:val="single"/>
                </w:rPr>
                <w:t>Notes to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018afaf984626a8a22195a17135ee_16">
              <w:r>
                <w:rPr>
                  <w:rStyle w:val="InternetLink"/>
                  <w:rFonts w:ascii="Times New Roman;serif" w:hAnsi="Times New Roman;serif"/>
                  <w:b w:val="false"/>
                  <w:color w:val="0000FF"/>
                  <w:sz w:val="20"/>
                  <w:u w:val="single"/>
                </w:rPr>
                <w:t>4</w:t>
              </w:r>
            </w:hyperlink>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c018afaf984626a8a22195a17135ee_34">
              <w:r>
                <w:rPr>
                  <w:rStyle w:val="InternetLink"/>
                  <w:rFonts w:ascii="Times New Roman;serif" w:hAnsi="Times New Roman;serif"/>
                  <w:b w:val="false"/>
                  <w:color w:val="0000FF"/>
                  <w:sz w:val="20"/>
                  <w:u w:val="single"/>
                </w:rPr>
                <w:t>Schedule of Assets (Held at End of Year)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018afaf984626a8a22195a17135ee_34">
              <w:r>
                <w:rPr>
                  <w:rStyle w:val="InternetLink"/>
                  <w:rFonts w:ascii="Times New Roman;serif" w:hAnsi="Times New Roman;serif"/>
                  <w:b w:val="false"/>
                  <w:color w:val="0000FF"/>
                  <w:sz w:val="20"/>
                  <w:u w:val="single"/>
                </w:rPr>
                <w:t>10</w:t>
              </w:r>
            </w:hyperlink>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c018afaf984626a8a22195a17135ee_37">
              <w:r>
                <w:rPr>
                  <w:rStyle w:val="InternetLink"/>
                  <w:rFonts w:ascii="Times New Roman;serif" w:hAnsi="Times New Roman;serif"/>
                  <w:b w:val="false"/>
                  <w:color w:val="0000FF"/>
                  <w:sz w:val="20"/>
                  <w:u w:val="single"/>
                </w:rPr>
                <w:t>Index to Exhibit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018afaf984626a8a22195a17135ee_37">
              <w:r>
                <w:rPr>
                  <w:rStyle w:val="InternetLink"/>
                  <w:rFonts w:ascii="Times New Roman;serif" w:hAnsi="Times New Roman;serif"/>
                  <w:b w:val="false"/>
                  <w:color w:val="0000FF"/>
                  <w:sz w:val="20"/>
                  <w:u w:val="single"/>
                </w:rPr>
                <w:t>14</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c018afaf984626a8a22195a17135ee_40">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c018afaf984626a8a22195a17135ee_40">
              <w:r>
                <w:rPr>
                  <w:rStyle w:val="InternetLink"/>
                  <w:rFonts w:ascii="Times New Roman;serif" w:hAnsi="Times New Roman;serif"/>
                  <w:b w:val="false"/>
                  <w:color w:val="0000FF"/>
                  <w:sz w:val="20"/>
                  <w:u w:val="single"/>
                </w:rPr>
                <w:t>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before="0" w:after="0"/>
        <w:jc w:val="left"/>
        <w:rPr/>
      </w:pPr>
      <w:r>
        <w:rPr/>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To the Plan Participants and the Plan Administrator of the Retirement and Savings Plan for Amgen Manufacturing Limited LLC</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the Retirement and Savings Plan for Amgen Manufacturing Limited LLC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 ended December 31, 2025, in conformity with U.S. generally accepted accounting principles.</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 </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Supplemental Schedule Required by ERISA</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pStyle w:val="TextBody"/>
        <w:bidi w:val="0"/>
        <w:spacing w:lineRule="auto" w:line="288" w:before="120" w:after="160"/>
        <w:jc w:val="righ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We have served as the Plan’s auditor since 1992.</w:t>
      </w:r>
    </w:p>
    <w:p>
      <w:pPr>
        <w:pStyle w:val="TextBody"/>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June 11,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Statements of Net Assets Available for Benefits</w:t>
      </w:r>
    </w:p>
    <w:p>
      <w:pPr>
        <w:pStyle w:val="TextBody"/>
        <w:bidi w:val="0"/>
        <w:spacing w:before="0" w:after="0"/>
        <w:jc w:val="left"/>
        <w:rPr/>
      </w:pPr>
      <w:r>
        <w:rPr/>
      </w:r>
    </w:p>
    <w:tbl>
      <w:tblPr>
        <w:tblW w:w="6711" w:type="dxa"/>
        <w:jc w:val="left"/>
        <w:tblInd w:w="0" w:type="dxa"/>
        <w:tblLayout w:type="fixed"/>
        <w:tblCellMar>
          <w:top w:w="28" w:type="dxa"/>
          <w:left w:w="28" w:type="dxa"/>
          <w:bottom w:w="28" w:type="dxa"/>
          <w:right w:w="28" w:type="dxa"/>
        </w:tblCellMar>
      </w:tblPr>
      <w:tblGrid>
        <w:gridCol w:w="1084"/>
        <w:gridCol w:w="956"/>
        <w:gridCol w:w="960"/>
        <w:gridCol w:w="109"/>
        <w:gridCol w:w="109"/>
        <w:gridCol w:w="109"/>
        <w:gridCol w:w="211"/>
        <w:gridCol w:w="1186"/>
        <w:gridCol w:w="109"/>
        <w:gridCol w:w="109"/>
        <w:gridCol w:w="109"/>
        <w:gridCol w:w="109"/>
        <w:gridCol w:w="211"/>
        <w:gridCol w:w="118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911,174,783 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762,010,202 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18,107,898 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principally due from broker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930,833,030 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780,420,376 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principally due to broker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930,624,316 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780,088,151 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 of Changes in Net Assets Available for Benefits</w:t>
      </w:r>
    </w:p>
    <w:p>
      <w:pPr>
        <w:pStyle w:val="TextBody"/>
        <w:bidi w:val="0"/>
        <w:spacing w:before="0" w:after="0"/>
        <w:jc w:val="left"/>
        <w:rPr/>
      </w:pPr>
      <w:r>
        <w:rPr/>
      </w:r>
    </w:p>
    <w:tbl>
      <w:tblPr>
        <w:tblW w:w="7308" w:type="dxa"/>
        <w:jc w:val="left"/>
        <w:tblInd w:w="0" w:type="dxa"/>
        <w:tblLayout w:type="fixed"/>
        <w:tblCellMar>
          <w:top w:w="28" w:type="dxa"/>
          <w:left w:w="28" w:type="dxa"/>
          <w:bottom w:w="28" w:type="dxa"/>
          <w:right w:w="28" w:type="dxa"/>
        </w:tblCellMar>
      </w:tblPr>
      <w:tblGrid>
        <w:gridCol w:w="1595"/>
        <w:gridCol w:w="1403"/>
        <w:gridCol w:w="1411"/>
        <w:gridCol w:w="109"/>
        <w:gridCol w:w="109"/>
        <w:gridCol w:w="109"/>
        <w:gridCol w:w="323"/>
        <w:gridCol w:w="1819"/>
        <w:gridCol w:w="167"/>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(deductions from)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22,642,145 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20,015,238 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1,111,853 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6,491,598 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124,470,752 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(25,178,261)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administrative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150,536,165 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780,088,151 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at end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930,624,316 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December 31, 2025 </w:t>
      </w:r>
    </w:p>
    <w:p>
      <w:pPr>
        <w:pStyle w:val="TextBody"/>
        <w:bidi w:val="0"/>
        <w:spacing w:before="0" w:after="0"/>
        <w:jc w:val="left"/>
        <w:rPr/>
      </w:pPr>
      <w:r>
        <w:rPr/>
      </w:r>
    </w:p>
    <w:p>
      <w:pPr>
        <w:pStyle w:val="TextBody"/>
        <w:bidi w:val="0"/>
        <w:spacing w:lineRule="auto" w:line="288" w:before="180" w:after="160"/>
        <w:jc w:val="both"/>
        <w:rPr>
          <w:rFonts w:ascii="Times New Roman;serif" w:hAnsi="Times New Roman;serif"/>
          <w:b/>
          <w:color w:val="000000"/>
          <w:sz w:val="20"/>
        </w:rPr>
      </w:pPr>
      <w:r>
        <w:rPr>
          <w:rFonts w:ascii="Times New Roman;serif" w:hAnsi="Times New Roman;serif"/>
          <w:b/>
          <w:color w:val="000000"/>
          <w:sz w:val="20"/>
        </w:rPr>
        <w:t>1. Description of the Plan</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Retirement and Savings Plan for Amgen Manufacturing Limited LLC (the Plan). The description below provides only general information, and accordingly, participants should refer to the Plan document for a more complete description of the Plan’s provisions.</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80" w:after="160"/>
        <w:ind w:left="0" w:right="0" w:firstLine="225"/>
        <w:jc w:val="both"/>
        <w:rPr/>
      </w:pPr>
      <w:r>
        <w:rPr>
          <w:rFonts w:ascii="Times New Roman;serif" w:hAnsi="Times New Roman;serif"/>
          <w:b w:val="false"/>
          <w:color w:val="000000"/>
          <w:sz w:val="20"/>
        </w:rPr>
        <w:t xml:space="preserve">The Plan was established effective January 1, 2002, was amended and restated effective January 1, 2017, </w:t>
      </w:r>
      <w:r>
        <w:rPr>
          <w:rFonts w:ascii="Times New Roman;serif" w:hAnsi="Times New Roman;serif"/>
          <w:b w:val="false"/>
          <w:color w:val="000000"/>
          <w:sz w:val="20"/>
          <w:shd w:fill="FFFFFF" w:val="clear"/>
        </w:rPr>
        <w:t xml:space="preserve">and was subsequently amended with the most recent amendment effective on or prior to December 31, 2025 adopted on June 7, 2024. The Plan was subsequently amended and restated effective January 1, 2026. </w:t>
      </w:r>
      <w:r>
        <w:rPr>
          <w:rFonts w:ascii="Times New Roman;serif" w:hAnsi="Times New Roman;serif"/>
          <w:b w:val="false"/>
          <w:color w:val="000000"/>
          <w:sz w:val="20"/>
        </w:rPr>
        <w:t xml:space="preserve">The Plan is a defined contribution plan covering substantially all Puerto Rico resident employees of Amgen Manufacturing Limited LLC (the Company), a wholly owned subsidiary of Amgen Inc. (Amgen). The Plan is intended to qualify under Section 1081.01 of the Puerto Rico Internal Revenue Code of 2011, as amended (the PR Code) (see Note 4, </w:t>
      </w:r>
      <w:r>
        <w:rPr>
          <w:rFonts w:ascii="Times New Roman;serif" w:hAnsi="Times New Roman;serif"/>
          <w:b w:val="false"/>
          <w:i/>
          <w:color w:val="000000"/>
          <w:sz w:val="20"/>
        </w:rPr>
        <w:t>Income Tax Status</w:t>
      </w:r>
      <w:r>
        <w:rPr>
          <w:rFonts w:ascii="Times New Roman;serif" w:hAnsi="Times New Roman;serif"/>
          <w:b w:val="false"/>
          <w:color w:val="000000"/>
          <w:sz w:val="20"/>
        </w:rPr>
        <w:t>) and section 407(d)(3)(A) of the Employee Retirement Income Security Act of 1974 (ERISA).</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Contributions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Subject to certain limitations (as defined in the Plan), participants may elect to contribute up to 30% of their eligible compensation in pre-tax contributions and after-tax contributions or a combination of these types of contributions (together, Individual Contributions). A participant’s pre-tax contributions are subject to the PR Code and Plan limitations and could not exceed $15,000 in 2025. Participants may elect to contribute after-tax contributions beginning January 1 of the year following the year the participant was hired. Participant after-tax contributions are subject to the PR Code and Plan limitations and could not exceed $1,500 in 2025. Unless an employee has voluntarily enrolled in the Plan or has declined to participate in the Plan within the first 30 days of employment, all newly eligible participants are automatically enrolled in the Plan, and contributions equal to 5% of their eligible compensation are withheld and contributed to the Plan as pre-tax contributions; such contributions are automatically increased by 1% per year until their contributions reach 10% of their eligible compensation. Participants may elect to adjust, cease or resume their Individual Contributions at any time.</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Participants who are at least age 50 by the close of the Plan year may also elect to make certain additional pre-tax Individual Contributions, referred to as catch-up contributions, that are subject to the PR Code and Plan limitations and could not exceed $1,500 in 2025. Participants may also contribute pre-tax and after-tax amounts representing distributions from certain other retirement plans qualified in Puerto Rico, referred to as rollover contributions (as defined in the Plan).</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Each pay period, the Company makes a non-elective contribution for all eligible participants, whether or not they have elected to make Individual Contributions to the Plan, equal to 4% of each participant’s eligible compensation up to a maximum of $14,000 in 2025 (Core Contributions). In addition, the Company makes a contribution equal to amounts contributed by the participant as pre-tax contributions, including catch-up contributions, of up to 5% of eligible compensation (Matching Contributions). Matching Contributions could not exceed $15,000 in 2025 (or $16,500 for catch-up eligible participants).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Participants select the investments in which their Individual Contributions, including their Core Contributions and Matching Contributions (collectively, Company Contributions), are to be invested, electing among various alternatives, including Amgen common stock (Amgen stock). Participants may direct a maximum of 20% of contributions to be invested in Amgen stock. In addition, participants may transfer amounts among the investment options at any time, subject to certain limitations. Notwithstanding the foregoing, if 20% or more of the value of a participant’s Plan account is invested in Amgen stock, the Plan document provides that no transfers from other investment options can be made to invest in Amgen stock.</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accounts of participants who have not made an investment election are allocated to investments under a qualified default investment alternative, which is intended to be compliant with ERISA regulations. At any time, participants may elect to alter the investments in their accounts made under a qualified default investment alternative.</w:t>
      </w:r>
    </w:p>
    <w:p>
      <w:pPr>
        <w:pStyle w:val="TextBody"/>
        <w:bidi w:val="0"/>
        <w:spacing w:lineRule="auto" w:line="288" w:before="180" w:after="1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Vesting and Forfeitures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are immediately vested with respect to their Individual Contributions and Matching Contributions and earnings and losses (hereafter referred to as earnings) thereon. Participants hired prior to January 1, 2020, are also immediately vested with respect to their Core Contributions and earnings thereon. Participants hired on or after January 1, 2020, vest in full with respect to their Core Contributions and earnings thereon after three years of service, as defined by the terms of the Plan, or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before="0" w:after="0"/>
        <w:jc w:val="left"/>
        <w:rPr/>
      </w:pPr>
      <w:r>
        <w:rPr/>
      </w:r>
    </w:p>
    <w:p>
      <w:pPr>
        <w:pStyle w:val="TextBody"/>
        <w:bidi w:val="0"/>
        <w:spacing w:lineRule="auto" w:line="288" w:before="0" w:after="160"/>
        <w:jc w:val="both"/>
        <w:rPr/>
      </w:pPr>
      <w:r>
        <w:rPr>
          <w:rFonts w:ascii="Times New Roman;serif" w:hAnsi="Times New Roman;serif"/>
          <w:b w:val="false"/>
          <w:color w:val="000000"/>
          <w:sz w:val="20"/>
        </w:rPr>
        <w:t xml:space="preserve">reaching age 65 while employed by the Company, if earlier. If a participant ceases to be an employee before fully vesting in their account, the non-vested Core Contributions and earnings thereon of the participant’s account will be treated as a forfeiture, as defined by the terms of the Plan, on the earlier of (a) the date the participant incurs a five-year break in service, as defined by the terms of the Plan or, (b) the date the participant receives a distribution of the entire vested portion of their account. </w:t>
      </w:r>
      <w:r>
        <w:rPr>
          <w:rFonts w:ascii="Times New Roman;serif" w:hAnsi="Times New Roman;serif"/>
          <w:b w:val="false"/>
          <w:color w:val="000000"/>
          <w:sz w:val="20"/>
          <w:shd w:fill="FFFFFF" w:val="clear"/>
        </w:rPr>
        <w:t>Forfeitures are applied, in accordance with Plan provisions, to reduce Core or Matching Contributions, to reinstate forfeitures of reemployed participants, to reinstate the accounts of lost participants or beneficiaries (as defined in the Plan), to reduce Plan administrative expenses for the current or immediately following Plan year, and/or for any other purpose permitted under federal regulations or other applicable authority.</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Participant Accounts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Each participant’s account is credited with: (a) the participant’s Individual Contributions; (b) an allocation of Company Contributions; and (c) earnings. The benefit to which a participant is entitled is the benefit that can be provided from the participant’s account.</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Plan Investments</w:t>
      </w:r>
    </w:p>
    <w:p>
      <w:pPr>
        <w:pStyle w:val="TextBody"/>
        <w:bidi w:val="0"/>
        <w:spacing w:lineRule="auto" w:line="26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Plan participants can invest in seven different asset classes as well as Amgen stock or can actively manage their account under a self-directed brokerage arrangement in which a wider array of investment options are available. The value of an investment in an asset class is determined by its underlying investment vehicles, which may include one or more of the following: mutual funds, collective trust funds and portfolios, which are separately managed exclusively for the benefit of Plan participants and their beneficiaries (separately managed portfolios). The separately managed portfolios are composed primarily of investments in publicly traded common and preferred stocks. The asset classes are designed to provide participants with choices among a variety of investment objectives.</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Payments of Benefits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Subject to Plan limitations, upon termination of employment, including termination due to disability (as defined in the Plan) or retirement, a participant may elect to receive a full or partial distribution of his or her account balance in: (a) a single payment in cash; (b) a single distribution in full shares of Amgen stock (with any fractional shares paid in cash); (c) a single distribution paid in a combination of cash and full shares of Amgen stock; or (d) a rollover distribution to an eligible retirement plan.</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Participants may also elect to maintain their account balance in the Plan subsequent to termination of employment, provided that their account balance is greater than $1,000.</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If a participant dies before receiving the value of his or her account balance, the participant’s beneficiary may elect to receive the distribution of remaining funds from among the alternatives described above, subject to certain Plan limitations.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No withdrawals may be made from the Plan while a participant continues to be employed by the Company except in certain circumstances including, but not limited to, financial hardship, disability and attainment of age 59 1/2.</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Notes Receivable from Participants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Subject to certain restrictions, a participant can have up to two loans outstanding at any one time from his or her Plan account with a combined maximum loan amount that may not exceed the lesser of: (a) 50% of the participant’s account balance or (b) $50,000 less certain adjustments, as applicable (as defined in the Plan). A participant’s loan is secured by his or her Plan account balance. Loans bear interest at fixed rates which, until changed by the Company, are based on the prime rate plus one percentage point as published in The Wall Street Journal, determined as of the last day of the calendar quarter preceding origination or such other rate as may be required by law. Loans are generally payable in installments over periods ranging from one to five years, unless the loan is used to acquire a principal residence for which the term of the loan may be up to 20 years. Principal and interest payments are allocated to the participant’s account.</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Plan Termination</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Although it has not expressed any intent to do so, the Company has the right under the Plan to terminate the Plan subject to the provisions of ERISA. Upon termination, participants would become fully vested in Core Contributions and receive distributions of their account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before="0" w:after="0"/>
        <w:jc w:val="left"/>
        <w:rPr/>
      </w:pPr>
      <w:r>
        <w:rPr/>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Trustee and Custodians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Banco Popular de Puerto Rico is the Plan’s trustee. Bank of America, N.A. is the Plan’s custodian with respect to the self-directed brokerage arrangement and the Amgen common stock fund. The Northern Trust Company, NA (Northern) is the Plan’s custodian with respect to the asset classes.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Basis of Accounting</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are prepared on the accrual basis of accounting. Benefits to participants are recorded when paid.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w:t>
      </w:r>
    </w:p>
    <w:p>
      <w:pPr>
        <w:pStyle w:val="TextBody"/>
        <w:bidi w:val="0"/>
        <w:spacing w:lineRule="auto" w:line="288" w:before="0" w:after="160"/>
        <w:ind w:left="0" w:right="0" w:firstLine="225"/>
        <w:jc w:val="both"/>
        <w:rPr/>
      </w:pPr>
      <w:r>
        <w:rPr>
          <w:rFonts w:ascii="Times New Roman;serif" w:hAnsi="Times New Roman;serif"/>
          <w:b w:val="false"/>
          <w:color w:val="000000"/>
          <w:sz w:val="20"/>
        </w:rPr>
        <w:t xml:space="preserve">The investments of the Plan are reported at fair value. Fair value is generally defined as the price that would be received to sell an asset or paid to transfer a liability (the exit price) in an orderly transaction between market participants at the measurement date (see Note 3,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Investment Income and Losses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Dividend income is recognized on the ex-dividend date, and interest income is recorded on an accrual basis. Unrealized gains and losses on investments are measured by the change in the difference between the fair value and cost of the securities held at the beginning of the year (or date purchased if acquired during the Plan year) and the end of the year. Realized gains and losses from security transactions are recorded based on the weighted-average cost of securities sold.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Notes Receivable from Participants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Notes receivable from participants are carried at their unpaid balance plus accrued but unpaid interest, as applicable.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Due from/to Brokers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are recorded on a trade-date basis. Amounts due from and due to brokers arise from unsettled sale and purchase transactions,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amounts reported in the financial statements, accompanying notes and supplemental schedule. Actual results could differ from those estimates.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Risks and Uncertainties</w:t>
      </w:r>
    </w:p>
    <w:p>
      <w:pPr>
        <w:pStyle w:val="TextBody"/>
        <w:bidi w:val="0"/>
        <w:spacing w:lineRule="auto" w:line="288" w:before="0" w:after="16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Plan provides for investment options representing varied combinations of equities (including Amgen stock), fixed income, and other investments. Investments, in general, particularly in securities, are exposed to various risks, such as interest rate, inflation, market and credit risks, among others. Market risk includes global events which could impact the value of investments, including securities, such as a pandemic or international conflict. Due to the level of risk associated with certain investments, including securities, it is at least reasonably possible that changes in the values of the Plan’s investments, including securities, will occur in the near term and that such changes could materially affect participant account balances and the amounts reported in the Plan’s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The Plan uses various valuation approaches in determining the fair value of investments within a hierarchy that maximizes the use of observable inputs and minimizes the use of unobservable inputs by requiring that observable inputs be used when available. Observable inputs are inputs that market participants would use in pricing the investment based on market data obtained from independent sources. Unobservable inputs are inputs that reflect assumptions about the inputs that market participants would use in pricing the investment and are developed based on the best information available in the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before="0" w:after="0"/>
        <w:jc w:val="left"/>
        <w:rPr/>
      </w:pPr>
      <w:r>
        <w:rPr/>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fair value hierarchy is divided into three levels based on the source of inputs as follows:</w:t>
      </w:r>
    </w:p>
    <w:p>
      <w:pPr>
        <w:pStyle w:val="TextBody"/>
        <w:bidi w:val="0"/>
        <w:spacing w:lineRule="auto" w:line="288" w:before="180" w:after="160"/>
        <w:ind w:left="0" w:right="0" w:hanging="947"/>
        <w:jc w:val="both"/>
        <w:rPr>
          <w:rFonts w:ascii="Times New Roman;serif" w:hAnsi="Times New Roman;serif"/>
          <w:b w:val="false"/>
          <w:color w:val="000000"/>
          <w:sz w:val="20"/>
        </w:rPr>
      </w:pPr>
      <w:r>
        <w:rPr>
          <w:rFonts w:ascii="Times New Roman;serif" w:hAnsi="Times New Roman;serif"/>
          <w:b w:val="false"/>
          <w:color w:val="000000"/>
          <w:sz w:val="20"/>
        </w:rPr>
        <w:t>Level 1 – Valuations based on unadjusted quoted prices in active markets for identical investments that the Plan has the ability to access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Level 2 – Valuations for which all significant inputs are observable, either directly or indirectly, other than Level 1 inputs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Level 3 – Valuations based on inputs that are unobservable and significant to the overall fair value measurement</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among the various types of investments.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tables present information about each major class/category of the Plan’s investments measured at fair value:</w:t>
      </w:r>
    </w:p>
    <w:tbl>
      <w:tblPr>
        <w:tblW w:w="9892" w:type="dxa"/>
        <w:jc w:val="left"/>
        <w:tblInd w:w="0" w:type="dxa"/>
        <w:tblLayout w:type="fixed"/>
        <w:tblCellMar>
          <w:top w:w="28" w:type="dxa"/>
          <w:left w:w="28" w:type="dxa"/>
          <w:bottom w:w="28" w:type="dxa"/>
          <w:right w:w="28" w:type="dxa"/>
        </w:tblCellMar>
      </w:tblPr>
      <w:tblGrid>
        <w:gridCol w:w="1003"/>
        <w:gridCol w:w="884"/>
        <w:gridCol w:w="888"/>
        <w:gridCol w:w="109"/>
        <w:gridCol w:w="109"/>
        <w:gridCol w:w="109"/>
        <w:gridCol w:w="211"/>
        <w:gridCol w:w="1186"/>
        <w:gridCol w:w="109"/>
        <w:gridCol w:w="109"/>
        <w:gridCol w:w="109"/>
        <w:gridCol w:w="109"/>
        <w:gridCol w:w="211"/>
        <w:gridCol w:w="1186"/>
        <w:gridCol w:w="109"/>
        <w:gridCol w:w="109"/>
        <w:gridCol w:w="109"/>
        <w:gridCol w:w="109"/>
        <w:gridCol w:w="362"/>
        <w:gridCol w:w="696"/>
        <w:gridCol w:w="188"/>
        <w:gridCol w:w="109"/>
        <w:gridCol w:w="109"/>
        <w:gridCol w:w="109"/>
        <w:gridCol w:w="211"/>
        <w:gridCol w:w="118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2025, using</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126,196,526 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126,196,526 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trust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722,136,732 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722,136,732 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and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Self-directed brokerage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189,038,051 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722,136,732 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911,174,783 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92" w:type="dxa"/>
        <w:jc w:val="left"/>
        <w:tblInd w:w="0" w:type="dxa"/>
        <w:tblLayout w:type="fixed"/>
        <w:tblCellMar>
          <w:top w:w="28" w:type="dxa"/>
          <w:left w:w="28" w:type="dxa"/>
          <w:bottom w:w="28" w:type="dxa"/>
          <w:right w:w="28" w:type="dxa"/>
        </w:tblCellMar>
      </w:tblPr>
      <w:tblGrid>
        <w:gridCol w:w="1003"/>
        <w:gridCol w:w="884"/>
        <w:gridCol w:w="888"/>
        <w:gridCol w:w="109"/>
        <w:gridCol w:w="109"/>
        <w:gridCol w:w="109"/>
        <w:gridCol w:w="211"/>
        <w:gridCol w:w="1186"/>
        <w:gridCol w:w="109"/>
        <w:gridCol w:w="109"/>
        <w:gridCol w:w="109"/>
        <w:gridCol w:w="109"/>
        <w:gridCol w:w="211"/>
        <w:gridCol w:w="1186"/>
        <w:gridCol w:w="109"/>
        <w:gridCol w:w="109"/>
        <w:gridCol w:w="109"/>
        <w:gridCol w:w="109"/>
        <w:gridCol w:w="362"/>
        <w:gridCol w:w="696"/>
        <w:gridCol w:w="188"/>
        <w:gridCol w:w="109"/>
        <w:gridCol w:w="109"/>
        <w:gridCol w:w="109"/>
        <w:gridCol w:w="211"/>
        <w:gridCol w:w="118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2024, using</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100,973,506 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trust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577,297,941 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577,297,941 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and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47,870,415 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Self-directed brokerage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19,625,736 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184,712,261 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577,297,941 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762,010,202 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fair values of substantially all common stocks (including Amgen stock), preferred stocks, mutual funds and underlying investments of self-directed brokerage accounts are valued using quoted market prices in active markets with no valuation adjustment.</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Collective trust funds represent interests in pooled investment vehicles designed typically for collective investment of employee benefit trusts. The fair values of these investments are determined by reference to the net asset value per unit provided by the fund managers as the basis for current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4. Income Tax Status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Plan received an opinion letter from the Puerto Rico Treasury Department (PRTD) dated February 26, 2018, with an effective date of January 1, 2017, stating that the Plan meets the requirements of Section 1081.01 of the PR Code and the regulations thereunder, and, therefore the related trust forming part of the Plan is exempt from taxation. Subsequently, seven amendments were made to the Plan, and the Plan received letters from the PRTD stating the PRTD has no objection to any of the seven amendments. Once qualified, the Plan is required to operate in conformity with the PR Code to maintain its qualification.</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For taxable year 2025, the Company believes the Plan satisfied, and operated in compliance with, the applicable requirements of the PR Code and therefore believes that the Plan, as amended, is qualified and the related trust is tax exempt. The Company has indicated that it currently intends to continue to take the necessary steps, if any, to maintain the Plan’s compliance with the applicable requirements of the PR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5. Party-in-Interest Transactions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Parties-in-interest are certain entities defined under Department of Labor regulations, including Amgen, and other parties that provide services to the Plan, such as the trustees, custodians and investment managers. The Plan pays the custodians certain administrative and investment management fees, and the Company pays certain administrative fees on behalf of the Plan. The Plan invests in collective trust funds managed by Northern, certain of the Plan’s investment managers and other third parties and may invest in securities of entities that are parties-in-interest. The Plan also invests in shares of common stock of Amgen and receives dividends on those shares. Notes receivable from participants are also considered party-in-interest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before="0" w:after="0"/>
        <w:jc w:val="left"/>
        <w:rPr/>
      </w:pPr>
      <w:r>
        <w:rPr/>
      </w:r>
    </w:p>
    <w:p>
      <w:pPr>
        <w:pStyle w:val="TextBody"/>
        <w:bidi w:val="0"/>
        <w:spacing w:lineRule="auto" w:line="288" w:before="180" w:after="160"/>
        <w:jc w:val="left"/>
        <w:rPr>
          <w:rFonts w:ascii="Times New Roman;serif" w:hAnsi="Times New Roman;serif"/>
          <w:b/>
          <w:color w:val="000000"/>
          <w:sz w:val="20"/>
        </w:rPr>
      </w:pPr>
      <w:r>
        <w:rPr>
          <w:rFonts w:ascii="Times New Roman;serif" w:hAnsi="Times New Roman;serif"/>
          <w:b/>
          <w:color w:val="000000"/>
          <w:sz w:val="20"/>
        </w:rPr>
        <w:t>6. Reconciliation of Financial Statements to the Form 5500</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reconciliation of net assets available for benefits per the financial statements to the Form 5500 consisted of the following:</w:t>
      </w:r>
    </w:p>
    <w:tbl>
      <w:tblPr>
        <w:tblW w:w="8645" w:type="dxa"/>
        <w:jc w:val="left"/>
        <w:tblInd w:w="0" w:type="dxa"/>
        <w:tblLayout w:type="fixed"/>
        <w:tblCellMar>
          <w:top w:w="28" w:type="dxa"/>
          <w:left w:w="28" w:type="dxa"/>
          <w:bottom w:w="28" w:type="dxa"/>
          <w:right w:w="28" w:type="dxa"/>
        </w:tblCellMar>
      </w:tblPr>
      <w:tblGrid>
        <w:gridCol w:w="1785"/>
        <w:gridCol w:w="1572"/>
        <w:gridCol w:w="1577"/>
        <w:gridCol w:w="109"/>
        <w:gridCol w:w="109"/>
        <w:gridCol w:w="109"/>
        <w:gridCol w:w="211"/>
        <w:gridCol w:w="1186"/>
        <w:gridCol w:w="109"/>
        <w:gridCol w:w="109"/>
        <w:gridCol w:w="109"/>
        <w:gridCol w:w="109"/>
        <w:gridCol w:w="211"/>
        <w:gridCol w:w="118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per the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930,624,316 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780,088,151 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withdrawing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Deemed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per the Form 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929,833,587 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779,191,450 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expenses per the financial statements to the Form 5500:</w:t>
      </w:r>
    </w:p>
    <w:tbl>
      <w:tblPr>
        <w:tblW w:w="8892" w:type="dxa"/>
        <w:jc w:val="left"/>
        <w:tblInd w:w="0" w:type="dxa"/>
        <w:tblLayout w:type="fixed"/>
        <w:tblCellMar>
          <w:top w:w="28" w:type="dxa"/>
          <w:left w:w="28" w:type="dxa"/>
          <w:bottom w:w="28" w:type="dxa"/>
          <w:right w:w="28" w:type="dxa"/>
        </w:tblCellMar>
      </w:tblPr>
      <w:tblGrid>
        <w:gridCol w:w="2077"/>
        <w:gridCol w:w="1824"/>
        <w:gridCol w:w="1844"/>
        <w:gridCol w:w="109"/>
        <w:gridCol w:w="109"/>
        <w:gridCol w:w="109"/>
        <w:gridCol w:w="391"/>
        <w:gridCol w:w="2144"/>
        <w:gridCol w:w="285"/>
      </w:tblGrid>
      <w:tr>
        <w:trPr/>
        <w:tc>
          <w:tcPr>
            <w:tcW w:w="20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(25,178,261)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administrative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(445,710)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 per the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(25,623,971)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allocated to withdrawing participants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allocated to withdrawing participants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Deemed loans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887,701 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Deemed loans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(790,729)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 per the Form 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(25,517,999)</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Schedule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Retirement and Savings Plan for Amgen Manufacturing Limited LLC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EIN: 98-0210484 Plan: #001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As of December 31, 2025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 H, line 4i – Schedule of Assets (Held at End of Year)</w:t>
      </w:r>
    </w:p>
    <w:tbl>
      <w:tblPr>
        <w:tblW w:w="10205" w:type="dxa"/>
        <w:jc w:val="left"/>
        <w:tblInd w:w="0" w:type="dxa"/>
        <w:tblLayout w:type="fixed"/>
        <w:tblCellMar>
          <w:top w:w="28" w:type="dxa"/>
          <w:left w:w="28" w:type="dxa"/>
          <w:bottom w:w="28" w:type="dxa"/>
          <w:right w:w="28" w:type="dxa"/>
        </w:tblCellMar>
      </w:tblPr>
      <w:tblGrid>
        <w:gridCol w:w="339"/>
        <w:gridCol w:w="297"/>
        <w:gridCol w:w="264"/>
        <w:gridCol w:w="1394"/>
        <w:gridCol w:w="994"/>
        <w:gridCol w:w="1035"/>
        <w:gridCol w:w="109"/>
        <w:gridCol w:w="109"/>
        <w:gridCol w:w="109"/>
        <w:gridCol w:w="109"/>
        <w:gridCol w:w="109"/>
        <w:gridCol w:w="508"/>
        <w:gridCol w:w="508"/>
        <w:gridCol w:w="509"/>
        <w:gridCol w:w="109"/>
        <w:gridCol w:w="235"/>
        <w:gridCol w:w="235"/>
        <w:gridCol w:w="235"/>
        <w:gridCol w:w="235"/>
        <w:gridCol w:w="196"/>
        <w:gridCol w:w="1051"/>
        <w:gridCol w:w="109"/>
        <w:gridCol w:w="196"/>
        <w:gridCol w:w="1051"/>
        <w:gridCol w:w="160"/>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Investment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Value</w:t>
            </w:r>
          </w:p>
        </w:tc>
        <w:tc>
          <w:tcPr>
            <w:tcW w:w="2763" w:type="dxa"/>
            <w:gridSpan w:val="6"/>
            <w:tcBorders/>
          </w:tcPr>
          <w:p>
            <w:pPr>
              <w:pStyle w:val="TableContents"/>
              <w:bidi w:val="0"/>
              <w:spacing w:before="0" w:after="283"/>
              <w:jc w:val="left"/>
              <w:rPr>
                <w:sz w:val="4"/>
                <w:szCs w:val="4"/>
              </w:rPr>
            </w:pPr>
            <w:r>
              <w:rPr>
                <w:sz w:val="4"/>
                <w:szCs w:val="4"/>
              </w:rPr>
            </w:r>
          </w:p>
        </w:tc>
      </w:tr>
      <w:tr>
        <w:trPr/>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Amgen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Employer Securities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126,196,526 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126,196,526 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Preservation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Wells Fargo Stable Value Fund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104,631,966 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Short Term Investment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Preservation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112,868,716 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Active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Wellington Core Bond Plus Portfolio Collective Investment Trust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FIAM Group Trust For Employees Benefit Plan Core Plus Commingled Pool Class 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BBH Collective Investment Series Trust Series Fund Income Class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Aggregate Bond Index Fund / Non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Income Active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68,312,477 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Index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Aggregate Bond Index Fund / Non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119,759,185 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Income Index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119,759,185 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Equity Active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Nuveen Winslow Large Capital Growth Fund Class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Blackrock Instituitional Trust Company Investment Funds Russell 3000 Alpha Tilts Fund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Boston Partners CIT Large Capital Value Class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Russell 3000 Index Fund / Non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Harbors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Coherent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Ametek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SS&amp;C Technologies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Waste Connections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Entegris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Short Term Investment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Bancshares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Woodward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UGI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Rentokil Initial PLC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Charles River Laboratories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Bio-Techne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Keysight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Amphenol Corporation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H, line 4i – Schedule of Assets (Held at End of Year) (continued)</w:t>
      </w:r>
    </w:p>
    <w:p>
      <w:pPr>
        <w:pStyle w:val="TextBody"/>
        <w:bidi w:val="0"/>
        <w:spacing w:before="0" w:after="0"/>
        <w:jc w:val="center"/>
        <w:rPr/>
      </w:pPr>
      <w:r>
        <w:rPr/>
      </w:r>
    </w:p>
    <w:tbl>
      <w:tblPr>
        <w:tblW w:w="9319" w:type="dxa"/>
        <w:jc w:val="left"/>
        <w:tblInd w:w="0" w:type="dxa"/>
        <w:tblLayout w:type="fixed"/>
        <w:tblCellMar>
          <w:top w:w="28" w:type="dxa"/>
          <w:left w:w="28" w:type="dxa"/>
          <w:bottom w:w="28" w:type="dxa"/>
          <w:right w:w="28" w:type="dxa"/>
        </w:tblCellMar>
      </w:tblPr>
      <w:tblGrid>
        <w:gridCol w:w="255"/>
        <w:gridCol w:w="223"/>
        <w:gridCol w:w="223"/>
        <w:gridCol w:w="1068"/>
        <w:gridCol w:w="1068"/>
        <w:gridCol w:w="1119"/>
        <w:gridCol w:w="109"/>
        <w:gridCol w:w="109"/>
        <w:gridCol w:w="109"/>
        <w:gridCol w:w="109"/>
        <w:gridCol w:w="109"/>
        <w:gridCol w:w="754"/>
        <w:gridCol w:w="754"/>
        <w:gridCol w:w="756"/>
        <w:gridCol w:w="109"/>
        <w:gridCol w:w="307"/>
        <w:gridCol w:w="307"/>
        <w:gridCol w:w="307"/>
        <w:gridCol w:w="307"/>
        <w:gridCol w:w="368"/>
        <w:gridCol w:w="368"/>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Investment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Value</w:t>
            </w:r>
          </w:p>
        </w:tc>
        <w:tc>
          <w:tcPr>
            <w:tcW w:w="1217" w:type="dxa"/>
            <w:gridSpan w:val="6"/>
            <w:tcBorders/>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Ingredion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Halozyme Therapeutics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Henry Schein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Brown &amp; Brown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Heico Corporation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Dolby Laboratories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Shift4 Payments Inc.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IDEX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STERIS plc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LKQ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Integrations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Prosperity Bancshares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WEX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Hexcel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HealthEquity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Casella Waste Systems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Mid-American Apartment Communities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Allegion PLC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Cabot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Bearings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Procore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American Financial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Copart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Ensign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Signal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Retail Properties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Fabrinet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 Measuring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Medpace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Ozk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EnPro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Moelis &amp; Company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SiteOne Landscape Supply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Paymentus Holdings Inc.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Standex International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Kadant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Ollies Bargain Outlet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Balchem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Loar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Camtek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CSW Industrials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Saia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Everus Construction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Modine Manufacturing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CCC Intelligent Solutions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ICF International,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Global-E Online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Markel Corporation 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Hamilton Lane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Five Below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H, line 4i – Schedule of Assets (Held at End of Year)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1"/>
        <w:gridCol w:w="167"/>
        <w:gridCol w:w="167"/>
        <w:gridCol w:w="1423"/>
        <w:gridCol w:w="1311"/>
        <w:gridCol w:w="1372"/>
        <w:gridCol w:w="109"/>
        <w:gridCol w:w="109"/>
        <w:gridCol w:w="109"/>
        <w:gridCol w:w="109"/>
        <w:gridCol w:w="109"/>
        <w:gridCol w:w="528"/>
        <w:gridCol w:w="528"/>
        <w:gridCol w:w="529"/>
        <w:gridCol w:w="109"/>
        <w:gridCol w:w="241"/>
        <w:gridCol w:w="241"/>
        <w:gridCol w:w="241"/>
        <w:gridCol w:w="241"/>
        <w:gridCol w:w="525"/>
        <w:gridCol w:w="526"/>
        <w:gridCol w:w="109"/>
        <w:gridCol w:w="524"/>
        <w:gridCol w:w="527"/>
        <w:gridCol w:w="160"/>
      </w:tblGrid>
      <w:tr>
        <w:trPr/>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Investment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Value</w:t>
            </w:r>
          </w:p>
        </w:tc>
        <w:tc>
          <w:tcPr>
            <w:tcW w:w="2371" w:type="dxa"/>
            <w:gridSpan w:val="6"/>
            <w:tcBorders/>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Clearwater Analytics Holdings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Guidewire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XPEL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Certara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Wingstop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RLI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Arhaus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Valvoline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Q2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UFP Industries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Novanta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Freshpet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Morningstar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Floor &amp; Decor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Goosehead Insurance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Trex Company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Cohen &amp; Steers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Bellring Brands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Vita Coco Company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Pool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Equity Active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59,823,719 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Equity Index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Russell 3000 Index Fund / Non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226,917,206 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Equity Index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226,917,206 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Active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Dodge &amp; Cox International Stock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Mutual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Mawer International Equity Collective Investment Trust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Great Grey Trust Company</w:t>
              <w:br/>
              <w:t xml:space="preserve">GQG Partners International Equity </w:t>
              <w:br/>
              <w:t>CIT Class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Wilmington Trust Collective Investment Trust / Jennison International Equity Opportunities CIT Class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Mondrian Master CIT Focused All Countries World ex-US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26,740,527 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MSCI All Country World Index (ACWI) ex/US Index Fund / Non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International Equity Active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139,883,893 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Index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MSCI All Country World Index (ACWI) ex/US Index Fund / Non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International Equity Index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30,357,741 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 Self-Directed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Investments</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26,713,652 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4.25% - 9.50%</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18,631,683 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H, line 4i – Schedule of Assets (Held at End of Year)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8"/>
        <w:gridCol w:w="199"/>
        <w:gridCol w:w="199"/>
        <w:gridCol w:w="1225"/>
        <w:gridCol w:w="1219"/>
        <w:gridCol w:w="1264"/>
        <w:gridCol w:w="109"/>
        <w:gridCol w:w="109"/>
        <w:gridCol w:w="109"/>
        <w:gridCol w:w="109"/>
        <w:gridCol w:w="109"/>
        <w:gridCol w:w="616"/>
        <w:gridCol w:w="616"/>
        <w:gridCol w:w="617"/>
        <w:gridCol w:w="109"/>
        <w:gridCol w:w="279"/>
        <w:gridCol w:w="279"/>
        <w:gridCol w:w="279"/>
        <w:gridCol w:w="279"/>
        <w:gridCol w:w="368"/>
        <w:gridCol w:w="368"/>
        <w:gridCol w:w="109"/>
        <w:gridCol w:w="196"/>
        <w:gridCol w:w="1051"/>
        <w:gridCol w:w="160"/>
      </w:tblGrid>
      <w:tr>
        <w:trPr/>
        <w:tc>
          <w:tcPr>
            <w:tcW w:w="2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Investment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Value</w:t>
            </w:r>
          </w:p>
        </w:tc>
        <w:tc>
          <w:tcPr>
            <w:tcW w:w="2252" w:type="dxa"/>
            <w:gridSpan w:val="6"/>
            <w:tcBorders/>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ML Vanguard Federal Money Market Forfeiture /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Short Term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Grand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929,806,467 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77" w:type="dxa"/>
        <w:jc w:val="center"/>
        <w:tblInd w:w="0" w:type="dxa"/>
        <w:tblLayout w:type="fixed"/>
        <w:tblCellMar>
          <w:top w:w="28" w:type="dxa"/>
          <w:left w:w="28" w:type="dxa"/>
          <w:bottom w:w="28" w:type="dxa"/>
          <w:right w:w="28" w:type="dxa"/>
        </w:tblCellMar>
      </w:tblPr>
      <w:tblGrid>
        <w:gridCol w:w="624"/>
        <w:gridCol w:w="548"/>
        <w:gridCol w:w="552"/>
        <w:gridCol w:w="109"/>
        <w:gridCol w:w="109"/>
        <w:gridCol w:w="109"/>
        <w:gridCol w:w="109"/>
        <w:gridCol w:w="109"/>
        <w:gridCol w:w="109"/>
        <w:gridCol w:w="109"/>
        <w:gridCol w:w="109"/>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Indicates party-in-interest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RETIREMENT AND SAVINGS PLAN FOR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MANUFACTURING LIMITED LLC</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INDEX TO EXHIBIT</w:t>
      </w:r>
    </w:p>
    <w:p>
      <w:pPr>
        <w:pStyle w:val="TextBody"/>
        <w:bidi w:val="0"/>
        <w:spacing w:lineRule="auto" w:line="288" w:before="180" w:after="283"/>
        <w:jc w:val="left"/>
        <w:rPr>
          <w:color w:val="000000"/>
        </w:rPr>
      </w:pPr>
      <w:r>
        <w:rPr>
          <w:color w:val="000000"/>
        </w:rPr>
        <w:t> </w:t>
      </w:r>
    </w:p>
    <w:tbl>
      <w:tblPr>
        <w:tblW w:w="6477" w:type="dxa"/>
        <w:jc w:val="left"/>
        <w:tblInd w:w="0" w:type="dxa"/>
        <w:tblLayout w:type="fixed"/>
        <w:tblCellMar>
          <w:top w:w="28" w:type="dxa"/>
          <w:left w:w="28" w:type="dxa"/>
          <w:bottom w:w="28" w:type="dxa"/>
          <w:right w:w="28" w:type="dxa"/>
        </w:tblCellMar>
      </w:tblPr>
      <w:tblGrid>
        <w:gridCol w:w="1802"/>
        <w:gridCol w:w="1584"/>
        <w:gridCol w:w="1593"/>
        <w:gridCol w:w="109"/>
        <w:gridCol w:w="109"/>
        <w:gridCol w:w="109"/>
        <w:gridCol w:w="343"/>
        <w:gridCol w:w="343"/>
        <w:gridCol w:w="485"/>
      </w:tblGrid>
      <w:tr>
        <w:trPr/>
        <w:tc>
          <w:tcPr>
            <w:tcW w:w="180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n-ex231_20251231xpuerto.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23.1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lineRule="auto" w:line="288" w:before="0" w:after="160"/>
        <w:jc w:val="left"/>
        <w:rPr>
          <w:color w:val="000000"/>
        </w:rPr>
      </w:pPr>
      <w:r>
        <w:rPr>
          <w:color w:val="000000"/>
        </w:rPr>
        <w:t> </w:t>
      </w:r>
    </w:p>
    <w:tbl>
      <w:tblPr>
        <w:tblW w:w="9134"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83"/>
        <w:gridCol w:w="183"/>
        <w:gridCol w:w="185"/>
        <w:gridCol w:w="336"/>
        <w:gridCol w:w="336"/>
        <w:gridCol w:w="336"/>
        <w:gridCol w:w="336"/>
        <w:gridCol w:w="336"/>
        <w:gridCol w:w="336"/>
        <w:gridCol w:w="1298"/>
        <w:gridCol w:w="1298"/>
        <w:gridCol w:w="18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405"/>
              <w:jc w:val="left"/>
              <w:rPr>
                <w:color w:val="000000"/>
              </w:rPr>
            </w:pPr>
            <w:r>
              <w:rPr>
                <w:color w:val="000000"/>
              </w:rPr>
              <w:t> </w:t>
            </w:r>
          </w:p>
        </w:tc>
        <w:tc>
          <w:tcPr>
            <w:tcW w:w="6456"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Retirement and Savings Plan for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Amgen Manufacturing Limited LLC</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(Name of Plan)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Manufacturing Limited LLC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lineRule="auto" w:line="333" w:before="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333"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Statements (Form S-8 Nos. 033-47605, 333-144580 and 333-216715) pertaining to the Retirement and Savings Plan for Amgen Manufacturing Limited LLC of Amgen Inc. of our report dated June 11, 2026, with respect to the financial statements and schedule of the Retirement and Savings Plan for Amgen Manufacturing Limited LLC included in this Annual Report (Form 11-K) for the year ended December 31, 2025. </w:t>
      </w:r>
    </w:p>
    <w:p>
      <w:pPr>
        <w:pStyle w:val="TextBody"/>
        <w:bidi w:val="0"/>
        <w:spacing w:before="0" w:after="160"/>
        <w:jc w:val="right"/>
        <w:rPr/>
      </w:pPr>
      <w:r>
        <w:rPr/>
      </w:r>
    </w:p>
    <w:p>
      <w:pPr>
        <w:pStyle w:val="TextBody"/>
        <w:bidi w:val="0"/>
        <w:spacing w:lineRule="auto" w:line="333" w:before="0" w:after="160"/>
        <w:jc w:val="right"/>
        <w:rPr>
          <w:rFonts w:ascii="Times New Roman;serif" w:hAnsi="Times New Roman;serif"/>
          <w:b w:val="false"/>
          <w:color w:val="000000"/>
          <w:sz w:val="20"/>
        </w:rPr>
      </w:pPr>
      <w:r>
        <w:rPr>
          <w:rFonts w:ascii="Times New Roman;serif" w:hAnsi="Times New Roman;serif"/>
          <w:b w:val="false"/>
          <w:color w:val="000000"/>
          <w:sz w:val="20"/>
        </w:rPr>
        <w:t xml:space="preserve">/s/ ERNST &amp; YOUNG LLP </w:t>
      </w:r>
    </w:p>
    <w:p>
      <w:pPr>
        <w:pStyle w:val="TextBody"/>
        <w:bidi w:val="0"/>
        <w:spacing w:lineRule="auto" w:line="333" w:before="180" w:after="16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June 11, 2026</w:t>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94995"/>
                <wp:effectExtent l="0" t="0" r="0" b="0"/>
                <wp:wrapNone/>
                <wp:docPr id="18" name="Frame1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5305</Words>
  <Characters>30349</Characters>
  <CharactersWithSpaces>35302</CharactersWithSpaces>
  <Paragraphs>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