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6"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UNITED STATES</w:t>
      </w:r>
    </w:p>
    <w:p>
      <w:pPr>
        <w:spacing w:after="0" w:line="86"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93"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Washington, D.C. 20549</w:t>
      </w:r>
    </w:p>
    <w:p>
      <w:pPr>
        <w:spacing w:after="0" w:line="103" w:lineRule="exact"/>
        <w:rPr>
          <w:sz w:val="24"/>
          <w:szCs w:val="24"/>
          <w:color w:val="auto"/>
        </w:rPr>
      </w:pPr>
    </w:p>
    <w:p>
      <w:pPr>
        <w:jc w:val="center"/>
        <w:ind w:right="-1100"/>
        <w:spacing w:after="0"/>
        <w:rPr>
          <w:sz w:val="20"/>
          <w:szCs w:val="20"/>
          <w:color w:val="auto"/>
        </w:rPr>
      </w:pPr>
      <w:r>
        <w:rPr>
          <w:rFonts w:ascii="Arial" w:cs="Arial" w:eastAsia="Arial" w:hAnsi="Arial"/>
          <w:sz w:val="27"/>
          <w:szCs w:val="27"/>
          <w:b w:val="1"/>
          <w:bCs w:val="1"/>
          <w:color w:val="auto"/>
        </w:rPr>
        <w:t>SCHEDULE 14A INFORMATION</w:t>
      </w:r>
    </w:p>
    <w:p>
      <w:pPr>
        <w:spacing w:after="0" w:line="166"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25"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Exchange Act of 1934</w:t>
      </w:r>
    </w:p>
    <w:p>
      <w:pPr>
        <w:spacing w:after="0" w:line="182" w:lineRule="exact"/>
        <w:rPr>
          <w:sz w:val="24"/>
          <w:szCs w:val="24"/>
          <w:color w:val="auto"/>
        </w:rPr>
      </w:pPr>
    </w:p>
    <w:p>
      <w:pPr>
        <w:ind w:left="1320"/>
        <w:spacing w:after="0" w:line="288" w:lineRule="exact"/>
        <w:tabs>
          <w:tab w:leader="none" w:pos="5600" w:val="left"/>
        </w:tabs>
        <w:rPr>
          <w:sz w:val="20"/>
          <w:szCs w:val="20"/>
          <w:color w:val="auto"/>
        </w:rPr>
      </w:pPr>
      <w:r>
        <w:rPr>
          <w:rFonts w:ascii="MS PGothic" w:cs="MS PGothic" w:eastAsia="MS PGothic" w:hAnsi="MS PGothic"/>
          <w:sz w:val="25"/>
          <w:szCs w:val="25"/>
          <w:color w:val="auto"/>
        </w:rPr>
        <w:t>☑</w:t>
      </w:r>
      <w:r>
        <w:rPr>
          <w:rFonts w:ascii="Arial" w:cs="Arial" w:eastAsia="Arial" w:hAnsi="Arial"/>
          <w:sz w:val="17"/>
          <w:szCs w:val="17"/>
          <w:color w:val="auto"/>
        </w:rPr>
        <w:t xml:space="preserve"> Filed by the registrant</w:t>
      </w:r>
      <w:r>
        <w:rPr>
          <w:sz w:val="20"/>
          <w:szCs w:val="20"/>
          <w:color w:val="auto"/>
        </w:rPr>
        <w:tab/>
      </w:r>
      <w:r>
        <w:rPr>
          <w:rFonts w:ascii="MS PGothic" w:cs="MS PGothic" w:eastAsia="MS PGothic" w:hAnsi="MS PGothic"/>
          <w:sz w:val="25"/>
          <w:szCs w:val="25"/>
          <w:color w:val="auto"/>
        </w:rPr>
        <w:t xml:space="preserve">☐ </w:t>
      </w:r>
      <w:r>
        <w:rPr>
          <w:rFonts w:ascii="Arial" w:cs="Arial" w:eastAsia="Arial" w:hAnsi="Arial"/>
          <w:sz w:val="17"/>
          <w:szCs w:val="17"/>
          <w:color w:val="auto"/>
        </w:rPr>
        <w:t>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201295</wp:posOffset>
            </wp:positionV>
            <wp:extent cx="6978015" cy="1543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1543050"/>
                    </a:xfrm>
                    <a:prstGeom prst="rect">
                      <a:avLst/>
                    </a:prstGeom>
                    <a:noFill/>
                  </pic:spPr>
                </pic:pic>
              </a:graphicData>
            </a:graphic>
          </wp:anchor>
        </w:drawing>
      </w:r>
    </w:p>
    <w:p>
      <w:pPr>
        <w:spacing w:after="0" w:line="323" w:lineRule="exact"/>
        <w:rPr>
          <w:sz w:val="24"/>
          <w:szCs w:val="24"/>
          <w:color w:val="auto"/>
        </w:rPr>
      </w:pPr>
    </w:p>
    <w:p>
      <w:pPr>
        <w:ind w:left="300"/>
        <w:spacing w:after="0"/>
        <w:rPr>
          <w:sz w:val="20"/>
          <w:szCs w:val="20"/>
          <w:color w:val="auto"/>
        </w:rPr>
      </w:pPr>
      <w:r>
        <w:rPr>
          <w:rFonts w:ascii="Arial" w:cs="Arial" w:eastAsia="Arial" w:hAnsi="Arial"/>
          <w:sz w:val="20"/>
          <w:szCs w:val="20"/>
          <w:b w:val="1"/>
          <w:bCs w:val="1"/>
          <w:color w:val="auto"/>
        </w:rPr>
        <w:t>Check the appropriate box:</w:t>
      </w:r>
    </w:p>
    <w:p>
      <w:pPr>
        <w:spacing w:after="0" w:line="191" w:lineRule="exact"/>
        <w:rPr>
          <w:sz w:val="24"/>
          <w:szCs w:val="24"/>
          <w:color w:val="auto"/>
        </w:rPr>
      </w:pPr>
    </w:p>
    <w:p>
      <w:pPr>
        <w:ind w:left="1300" w:hanging="753"/>
        <w:spacing w:after="0"/>
        <w:tabs>
          <w:tab w:leader="none" w:pos="1300" w:val="left"/>
        </w:tabs>
        <w:numPr>
          <w:ilvl w:val="0"/>
          <w:numId w:val="1"/>
        </w:numPr>
        <w:rPr>
          <w:rFonts w:ascii="MS PGothic" w:cs="MS PGothic" w:eastAsia="MS PGothic" w:hAnsi="MS PGothic"/>
          <w:sz w:val="25"/>
          <w:szCs w:val="25"/>
          <w:color w:val="auto"/>
        </w:rPr>
      </w:pPr>
      <w:r>
        <w:rPr>
          <w:rFonts w:ascii="Arial" w:cs="Arial" w:eastAsia="Arial" w:hAnsi="Arial"/>
          <w:sz w:val="17"/>
          <w:szCs w:val="17"/>
          <w:color w:val="auto"/>
        </w:rPr>
        <w:t>Preliminary Proxy Statement</w:t>
      </w:r>
    </w:p>
    <w:p>
      <w:pPr>
        <w:spacing w:after="0" w:line="167" w:lineRule="exact"/>
        <w:rPr>
          <w:rFonts w:ascii="MS PGothic" w:cs="MS PGothic" w:eastAsia="MS PGothic" w:hAnsi="MS PGothic"/>
          <w:sz w:val="25"/>
          <w:szCs w:val="25"/>
          <w:color w:val="auto"/>
        </w:rPr>
      </w:pPr>
    </w:p>
    <w:p>
      <w:pPr>
        <w:ind w:left="1300" w:hanging="753"/>
        <w:spacing w:after="0"/>
        <w:tabs>
          <w:tab w:leader="none" w:pos="1300" w:val="left"/>
        </w:tabs>
        <w:numPr>
          <w:ilvl w:val="0"/>
          <w:numId w:val="1"/>
        </w:numPr>
        <w:rPr>
          <w:rFonts w:ascii="MS PGothic" w:cs="MS PGothic" w:eastAsia="MS PGothic" w:hAnsi="MS PGothic"/>
          <w:sz w:val="25"/>
          <w:szCs w:val="25"/>
          <w:color w:val="auto"/>
        </w:rPr>
      </w:pPr>
      <w:r>
        <w:rPr>
          <w:rFonts w:ascii="Arial" w:cs="Arial" w:eastAsia="Arial" w:hAnsi="Arial"/>
          <w:sz w:val="17"/>
          <w:szCs w:val="17"/>
          <w:color w:val="auto"/>
        </w:rPr>
        <w:t>CONFIDENTIAL, FOR USE OF THE COMMISSION ONLY (AS PERMITTED BY RULE 14A-6(E)(2))</w:t>
      </w:r>
    </w:p>
    <w:p>
      <w:pPr>
        <w:spacing w:after="0" w:line="168" w:lineRule="exact"/>
        <w:rPr>
          <w:sz w:val="24"/>
          <w:szCs w:val="24"/>
          <w:color w:val="auto"/>
        </w:rPr>
      </w:pPr>
    </w:p>
    <w:p>
      <w:pPr>
        <w:ind w:left="1300" w:hanging="753"/>
        <w:spacing w:after="0"/>
        <w:tabs>
          <w:tab w:leader="none" w:pos="1300" w:val="left"/>
        </w:tabs>
        <w:numPr>
          <w:ilvl w:val="0"/>
          <w:numId w:val="2"/>
        </w:numPr>
        <w:rPr>
          <w:rFonts w:ascii="MS PGothic" w:cs="MS PGothic" w:eastAsia="MS PGothic" w:hAnsi="MS PGothic"/>
          <w:sz w:val="25"/>
          <w:szCs w:val="25"/>
          <w:color w:val="auto"/>
        </w:rPr>
      </w:pPr>
      <w:r>
        <w:rPr>
          <w:rFonts w:ascii="Arial" w:cs="Arial" w:eastAsia="Arial" w:hAnsi="Arial"/>
          <w:sz w:val="17"/>
          <w:szCs w:val="17"/>
          <w:color w:val="auto"/>
        </w:rPr>
        <w:t>Definitive Proxy Statement</w:t>
      </w:r>
    </w:p>
    <w:p>
      <w:pPr>
        <w:spacing w:after="0" w:line="168" w:lineRule="exact"/>
        <w:rPr>
          <w:sz w:val="24"/>
          <w:szCs w:val="24"/>
          <w:color w:val="auto"/>
        </w:rPr>
      </w:pPr>
    </w:p>
    <w:p>
      <w:pPr>
        <w:ind w:left="1300" w:hanging="753"/>
        <w:spacing w:after="0"/>
        <w:tabs>
          <w:tab w:leader="none" w:pos="1300" w:val="left"/>
        </w:tabs>
        <w:numPr>
          <w:ilvl w:val="0"/>
          <w:numId w:val="3"/>
        </w:numPr>
        <w:rPr>
          <w:rFonts w:ascii="MS PGothic" w:cs="MS PGothic" w:eastAsia="MS PGothic" w:hAnsi="MS PGothic"/>
          <w:sz w:val="25"/>
          <w:szCs w:val="25"/>
          <w:color w:val="auto"/>
        </w:rPr>
      </w:pPr>
      <w:r>
        <w:rPr>
          <w:rFonts w:ascii="Arial" w:cs="Arial" w:eastAsia="Arial" w:hAnsi="Arial"/>
          <w:sz w:val="17"/>
          <w:szCs w:val="17"/>
          <w:color w:val="auto"/>
        </w:rPr>
        <w:t>Definitive Additional Materials</w:t>
      </w:r>
    </w:p>
    <w:p>
      <w:pPr>
        <w:spacing w:after="0" w:line="167" w:lineRule="exact"/>
        <w:rPr>
          <w:rFonts w:ascii="MS PGothic" w:cs="MS PGothic" w:eastAsia="MS PGothic" w:hAnsi="MS PGothic"/>
          <w:sz w:val="25"/>
          <w:szCs w:val="25"/>
          <w:color w:val="auto"/>
        </w:rPr>
      </w:pPr>
    </w:p>
    <w:p>
      <w:pPr>
        <w:ind w:left="1300" w:hanging="753"/>
        <w:spacing w:after="0"/>
        <w:tabs>
          <w:tab w:leader="none" w:pos="1300" w:val="left"/>
        </w:tabs>
        <w:numPr>
          <w:ilvl w:val="0"/>
          <w:numId w:val="3"/>
        </w:numPr>
        <w:rPr>
          <w:rFonts w:ascii="MS PGothic" w:cs="MS PGothic" w:eastAsia="MS PGothic" w:hAnsi="MS PGothic"/>
          <w:sz w:val="25"/>
          <w:szCs w:val="25"/>
          <w:color w:val="auto"/>
        </w:rPr>
      </w:pPr>
      <w:r>
        <w:rPr>
          <w:rFonts w:ascii="Arial" w:cs="Arial" w:eastAsia="Arial" w:hAnsi="Arial"/>
          <w:sz w:val="17"/>
          <w:szCs w:val="17"/>
          <w:color w:val="auto"/>
        </w:rPr>
        <w:t>Soliciting Material Pursuant to Section 240.14a-12</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0063C3"/>
        </w:rPr>
        <w:t>AMGEN INC.</w:t>
      </w:r>
    </w:p>
    <w:p>
      <w:pPr>
        <w:spacing w:after="0" w:line="143" w:lineRule="exact"/>
        <w:rPr>
          <w:sz w:val="24"/>
          <w:szCs w:val="24"/>
          <w:color w:val="auto"/>
        </w:rPr>
      </w:pPr>
    </w:p>
    <w:p>
      <w:pPr>
        <w:jc w:val="center"/>
        <w:ind w:right="-1100"/>
        <w:spacing w:after="0"/>
        <w:rPr>
          <w:sz w:val="20"/>
          <w:szCs w:val="20"/>
          <w:color w:val="auto"/>
        </w:rPr>
      </w:pPr>
      <w:r>
        <w:rPr>
          <w:rFonts w:ascii="Arial" w:cs="Arial" w:eastAsia="Arial" w:hAnsi="Arial"/>
          <w:sz w:val="20"/>
          <w:szCs w:val="20"/>
          <w:i w:val="1"/>
          <w:iCs w:val="1"/>
          <w:color w:val="auto"/>
        </w:rPr>
        <w:t>(Name of Registrant as Specified in Its Charter)</w:t>
      </w: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20"/>
          <w:szCs w:val="20"/>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160655</wp:posOffset>
            </wp:positionV>
            <wp:extent cx="6978015" cy="1131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1131570"/>
                    </a:xfrm>
                    <a:prstGeom prst="rect">
                      <a:avLst/>
                    </a:prstGeom>
                    <a:noFill/>
                  </pic:spPr>
                </pic:pic>
              </a:graphicData>
            </a:graphic>
          </wp:anchor>
        </w:drawing>
      </w:r>
    </w:p>
    <w:p>
      <w:pPr>
        <w:spacing w:after="0" w:line="259" w:lineRule="exact"/>
        <w:rPr>
          <w:sz w:val="24"/>
          <w:szCs w:val="24"/>
          <w:color w:val="auto"/>
        </w:rPr>
      </w:pPr>
    </w:p>
    <w:p>
      <w:pPr>
        <w:ind w:left="300"/>
        <w:spacing w:after="0"/>
        <w:rPr>
          <w:sz w:val="20"/>
          <w:szCs w:val="20"/>
          <w:color w:val="auto"/>
        </w:rPr>
      </w:pPr>
      <w:r>
        <w:rPr>
          <w:rFonts w:ascii="Arial" w:cs="Arial" w:eastAsia="Arial" w:hAnsi="Arial"/>
          <w:sz w:val="20"/>
          <w:szCs w:val="20"/>
          <w:b w:val="1"/>
          <w:bCs w:val="1"/>
          <w:color w:val="auto"/>
        </w:rPr>
        <w:t>Payment of filing fee (check the appropriate box):</w:t>
      </w:r>
    </w:p>
    <w:p>
      <w:pPr>
        <w:spacing w:after="0" w:line="204" w:lineRule="exact"/>
        <w:rPr>
          <w:sz w:val="24"/>
          <w:szCs w:val="24"/>
          <w:color w:val="auto"/>
        </w:rPr>
      </w:pPr>
    </w:p>
    <w:p>
      <w:pPr>
        <w:ind w:left="1320" w:hanging="773"/>
        <w:spacing w:after="0"/>
        <w:tabs>
          <w:tab w:leader="none" w:pos="1320" w:val="left"/>
        </w:tabs>
        <w:numPr>
          <w:ilvl w:val="0"/>
          <w:numId w:val="4"/>
        </w:numPr>
        <w:rPr>
          <w:rFonts w:ascii="MS PGothic" w:cs="MS PGothic" w:eastAsia="MS PGothic" w:hAnsi="MS PGothic"/>
          <w:sz w:val="25"/>
          <w:szCs w:val="25"/>
          <w:color w:val="auto"/>
        </w:rPr>
      </w:pPr>
      <w:r>
        <w:rPr>
          <w:rFonts w:ascii="Arial" w:cs="Arial" w:eastAsia="Arial" w:hAnsi="Arial"/>
          <w:sz w:val="17"/>
          <w:szCs w:val="17"/>
          <w:b w:val="1"/>
          <w:bCs w:val="1"/>
          <w:color w:val="auto"/>
        </w:rPr>
        <w:t>No fee required.</w:t>
      </w:r>
    </w:p>
    <w:p>
      <w:pPr>
        <w:spacing w:after="0" w:line="235" w:lineRule="exact"/>
        <w:rPr>
          <w:sz w:val="24"/>
          <w:szCs w:val="24"/>
          <w:color w:val="auto"/>
        </w:rPr>
      </w:pPr>
    </w:p>
    <w:p>
      <w:pPr>
        <w:ind w:left="1320" w:hanging="773"/>
        <w:spacing w:after="0"/>
        <w:tabs>
          <w:tab w:leader="none" w:pos="1320" w:val="left"/>
        </w:tabs>
        <w:numPr>
          <w:ilvl w:val="0"/>
          <w:numId w:val="5"/>
        </w:numPr>
        <w:rPr>
          <w:rFonts w:ascii="MS PGothic" w:cs="MS PGothic" w:eastAsia="MS PGothic" w:hAnsi="MS PGothic"/>
          <w:sz w:val="25"/>
          <w:szCs w:val="25"/>
          <w:color w:val="auto"/>
        </w:rPr>
      </w:pPr>
      <w:r>
        <w:rPr>
          <w:rFonts w:ascii="Arial" w:cs="Arial" w:eastAsia="Arial" w:hAnsi="Arial"/>
          <w:sz w:val="17"/>
          <w:szCs w:val="17"/>
          <w:b w:val="1"/>
          <w:bCs w:val="1"/>
          <w:color w:val="auto"/>
        </w:rPr>
        <w:t>Fee paid previously with preliminary materials.</w:t>
      </w:r>
    </w:p>
    <w:p>
      <w:pPr>
        <w:spacing w:after="0" w:line="235" w:lineRule="exact"/>
        <w:rPr>
          <w:rFonts w:ascii="MS PGothic" w:cs="MS PGothic" w:eastAsia="MS PGothic" w:hAnsi="MS PGothic"/>
          <w:sz w:val="25"/>
          <w:szCs w:val="25"/>
          <w:color w:val="auto"/>
        </w:rPr>
      </w:pPr>
    </w:p>
    <w:p>
      <w:pPr>
        <w:ind w:left="1320" w:hanging="773"/>
        <w:spacing w:after="0"/>
        <w:tabs>
          <w:tab w:leader="none" w:pos="1320" w:val="left"/>
        </w:tabs>
        <w:numPr>
          <w:ilvl w:val="0"/>
          <w:numId w:val="5"/>
        </w:numPr>
        <w:rPr>
          <w:rFonts w:ascii="MS PGothic" w:cs="MS PGothic" w:eastAsia="MS PGothic" w:hAnsi="MS PGothic"/>
          <w:sz w:val="25"/>
          <w:szCs w:val="25"/>
          <w:color w:val="auto"/>
        </w:rPr>
      </w:pPr>
      <w:r>
        <w:rPr>
          <w:rFonts w:ascii="Arial" w:cs="Arial" w:eastAsia="Arial" w:hAnsi="Arial"/>
          <w:sz w:val="17"/>
          <w:szCs w:val="17"/>
          <w:b w:val="1"/>
          <w:bCs w:val="1"/>
          <w:color w:val="auto"/>
        </w:rPr>
        <w:t>Fee computed on table in exhibit required by Item 25(b) per Exchange Act Rules 14a-6(i)(1) and 0-11.</w:t>
      </w:r>
    </w:p>
    <w:p>
      <w:pPr>
        <w:sectPr>
          <w:pgSz w:w="11900" w:h="16838" w:orient="portrait"/>
          <w:cols w:equalWidth="0" w:num="1">
            <w:col w:w="10139"/>
          </w:cols>
          <w:pgMar w:left="320" w:top="230" w:right="1440" w:bottom="1440" w:gutter="0" w:footer="0" w:header="0"/>
        </w:sectPr>
      </w:pPr>
    </w:p>
    <w:bookmarkStart w:id="1" w:name="page2"/>
    <w:bookmarkEnd w:id="1"/>
    <w:p>
      <w:pPr>
        <w:spacing w:after="0"/>
        <w:tabs>
          <w:tab w:leader="none" w:pos="13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7029450" cy="915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86"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9260"/>
        <w:spacing w:after="0"/>
        <w:rPr>
          <w:sz w:val="20"/>
          <w:szCs w:val="20"/>
          <w:color w:val="auto"/>
        </w:rPr>
      </w:pPr>
      <w:r>
        <w:rPr>
          <w:rFonts w:ascii="Arial" w:cs="Arial" w:eastAsia="Arial" w:hAnsi="Arial"/>
          <w:sz w:val="11"/>
          <w:szCs w:val="11"/>
          <w:b w:val="1"/>
          <w:bCs w:val="1"/>
          <w:color w:val="auto"/>
        </w:rPr>
        <w:t>Robert A. Bradway</w:t>
      </w:r>
    </w:p>
    <w:p>
      <w:pPr>
        <w:spacing w:after="0" w:line="2" w:lineRule="exact"/>
        <w:rPr>
          <w:sz w:val="20"/>
          <w:szCs w:val="20"/>
          <w:color w:val="auto"/>
        </w:rPr>
      </w:pPr>
    </w:p>
    <w:p>
      <w:pPr>
        <w:ind w:left="9260"/>
        <w:spacing w:after="0"/>
        <w:rPr>
          <w:sz w:val="20"/>
          <w:szCs w:val="20"/>
          <w:color w:val="auto"/>
        </w:rPr>
      </w:pPr>
      <w:r>
        <w:rPr>
          <w:rFonts w:ascii="Arial" w:cs="Arial" w:eastAsia="Arial" w:hAnsi="Arial"/>
          <w:sz w:val="11"/>
          <w:szCs w:val="11"/>
          <w:color w:val="auto"/>
        </w:rPr>
        <w:t>Chairman of the Board,</w:t>
      </w:r>
    </w:p>
    <w:p>
      <w:pPr>
        <w:ind w:left="9260"/>
        <w:spacing w:after="0"/>
        <w:rPr>
          <w:sz w:val="20"/>
          <w:szCs w:val="20"/>
          <w:color w:val="auto"/>
        </w:rPr>
      </w:pPr>
      <w:r>
        <w:rPr>
          <w:rFonts w:ascii="Arial" w:cs="Arial" w:eastAsia="Arial" w:hAnsi="Arial"/>
          <w:sz w:val="11"/>
          <w:szCs w:val="1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5743575"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43575" cy="26543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9260"/>
        <w:spacing w:after="0"/>
        <w:rPr>
          <w:sz w:val="20"/>
          <w:szCs w:val="20"/>
          <w:color w:val="auto"/>
        </w:rPr>
      </w:pPr>
      <w:r>
        <w:rPr>
          <w:rFonts w:ascii="Arial" w:cs="Arial" w:eastAsia="Arial" w:hAnsi="Arial"/>
          <w:sz w:val="11"/>
          <w:szCs w:val="11"/>
          <w:color w:val="auto"/>
        </w:rPr>
        <w:t>Amgen Inc.</w:t>
      </w:r>
    </w:p>
    <w:p>
      <w:pPr>
        <w:ind w:left="9260"/>
        <w:spacing w:after="0" w:line="230" w:lineRule="auto"/>
        <w:rPr>
          <w:sz w:val="20"/>
          <w:szCs w:val="20"/>
          <w:color w:val="auto"/>
        </w:rPr>
      </w:pPr>
      <w:r>
        <w:rPr>
          <w:rFonts w:ascii="Arial" w:cs="Arial" w:eastAsia="Arial" w:hAnsi="Arial"/>
          <w:sz w:val="11"/>
          <w:szCs w:val="11"/>
          <w:color w:val="auto"/>
        </w:rPr>
        <w:t>One Amgen Center Drive</w:t>
      </w:r>
    </w:p>
    <w:p>
      <w:pPr>
        <w:ind w:left="9260"/>
        <w:spacing w:after="0"/>
        <w:rPr>
          <w:sz w:val="20"/>
          <w:szCs w:val="20"/>
          <w:color w:val="auto"/>
        </w:rPr>
      </w:pPr>
      <w:r>
        <w:rPr>
          <w:rFonts w:ascii="Arial" w:cs="Arial" w:eastAsia="Arial" w:hAnsi="Arial"/>
          <w:sz w:val="11"/>
          <w:szCs w:val="11"/>
          <w:color w:val="auto"/>
        </w:rPr>
        <w:t>Thousand Oaks, CA 91320-1799</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6, 2023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Dear Fellow Stockholder:</w:t>
      </w:r>
    </w:p>
    <w:p>
      <w:pPr>
        <w:spacing w:after="0" w:line="153" w:lineRule="exact"/>
        <w:rPr>
          <w:sz w:val="20"/>
          <w:szCs w:val="20"/>
          <w:color w:val="auto"/>
        </w:rPr>
      </w:pPr>
    </w:p>
    <w:p>
      <w:pPr>
        <w:jc w:val="both"/>
        <w:ind w:left="120"/>
        <w:spacing w:after="0" w:line="258" w:lineRule="auto"/>
        <w:rPr>
          <w:sz w:val="20"/>
          <w:szCs w:val="20"/>
          <w:color w:val="auto"/>
        </w:rPr>
      </w:pPr>
      <w:r>
        <w:rPr>
          <w:rFonts w:ascii="Arial" w:cs="Arial" w:eastAsia="Arial" w:hAnsi="Arial"/>
          <w:sz w:val="14"/>
          <w:szCs w:val="14"/>
          <w:color w:val="auto"/>
        </w:rPr>
        <w:t xml:space="preserve">You are invited to attend the 2023 Annual Meeting of Stockholders, or Annual Meeting, of Amgen Inc. to be held on Friday, May 19, 2023, at 11:00 A.M., Pacific Time, via the internet at </w:t>
      </w:r>
      <w:r>
        <w:rPr>
          <w:rFonts w:ascii="Arial" w:cs="Arial" w:eastAsia="Arial" w:hAnsi="Arial"/>
          <w:sz w:val="14"/>
          <w:szCs w:val="14"/>
          <w:i w:val="1"/>
          <w:iCs w:val="1"/>
          <w:color w:val="0171B9"/>
        </w:rPr>
        <w:t>www.virtualshareholdermeeting.com/AMGN2023</w:t>
      </w:r>
      <w:r>
        <w:rPr>
          <w:rFonts w:ascii="Arial" w:cs="Arial" w:eastAsia="Arial" w:hAnsi="Arial"/>
          <w:sz w:val="14"/>
          <w:szCs w:val="14"/>
          <w:color w:val="auto"/>
        </w:rPr>
        <w:t>.</w:t>
      </w:r>
    </w:p>
    <w:p>
      <w:pPr>
        <w:spacing w:after="0" w:line="108" w:lineRule="exact"/>
        <w:rPr>
          <w:sz w:val="20"/>
          <w:szCs w:val="20"/>
          <w:color w:val="auto"/>
        </w:rPr>
      </w:pPr>
    </w:p>
    <w:p>
      <w:pPr>
        <w:jc w:val="both"/>
        <w:ind w:left="120"/>
        <w:spacing w:after="0" w:line="285" w:lineRule="auto"/>
        <w:rPr>
          <w:sz w:val="20"/>
          <w:szCs w:val="20"/>
          <w:color w:val="auto"/>
        </w:rPr>
      </w:pPr>
      <w:r>
        <w:rPr>
          <w:rFonts w:ascii="Arial" w:cs="Arial" w:eastAsia="Arial" w:hAnsi="Arial"/>
          <w:sz w:val="14"/>
          <w:szCs w:val="14"/>
          <w:b w:val="1"/>
          <w:bCs w:val="1"/>
          <w:color w:val="0171B9"/>
        </w:rPr>
        <w:t xml:space="preserve">Our Mission: </w:t>
      </w:r>
      <w:r>
        <w:rPr>
          <w:rFonts w:ascii="Arial" w:cs="Arial" w:eastAsia="Arial" w:hAnsi="Arial"/>
          <w:sz w:val="14"/>
          <w:szCs w:val="14"/>
          <w:color w:val="000000"/>
        </w:rPr>
        <w:t>We seek to develop innovative medicines that address important unmet medical needs in the fight against serious illness. This mission is central to our</w:t>
      </w:r>
      <w:r>
        <w:rPr>
          <w:rFonts w:ascii="Arial" w:cs="Arial" w:eastAsia="Arial" w:hAnsi="Arial"/>
          <w:sz w:val="14"/>
          <w:szCs w:val="14"/>
          <w:b w:val="1"/>
          <w:bCs w:val="1"/>
          <w:color w:val="0171B9"/>
        </w:rPr>
        <w:t xml:space="preserve"> </w:t>
      </w:r>
      <w:r>
        <w:rPr>
          <w:rFonts w:ascii="Arial" w:cs="Arial" w:eastAsia="Arial" w:hAnsi="Arial"/>
          <w:sz w:val="14"/>
          <w:szCs w:val="14"/>
          <w:color w:val="000000"/>
        </w:rPr>
        <w:t>strategy, inherently long-term, and in service of patients and their families.</w:t>
      </w:r>
    </w:p>
    <w:p>
      <w:pPr>
        <w:spacing w:after="0" w:line="90" w:lineRule="exact"/>
        <w:rPr>
          <w:sz w:val="20"/>
          <w:szCs w:val="20"/>
          <w:color w:val="auto"/>
        </w:rPr>
      </w:pPr>
    </w:p>
    <w:p>
      <w:pPr>
        <w:jc w:val="both"/>
        <w:ind w:left="120"/>
        <w:spacing w:after="0" w:line="204" w:lineRule="auto"/>
        <w:rPr>
          <w:sz w:val="20"/>
          <w:szCs w:val="20"/>
          <w:color w:val="auto"/>
        </w:rPr>
      </w:pPr>
      <w:r>
        <w:rPr>
          <w:rFonts w:ascii="Arial" w:cs="Arial" w:eastAsia="Arial" w:hAnsi="Arial"/>
          <w:sz w:val="14"/>
          <w:szCs w:val="14"/>
          <w:b w:val="1"/>
          <w:bCs w:val="1"/>
          <w:color w:val="0171B9"/>
        </w:rPr>
        <w:t xml:space="preserve">Execution of Our Strategy: </w:t>
      </w:r>
      <w:r>
        <w:rPr>
          <w:rFonts w:ascii="Arial" w:cs="Arial" w:eastAsia="Arial" w:hAnsi="Arial"/>
          <w:sz w:val="14"/>
          <w:szCs w:val="14"/>
          <w:color w:val="000000"/>
        </w:rPr>
        <w:t>2022 was another year of strong execution of our mission to bring innovative products to patients around the world. Our strategy includes</w:t>
      </w:r>
      <w:r>
        <w:rPr>
          <w:rFonts w:ascii="Arial" w:cs="Arial" w:eastAsia="Arial" w:hAnsi="Arial"/>
          <w:sz w:val="14"/>
          <w:szCs w:val="14"/>
          <w:b w:val="1"/>
          <w:bCs w:val="1"/>
          <w:color w:val="0171B9"/>
        </w:rPr>
        <w:t xml:space="preserve"> </w:t>
      </w:r>
      <w:r>
        <w:rPr>
          <w:rFonts w:ascii="Arial" w:cs="Arial" w:eastAsia="Arial" w:hAnsi="Arial"/>
          <w:sz w:val="14"/>
          <w:szCs w:val="14"/>
          <w:color w:val="000000"/>
        </w:rPr>
        <w:t xml:space="preserve">integrated activities intended to strengthen our competitive position in the industry. At the core of our strategy is innovation. We executed key clinical studies and moved six first-in-class molecules into Phase 3 or potentially registration-enabling trials, including </w:t>
      </w:r>
      <w:r>
        <w:rPr>
          <w:rFonts w:ascii="Arial" w:cs="Arial" w:eastAsia="Arial" w:hAnsi="Arial"/>
          <w:sz w:val="14"/>
          <w:szCs w:val="14"/>
          <w:b w:val="1"/>
          <w:bCs w:val="1"/>
          <w:color w:val="0171B9"/>
        </w:rPr>
        <w:t>TEZSPIRE</w:t>
      </w:r>
      <w:r>
        <w:rPr>
          <w:rFonts w:ascii="Arial" w:cs="Arial" w:eastAsia="Arial" w:hAnsi="Arial"/>
          <w:sz w:val="21"/>
          <w:szCs w:val="21"/>
          <w:b w:val="1"/>
          <w:bCs w:val="1"/>
          <w:color w:val="0171B9"/>
          <w:vertAlign w:val="superscript"/>
        </w:rPr>
        <w:t>®</w:t>
      </w:r>
      <w:r>
        <w:rPr>
          <w:rFonts w:ascii="Arial" w:cs="Arial" w:eastAsia="Arial" w:hAnsi="Arial"/>
          <w:sz w:val="21"/>
          <w:szCs w:val="21"/>
          <w:color w:val="000000"/>
          <w:vertAlign w:val="superscript"/>
        </w:rPr>
        <w:t>(1)</w:t>
      </w:r>
      <w:r>
        <w:rPr>
          <w:rFonts w:ascii="Arial" w:cs="Arial" w:eastAsia="Arial" w:hAnsi="Arial"/>
          <w:sz w:val="14"/>
          <w:szCs w:val="14"/>
          <w:color w:val="000000"/>
        </w:rPr>
        <w:t xml:space="preserve"> (in eosinophilic esophagitis), </w:t>
      </w:r>
      <w:r>
        <w:rPr>
          <w:rFonts w:ascii="Arial" w:cs="Arial" w:eastAsia="Arial" w:hAnsi="Arial"/>
          <w:sz w:val="14"/>
          <w:szCs w:val="14"/>
          <w:b w:val="1"/>
          <w:bCs w:val="1"/>
          <w:color w:val="0171B9"/>
        </w:rPr>
        <w:t>rocatinlimab</w:t>
      </w:r>
      <w:r>
        <w:rPr>
          <w:rFonts w:ascii="Arial" w:cs="Arial" w:eastAsia="Arial" w:hAnsi="Arial"/>
          <w:sz w:val="21"/>
          <w:szCs w:val="21"/>
          <w:color w:val="000000"/>
          <w:vertAlign w:val="superscript"/>
        </w:rPr>
        <w:t>(2)</w:t>
      </w:r>
      <w:r>
        <w:rPr>
          <w:rFonts w:ascii="Arial" w:cs="Arial" w:eastAsia="Arial" w:hAnsi="Arial"/>
          <w:sz w:val="14"/>
          <w:szCs w:val="14"/>
          <w:color w:val="000000"/>
        </w:rPr>
        <w:t xml:space="preserve"> (for moderate to severe atopic dermatitis), </w:t>
      </w:r>
      <w:r>
        <w:rPr>
          <w:rFonts w:ascii="Arial" w:cs="Arial" w:eastAsia="Arial" w:hAnsi="Arial"/>
          <w:sz w:val="14"/>
          <w:szCs w:val="14"/>
          <w:b w:val="1"/>
          <w:bCs w:val="1"/>
          <w:color w:val="0171B9"/>
        </w:rPr>
        <w:t>olpasiran</w:t>
      </w:r>
      <w:r>
        <w:rPr>
          <w:rFonts w:ascii="Arial" w:cs="Arial" w:eastAsia="Arial" w:hAnsi="Arial"/>
          <w:sz w:val="14"/>
          <w:szCs w:val="14"/>
          <w:color w:val="000000"/>
        </w:rPr>
        <w:t xml:space="preserve"> (for patients with elevated lipoprotein(a)), and </w:t>
      </w:r>
      <w:r>
        <w:rPr>
          <w:rFonts w:ascii="Arial" w:cs="Arial" w:eastAsia="Arial" w:hAnsi="Arial"/>
          <w:sz w:val="14"/>
          <w:szCs w:val="14"/>
          <w:b w:val="1"/>
          <w:bCs w:val="1"/>
          <w:color w:val="0171B9"/>
        </w:rPr>
        <w:t>bemarituzumab</w:t>
      </w:r>
      <w:r>
        <w:rPr>
          <w:rFonts w:ascii="Arial" w:cs="Arial" w:eastAsia="Arial" w:hAnsi="Arial"/>
          <w:sz w:val="14"/>
          <w:szCs w:val="14"/>
          <w:color w:val="000000"/>
        </w:rPr>
        <w:t xml:space="preserve">, </w:t>
      </w:r>
      <w:r>
        <w:rPr>
          <w:rFonts w:ascii="Arial" w:cs="Arial" w:eastAsia="Arial" w:hAnsi="Arial"/>
          <w:sz w:val="14"/>
          <w:szCs w:val="14"/>
          <w:b w:val="1"/>
          <w:bCs w:val="1"/>
          <w:color w:val="0171B9"/>
        </w:rPr>
        <w:t>tarlatamab</w:t>
      </w:r>
      <w:r>
        <w:rPr>
          <w:rFonts w:ascii="Arial" w:cs="Arial" w:eastAsia="Arial" w:hAnsi="Arial"/>
          <w:sz w:val="14"/>
          <w:szCs w:val="14"/>
          <w:color w:val="000000"/>
        </w:rPr>
        <w:t xml:space="preserve">, and </w:t>
      </w:r>
      <w:r>
        <w:rPr>
          <w:rFonts w:ascii="Arial" w:cs="Arial" w:eastAsia="Arial" w:hAnsi="Arial"/>
          <w:sz w:val="14"/>
          <w:szCs w:val="14"/>
          <w:b w:val="1"/>
          <w:bCs w:val="1"/>
          <w:color w:val="0171B9"/>
        </w:rPr>
        <w:t>LUMAKRAS</w:t>
      </w:r>
      <w:r>
        <w:rPr>
          <w:rFonts w:ascii="Arial" w:cs="Arial" w:eastAsia="Arial" w:hAnsi="Arial"/>
          <w:sz w:val="21"/>
          <w:szCs w:val="21"/>
          <w:b w:val="1"/>
          <w:bCs w:val="1"/>
          <w:color w:val="0171B9"/>
          <w:vertAlign w:val="superscript"/>
        </w:rPr>
        <w:t>®</w:t>
      </w:r>
      <w:r>
        <w:rPr>
          <w:rFonts w:ascii="Arial" w:cs="Arial" w:eastAsia="Arial" w:hAnsi="Arial"/>
          <w:sz w:val="14"/>
          <w:szCs w:val="14"/>
          <w:color w:val="000000"/>
        </w:rPr>
        <w:t xml:space="preserve"> for cancer. We completed our strategic acquisition of </w:t>
      </w:r>
      <w:r>
        <w:rPr>
          <w:rFonts w:ascii="Arial" w:cs="Arial" w:eastAsia="Arial" w:hAnsi="Arial"/>
          <w:sz w:val="14"/>
          <w:szCs w:val="14"/>
          <w:b w:val="1"/>
          <w:bCs w:val="1"/>
          <w:color w:val="0171B9"/>
        </w:rPr>
        <w:t>ChemoCentryx, Inc</w:t>
      </w:r>
      <w:r>
        <w:rPr>
          <w:rFonts w:ascii="Arial" w:cs="Arial" w:eastAsia="Arial" w:hAnsi="Arial"/>
          <w:sz w:val="14"/>
          <w:szCs w:val="14"/>
          <w:color w:val="000000"/>
        </w:rPr>
        <w:t xml:space="preserve">. that complements our internal innovations and strengthens our portfolio in inflammation. Through this acquisition, we added </w:t>
      </w:r>
      <w:r>
        <w:rPr>
          <w:rFonts w:ascii="Arial" w:cs="Arial" w:eastAsia="Arial" w:hAnsi="Arial"/>
          <w:sz w:val="14"/>
          <w:szCs w:val="14"/>
          <w:b w:val="1"/>
          <w:bCs w:val="1"/>
          <w:color w:val="0171B9"/>
        </w:rPr>
        <w:t>TAVNEOS</w:t>
      </w:r>
      <w:r>
        <w:rPr>
          <w:rFonts w:ascii="Arial" w:cs="Arial" w:eastAsia="Arial" w:hAnsi="Arial"/>
          <w:sz w:val="21"/>
          <w:szCs w:val="21"/>
          <w:b w:val="1"/>
          <w:bCs w:val="1"/>
          <w:color w:val="0171B9"/>
          <w:vertAlign w:val="superscript"/>
        </w:rPr>
        <w:t>®</w:t>
      </w:r>
      <w:r>
        <w:rPr>
          <w:rFonts w:ascii="Arial" w:cs="Arial" w:eastAsia="Arial" w:hAnsi="Arial"/>
          <w:sz w:val="14"/>
          <w:szCs w:val="14"/>
          <w:color w:val="000000"/>
        </w:rPr>
        <w:t xml:space="preserve">, a first-in-class treatment for active anti-neutrophil cytoplasmic autoantibody (ANCA)-associated vasculitis, an autoimmune disease that leads to inflammation and eventual destruction of small blood vessels. In December 2022, we announced our agreement to acquire </w:t>
      </w:r>
      <w:r>
        <w:rPr>
          <w:rFonts w:ascii="Arial" w:cs="Arial" w:eastAsia="Arial" w:hAnsi="Arial"/>
          <w:sz w:val="14"/>
          <w:szCs w:val="14"/>
          <w:b w:val="1"/>
          <w:bCs w:val="1"/>
          <w:color w:val="0171B9"/>
        </w:rPr>
        <w:t>Horizon Therapeutics plc</w:t>
      </w:r>
      <w:r>
        <w:rPr>
          <w:rFonts w:ascii="Arial" w:cs="Arial" w:eastAsia="Arial" w:hAnsi="Arial"/>
          <w:sz w:val="14"/>
          <w:szCs w:val="14"/>
          <w:color w:val="000000"/>
        </w:rPr>
        <w:t xml:space="preserve">, a biotechnology company with additional first-in-class biologic medicines that address rare autoimmune diseases, including </w:t>
      </w:r>
      <w:r>
        <w:rPr>
          <w:rFonts w:ascii="Arial" w:cs="Arial" w:eastAsia="Arial" w:hAnsi="Arial"/>
          <w:sz w:val="14"/>
          <w:szCs w:val="14"/>
          <w:b w:val="1"/>
          <w:bCs w:val="1"/>
          <w:color w:val="0171B9"/>
        </w:rPr>
        <w:t>TEPEZZA</w:t>
      </w:r>
      <w:r>
        <w:rPr>
          <w:rFonts w:ascii="Arial" w:cs="Arial" w:eastAsia="Arial" w:hAnsi="Arial"/>
          <w:sz w:val="21"/>
          <w:szCs w:val="21"/>
          <w:b w:val="1"/>
          <w:bCs w:val="1"/>
          <w:color w:val="0171B9"/>
          <w:vertAlign w:val="superscript"/>
        </w:rPr>
        <w:t>®</w:t>
      </w:r>
      <w:r>
        <w:rPr>
          <w:rFonts w:ascii="Arial" w:cs="Arial" w:eastAsia="Arial" w:hAnsi="Arial"/>
          <w:sz w:val="14"/>
          <w:szCs w:val="14"/>
          <w:color w:val="000000"/>
        </w:rPr>
        <w:t xml:space="preserve">, </w:t>
      </w:r>
      <w:r>
        <w:rPr>
          <w:rFonts w:ascii="Arial" w:cs="Arial" w:eastAsia="Arial" w:hAnsi="Arial"/>
          <w:sz w:val="14"/>
          <w:szCs w:val="14"/>
          <w:b w:val="1"/>
          <w:bCs w:val="1"/>
          <w:color w:val="0171B9"/>
        </w:rPr>
        <w:t>KRYSTEXXA</w:t>
      </w:r>
      <w:r>
        <w:rPr>
          <w:rFonts w:ascii="Arial" w:cs="Arial" w:eastAsia="Arial" w:hAnsi="Arial"/>
          <w:sz w:val="21"/>
          <w:szCs w:val="21"/>
          <w:b w:val="1"/>
          <w:bCs w:val="1"/>
          <w:color w:val="0171B9"/>
          <w:vertAlign w:val="superscript"/>
        </w:rPr>
        <w:t>®</w:t>
      </w:r>
      <w:r>
        <w:rPr>
          <w:rFonts w:ascii="Arial" w:cs="Arial" w:eastAsia="Arial" w:hAnsi="Arial"/>
          <w:sz w:val="14"/>
          <w:szCs w:val="14"/>
          <w:color w:val="000000"/>
        </w:rPr>
        <w:t xml:space="preserve">, and </w:t>
      </w:r>
      <w:r>
        <w:rPr>
          <w:rFonts w:ascii="Arial" w:cs="Arial" w:eastAsia="Arial" w:hAnsi="Arial"/>
          <w:sz w:val="14"/>
          <w:szCs w:val="14"/>
          <w:b w:val="1"/>
          <w:bCs w:val="1"/>
          <w:color w:val="0171B9"/>
        </w:rPr>
        <w:t>UPLIZNA</w:t>
      </w:r>
      <w:r>
        <w:rPr>
          <w:rFonts w:ascii="Arial" w:cs="Arial" w:eastAsia="Arial" w:hAnsi="Arial"/>
          <w:sz w:val="21"/>
          <w:szCs w:val="21"/>
          <w:b w:val="1"/>
          <w:bCs w:val="1"/>
          <w:color w:val="0171B9"/>
          <w:vertAlign w:val="superscript"/>
        </w:rPr>
        <w:t>®</w:t>
      </w:r>
      <w:r>
        <w:rPr>
          <w:rFonts w:ascii="Arial" w:cs="Arial" w:eastAsia="Arial" w:hAnsi="Arial"/>
          <w:sz w:val="14"/>
          <w:szCs w:val="14"/>
          <w:color w:val="000000"/>
        </w:rPr>
        <w:t>. Additionally, we continued to advance our biosimilar programs (with 11 biosimilars in our current portfolio). Throughout 2022, we maintained a disciplined approach to capital allocation, investing in our business to drive long-term growth while also returning capital to our stockholders through a growing dividend and share repurchases.</w:t>
      </w:r>
    </w:p>
    <w:p>
      <w:pPr>
        <w:spacing w:after="0" w:line="113" w:lineRule="exact"/>
        <w:rPr>
          <w:sz w:val="20"/>
          <w:szCs w:val="20"/>
          <w:color w:val="auto"/>
        </w:rPr>
      </w:pPr>
    </w:p>
    <w:p>
      <w:pPr>
        <w:jc w:val="both"/>
        <w:ind w:left="120"/>
        <w:spacing w:after="0"/>
        <w:rPr>
          <w:sz w:val="20"/>
          <w:szCs w:val="20"/>
          <w:color w:val="auto"/>
        </w:rPr>
      </w:pPr>
      <w:r>
        <w:rPr>
          <w:rFonts w:ascii="Arial" w:cs="Arial" w:eastAsia="Arial" w:hAnsi="Arial"/>
          <w:sz w:val="14"/>
          <w:szCs w:val="14"/>
          <w:b w:val="1"/>
          <w:bCs w:val="1"/>
          <w:color w:val="0171B9"/>
        </w:rPr>
        <w:t xml:space="preserve">Our Commitment to Society: </w:t>
      </w:r>
      <w:r>
        <w:rPr>
          <w:rFonts w:ascii="Arial" w:cs="Arial" w:eastAsia="Arial" w:hAnsi="Arial"/>
          <w:sz w:val="14"/>
          <w:szCs w:val="14"/>
          <w:color w:val="000000"/>
        </w:rPr>
        <w:t>Our approach to environmental sustainability, social responsibility, and corporate governance, or ESG, begins with our mission to serve</w:t>
      </w:r>
      <w:r>
        <w:rPr>
          <w:rFonts w:ascii="Arial" w:cs="Arial" w:eastAsia="Arial" w:hAnsi="Arial"/>
          <w:sz w:val="14"/>
          <w:szCs w:val="14"/>
          <w:b w:val="1"/>
          <w:bCs w:val="1"/>
          <w:color w:val="0171B9"/>
        </w:rPr>
        <w:t xml:space="preserve"> </w:t>
      </w:r>
      <w:r>
        <w:rPr>
          <w:rFonts w:ascii="Arial" w:cs="Arial" w:eastAsia="Arial" w:hAnsi="Arial"/>
          <w:sz w:val="14"/>
          <w:szCs w:val="14"/>
          <w:color w:val="000000"/>
        </w:rPr>
        <w:t>patients and is supported by our long-standing focus on using resources responsibly to support the sustainability of our business. Our environmental sustainability goals, the most recent version of which were set in 2021, include achieving carbon neutrality in our operations by 2027 (while also aiming to further reduce our water use by 40% and waste disposed by 75%</w:t>
      </w:r>
      <w:r>
        <w:rPr>
          <w:rFonts w:ascii="Arial" w:cs="Arial" w:eastAsia="Arial" w:hAnsi="Arial"/>
          <w:sz w:val="21"/>
          <w:szCs w:val="21"/>
          <w:color w:val="000000"/>
          <w:vertAlign w:val="superscript"/>
        </w:rPr>
        <w:t>(3)</w:t>
      </w:r>
      <w:r>
        <w:rPr>
          <w:rFonts w:ascii="Arial" w:cs="Arial" w:eastAsia="Arial" w:hAnsi="Arial"/>
          <w:sz w:val="14"/>
          <w:szCs w:val="14"/>
          <w:color w:val="000000"/>
        </w:rPr>
        <w:t>). Our 2027 Scope 1 and 2 carbon emissions and Scope 3 supplier engagement targets have been approved by the Science Based Targets initiative (SBTi), a global body enabling businesses to set emissions reductions targets in line with the goals of the Paris Agreement (to limit global warming to 1.5°C above pre-industrial levels). In support of our environmental sustainability goals, we developed Amgen Ecovation</w:t>
      </w:r>
      <w:r>
        <w:rPr>
          <w:rFonts w:ascii="Arial" w:cs="Arial" w:eastAsia="Arial" w:hAnsi="Arial"/>
          <w:sz w:val="21"/>
          <w:szCs w:val="21"/>
          <w:color w:val="000000"/>
          <w:vertAlign w:val="superscript"/>
        </w:rPr>
        <w:t>™</w:t>
      </w:r>
      <w:r>
        <w:rPr>
          <w:rFonts w:ascii="Arial" w:cs="Arial" w:eastAsia="Arial" w:hAnsi="Arial"/>
          <w:sz w:val="14"/>
          <w:szCs w:val="14"/>
          <w:color w:val="000000"/>
        </w:rPr>
        <w:t>, our proprietary approach to innovative and sustainable manufacturing that is integrated into the upfront design, development, and execution of our new laboratory, manufacturing, and administrative buildings. Our newest Rhode Island facility, approved by the U.S. Food and Drug Administration in 2022, expands our manufacturing capacity while utilizing these innovative and sustainable manufacturing approaches and delivering environmental and operating efficiencies. Amgen Ecovation is also guiding the design and construction of another two new U.S. plants (in Ohio and North Carolina). In addition to helping to advance our 2027 environmental goals, these new facilities will support our ability to meet the demand for our medicines and bring hundreds of jobs to their respective regions while expanding our access to diverse talent. We also strive to be socially responsible through the activities of our foundations. Since its inception, the Amgen Foundation has contributed approximately $425 million to non-profit organizations around the world that reflect our core values and complement Amgen’s dedication to impacting lives in inspiring and innovative ways. Through the Amgen Safety Net Foundation and our corporate philanthropy, we expanded access to investigational therapies, donations, and other initiatives, and have developed patient support programs to assist eligible patients around the world as they seek to obtain the medicines they need. We increased our focus on diversity, inclusion, and belonging, including by working to improve the diversity and representation of racial and ethnic minority populations in clinical trial research.</w:t>
      </w:r>
    </w:p>
    <w:p>
      <w:pPr>
        <w:spacing w:after="0" w:line="165" w:lineRule="exact"/>
        <w:rPr>
          <w:sz w:val="20"/>
          <w:szCs w:val="20"/>
          <w:color w:val="auto"/>
        </w:rPr>
      </w:pPr>
    </w:p>
    <w:p>
      <w:pPr>
        <w:jc w:val="both"/>
        <w:ind w:left="120"/>
        <w:spacing w:after="0" w:line="247" w:lineRule="auto"/>
        <w:rPr>
          <w:sz w:val="20"/>
          <w:szCs w:val="20"/>
          <w:color w:val="auto"/>
        </w:rPr>
      </w:pPr>
      <w:r>
        <w:rPr>
          <w:rFonts w:ascii="Arial" w:cs="Arial" w:eastAsia="Arial" w:hAnsi="Arial"/>
          <w:sz w:val="14"/>
          <w:szCs w:val="14"/>
          <w:b w:val="1"/>
          <w:bCs w:val="1"/>
          <w:color w:val="0171B9"/>
        </w:rPr>
        <w:t xml:space="preserve">Stockholder Engagement: </w:t>
      </w:r>
      <w:r>
        <w:rPr>
          <w:rFonts w:ascii="Arial" w:cs="Arial" w:eastAsia="Arial" w:hAnsi="Arial"/>
          <w:sz w:val="14"/>
          <w:szCs w:val="14"/>
          <w:color w:val="000000"/>
        </w:rPr>
        <w:t>We continue to be guided by the perspectives of our stockholders as expressed through their engagement with us throughout the year and at</w:t>
      </w:r>
      <w:r>
        <w:rPr>
          <w:rFonts w:ascii="Arial" w:cs="Arial" w:eastAsia="Arial" w:hAnsi="Arial"/>
          <w:sz w:val="14"/>
          <w:szCs w:val="14"/>
          <w:b w:val="1"/>
          <w:bCs w:val="1"/>
          <w:color w:val="0171B9"/>
        </w:rPr>
        <w:t xml:space="preserve"> </w:t>
      </w:r>
      <w:r>
        <w:rPr>
          <w:rFonts w:ascii="Arial" w:cs="Arial" w:eastAsia="Arial" w:hAnsi="Arial"/>
          <w:sz w:val="14"/>
          <w:szCs w:val="14"/>
          <w:color w:val="000000"/>
        </w:rPr>
        <w:t>our Annual Meeting. Consistent with prior years’ practices, since our 2022 annual meeting of stockholders, we have engaged in governance-focused outreach activities and discussions with stockholders comprising approximately 51% of our outstanding shares. In 2022, stockholder engagement included discussion of questions related to our political engagement and ESG activities. Feedback received during the course of these activities is shared with our Board and informs its decisions. In response to stockholder feedback, we pursued and received SBTi approval of our 2027 carbon emissions targets and we have expanded and enhanced a number of our disclosures, including those related to our: Board gender and racial/ethnic diversity; drug pricing practices; annual Consolidated EEO-1 Report; oversight of political contributions, memberships in trade and industry associations, and lobbying; and reporting in alignment with several environmental standards and guidelines (including the Sustainability Accounting Standards Board (SASB) standards for our industry). We plan to continue this valuable dialogue with our investors in the coming year.</w:t>
      </w:r>
    </w:p>
    <w:p>
      <w:pPr>
        <w:spacing w:after="0" w:line="137"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4"/>
          <w:szCs w:val="14"/>
          <w:color w:val="auto"/>
        </w:rPr>
        <w:t>I look forward to sharing more about our Company at our Annual Meeting. In addition to the business to be transacted and described in the accompanying Notice of Annual Meeting of Stockholders, I will discuss recent developments during the past year, the substantial progress we made on our strategic priorities in 2022, and respond to comments and questions.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On behalf of our Board, I thank you for your participation and investment in Amgen. We look forward to the Annual Meeting on May 19.</w:t>
      </w:r>
    </w:p>
    <w:p>
      <w:pPr>
        <w:spacing w:after="0" w:line="106"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79375</wp:posOffset>
            </wp:positionV>
            <wp:extent cx="2057400"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0" cy="3003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Robert A. Bradway</w:t>
      </w:r>
    </w:p>
    <w:p>
      <w:pPr>
        <w:spacing w:after="0" w:line="7" w:lineRule="exact"/>
        <w:rPr>
          <w:sz w:val="20"/>
          <w:szCs w:val="20"/>
          <w:color w:val="auto"/>
        </w:rPr>
      </w:pPr>
    </w:p>
    <w:p>
      <w:pPr>
        <w:ind w:left="6620"/>
        <w:spacing w:after="0"/>
        <w:rPr>
          <w:sz w:val="20"/>
          <w:szCs w:val="20"/>
          <w:color w:val="auto"/>
        </w:rPr>
      </w:pPr>
      <w:r>
        <w:rPr>
          <w:rFonts w:ascii="Arial" w:cs="Arial" w:eastAsia="Arial" w:hAnsi="Arial"/>
          <w:sz w:val="17"/>
          <w:szCs w:val="17"/>
          <w:i w:val="1"/>
          <w:iCs w:val="1"/>
          <w:color w:val="auto"/>
        </w:rPr>
        <w:t>Chairman of the Board,</w:t>
      </w:r>
    </w:p>
    <w:p>
      <w:pPr>
        <w:ind w:left="6620"/>
        <w:spacing w:after="0"/>
        <w:rPr>
          <w:sz w:val="20"/>
          <w:szCs w:val="20"/>
          <w:color w:val="auto"/>
        </w:rPr>
      </w:pPr>
      <w:r>
        <w:rPr>
          <w:rFonts w:ascii="Arial" w:cs="Arial" w:eastAsia="Arial" w:hAnsi="Arial"/>
          <w:sz w:val="17"/>
          <w:szCs w:val="17"/>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96" w:lineRule="exact"/>
        <w:rPr>
          <w:sz w:val="20"/>
          <w:szCs w:val="20"/>
          <w:color w:val="auto"/>
        </w:rPr>
      </w:pPr>
    </w:p>
    <w:p>
      <w:pPr>
        <w:ind w:left="540" w:hanging="424"/>
        <w:spacing w:after="0"/>
        <w:tabs>
          <w:tab w:leader="none" w:pos="54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TEZSPIRE is being developed in collaboration with AstraZeneca plc.</w:t>
      </w:r>
    </w:p>
    <w:p>
      <w:pPr>
        <w:ind w:left="540" w:hanging="424"/>
        <w:spacing w:after="0" w:line="187" w:lineRule="auto"/>
        <w:tabs>
          <w:tab w:leader="none" w:pos="540" w:val="left"/>
        </w:tabs>
        <w:numPr>
          <w:ilvl w:val="0"/>
          <w:numId w:val="6"/>
        </w:numPr>
        <w:rPr>
          <w:rFonts w:ascii="Arial" w:cs="Arial" w:eastAsia="Arial" w:hAnsi="Arial"/>
          <w:sz w:val="18"/>
          <w:szCs w:val="18"/>
          <w:color w:val="auto"/>
          <w:vertAlign w:val="superscript"/>
        </w:rPr>
      </w:pPr>
      <w:r>
        <w:rPr>
          <w:rFonts w:ascii="Arial" w:cs="Arial" w:eastAsia="Arial" w:hAnsi="Arial"/>
          <w:sz w:val="12"/>
          <w:szCs w:val="12"/>
          <w:color w:val="auto"/>
        </w:rPr>
        <w:t>Rocatinlimab is being developed in collaboration with Kyowa Kirin Co., Ltd.</w:t>
      </w:r>
    </w:p>
    <w:p>
      <w:pPr>
        <w:ind w:left="540" w:right="20" w:hanging="424"/>
        <w:spacing w:after="0" w:line="193" w:lineRule="auto"/>
        <w:tabs>
          <w:tab w:leader="none" w:pos="54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Carbon neutrality goal refers to Scope 1 and 2 emissions. Reductions take into account only verified reduction projections, and do not take into account changes associated with the contraction or expansion of the Company and are measured against a 2019 baseline.</w:t>
      </w:r>
    </w:p>
    <w:p>
      <w:pPr>
        <w:sectPr>
          <w:pgSz w:w="11900" w:h="16838" w:orient="portrait"/>
          <w:cols w:equalWidth="0" w:num="1">
            <w:col w:w="11140"/>
          </w:cols>
          <w:pgMar w:left="320" w:top="486"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1"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Amgen Inc.</w:t>
      </w:r>
    </w:p>
    <w:p>
      <w:pPr>
        <w:spacing w:after="0" w:line="19"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One Amgen Center Drive</w:t>
      </w:r>
    </w:p>
    <w:p>
      <w:pPr>
        <w:spacing w:after="0" w:line="1"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Thousand Oaks, California 91320-1799</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Notice of Annual Meeting of Stockholders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To be Held on May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To the Stockholders of Amgen Inc.:</w:t>
      </w:r>
    </w:p>
    <w:p>
      <w:pPr>
        <w:spacing w:after="0" w:line="118"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7"/>
          <w:szCs w:val="17"/>
          <w:b w:val="1"/>
          <w:bCs w:val="1"/>
          <w:color w:val="0171B9"/>
        </w:rPr>
        <w:t>Date and Time:</w:t>
      </w:r>
      <w:r>
        <w:rPr>
          <w:sz w:val="20"/>
          <w:szCs w:val="20"/>
          <w:color w:val="auto"/>
        </w:rPr>
        <w:tab/>
      </w:r>
      <w:r>
        <w:rPr>
          <w:rFonts w:ascii="Arial" w:cs="Arial" w:eastAsia="Arial" w:hAnsi="Arial"/>
          <w:sz w:val="17"/>
          <w:szCs w:val="17"/>
          <w:color w:val="auto"/>
        </w:rPr>
        <w:t>Friday, May 19, 2023, at 11:00 A.M., Pacific Time</w:t>
      </w:r>
    </w:p>
    <w:p>
      <w:pPr>
        <w:spacing w:after="0" w:line="102" w:lineRule="exact"/>
        <w:rPr>
          <w:sz w:val="20"/>
          <w:szCs w:val="20"/>
          <w:color w:val="auto"/>
        </w:rPr>
      </w:pPr>
    </w:p>
    <w:p>
      <w:pPr>
        <w:jc w:val="both"/>
        <w:ind w:left="1660" w:hanging="1539"/>
        <w:spacing w:after="0" w:line="236" w:lineRule="auto"/>
        <w:tabs>
          <w:tab w:leader="none" w:pos="1640" w:val="left"/>
        </w:tabs>
        <w:rPr>
          <w:sz w:val="20"/>
          <w:szCs w:val="20"/>
          <w:color w:val="auto"/>
        </w:rPr>
      </w:pPr>
      <w:r>
        <w:rPr>
          <w:rFonts w:ascii="Arial" w:cs="Arial" w:eastAsia="Arial" w:hAnsi="Arial"/>
          <w:sz w:val="17"/>
          <w:szCs w:val="17"/>
          <w:b w:val="1"/>
          <w:bCs w:val="1"/>
          <w:color w:val="0171B9"/>
        </w:rPr>
        <w:t>Location:</w:t>
      </w:r>
      <w:r>
        <w:rPr>
          <w:sz w:val="20"/>
          <w:szCs w:val="20"/>
          <w:color w:val="auto"/>
        </w:rPr>
        <w:tab/>
      </w:r>
      <w:r>
        <w:rPr>
          <w:rFonts w:ascii="Arial" w:cs="Arial" w:eastAsia="Arial" w:hAnsi="Arial"/>
          <w:sz w:val="17"/>
          <w:szCs w:val="17"/>
          <w:color w:val="auto"/>
        </w:rPr>
        <w:t xml:space="preserve">Our 2023 Annual Meeting of Stockholders, or Annual Meeting, will be held solely by remote communication via the internet at </w:t>
      </w:r>
      <w:r>
        <w:rPr>
          <w:rFonts w:ascii="Arial" w:cs="Arial" w:eastAsia="Arial" w:hAnsi="Arial"/>
          <w:sz w:val="17"/>
          <w:szCs w:val="17"/>
          <w:i w:val="1"/>
          <w:iCs w:val="1"/>
          <w:color w:val="0171B9"/>
        </w:rPr>
        <w:t>www.virtualshareholdermeeting.com/AMGN2023</w:t>
      </w:r>
      <w:r>
        <w:rPr>
          <w:rFonts w:ascii="Arial" w:cs="Arial" w:eastAsia="Arial" w:hAnsi="Arial"/>
          <w:sz w:val="17"/>
          <w:szCs w:val="17"/>
          <w:color w:val="000000"/>
        </w:rPr>
        <w:t>. Although the meeting will not be held in person, stockholders will, to the</w:t>
      </w:r>
      <w:r>
        <w:rPr>
          <w:rFonts w:ascii="Arial" w:cs="Arial" w:eastAsia="Arial" w:hAnsi="Arial"/>
          <w:sz w:val="17"/>
          <w:szCs w:val="17"/>
          <w:i w:val="1"/>
          <w:iCs w:val="1"/>
          <w:color w:val="0171B9"/>
        </w:rPr>
        <w:t xml:space="preserve"> </w:t>
      </w:r>
      <w:r>
        <w:rPr>
          <w:rFonts w:ascii="Arial" w:cs="Arial" w:eastAsia="Arial" w:hAnsi="Arial"/>
          <w:sz w:val="17"/>
          <w:szCs w:val="17"/>
          <w:color w:val="000000"/>
        </w:rPr>
        <w:t>extent possible, be afforded the same rights and opportunities to participate at the virtual meeting similarly to how they would participate at an in-person meeting.</w:t>
      </w:r>
    </w:p>
    <w:p>
      <w:pPr>
        <w:spacing w:after="0" w:line="129" w:lineRule="exact"/>
        <w:rPr>
          <w:sz w:val="20"/>
          <w:szCs w:val="20"/>
          <w:color w:val="auto"/>
        </w:rPr>
      </w:pPr>
    </w:p>
    <w:p>
      <w:pPr>
        <w:ind w:left="1660" w:right="20"/>
        <w:spacing w:after="0" w:line="243" w:lineRule="auto"/>
        <w:rPr>
          <w:sz w:val="20"/>
          <w:szCs w:val="20"/>
          <w:color w:val="auto"/>
        </w:rPr>
      </w:pPr>
      <w:r>
        <w:rPr>
          <w:rFonts w:ascii="Arial" w:cs="Arial" w:eastAsia="Arial" w:hAnsi="Arial"/>
          <w:sz w:val="17"/>
          <w:szCs w:val="17"/>
          <w:color w:val="auto"/>
        </w:rPr>
        <w:t xml:space="preserve">Stockholders or their proxyholders may participate and vote at our Annual Meeting via the internet at </w:t>
      </w:r>
      <w:r>
        <w:rPr>
          <w:rFonts w:ascii="Arial" w:cs="Arial" w:eastAsia="Arial" w:hAnsi="Arial"/>
          <w:sz w:val="17"/>
          <w:szCs w:val="17"/>
          <w:i w:val="1"/>
          <w:iCs w:val="1"/>
          <w:color w:val="0171B9"/>
        </w:rPr>
        <w:t xml:space="preserve">www.virtualshareholdermeeting.com/AMGN2023 </w:t>
      </w:r>
      <w:r>
        <w:rPr>
          <w:rFonts w:ascii="Arial" w:cs="Arial" w:eastAsia="Arial" w:hAnsi="Arial"/>
          <w:sz w:val="17"/>
          <w:szCs w:val="17"/>
          <w:color w:val="000000"/>
        </w:rPr>
        <w:t>and using your control number.</w:t>
      </w:r>
    </w:p>
    <w:p>
      <w:pPr>
        <w:spacing w:after="0" w:line="84" w:lineRule="exact"/>
        <w:rPr>
          <w:sz w:val="20"/>
          <w:szCs w:val="20"/>
          <w:color w:val="auto"/>
        </w:rPr>
      </w:pPr>
    </w:p>
    <w:p>
      <w:pPr>
        <w:ind w:left="1660" w:right="20" w:hanging="1551"/>
        <w:spacing w:after="0" w:line="243" w:lineRule="auto"/>
        <w:tabs>
          <w:tab w:leader="none" w:pos="1640" w:val="left"/>
        </w:tabs>
        <w:rPr>
          <w:sz w:val="20"/>
          <w:szCs w:val="20"/>
          <w:color w:val="auto"/>
        </w:rPr>
      </w:pPr>
      <w:r>
        <w:rPr>
          <w:rFonts w:ascii="Arial" w:cs="Arial" w:eastAsia="Arial" w:hAnsi="Arial"/>
          <w:sz w:val="17"/>
          <w:szCs w:val="17"/>
          <w:b w:val="1"/>
          <w:bCs w:val="1"/>
          <w:color w:val="0171B9"/>
        </w:rPr>
        <w:t>Record Date:</w:t>
      </w:r>
      <w:r>
        <w:rPr>
          <w:sz w:val="20"/>
          <w:szCs w:val="20"/>
          <w:color w:val="auto"/>
        </w:rPr>
        <w:tab/>
      </w:r>
      <w:r>
        <w:rPr>
          <w:rFonts w:ascii="Arial" w:cs="Arial" w:eastAsia="Arial" w:hAnsi="Arial"/>
          <w:sz w:val="17"/>
          <w:szCs w:val="17"/>
          <w:color w:val="auto"/>
        </w:rPr>
        <w:t>March 20, 2023. Amgen stockholders of record at the close of business on the record date are entitled to receive notice of, and vote at, the Annual Meeting and any continuation, postponement, or adjournment thereof.</w:t>
      </w:r>
    </w:p>
    <w:p>
      <w:pPr>
        <w:spacing w:after="0" w:line="90" w:lineRule="exact"/>
        <w:rPr>
          <w:sz w:val="20"/>
          <w:szCs w:val="20"/>
          <w:color w:val="auto"/>
        </w:rPr>
      </w:pPr>
    </w:p>
    <w:p>
      <w:pPr>
        <w:ind w:left="1660" w:right="20" w:hanging="1551"/>
        <w:spacing w:after="0" w:line="243" w:lineRule="auto"/>
        <w:tabs>
          <w:tab w:leader="none" w:pos="1640" w:val="left"/>
        </w:tabs>
        <w:rPr>
          <w:sz w:val="20"/>
          <w:szCs w:val="20"/>
          <w:color w:val="auto"/>
        </w:rPr>
      </w:pPr>
      <w:r>
        <w:rPr>
          <w:rFonts w:ascii="Arial" w:cs="Arial" w:eastAsia="Arial" w:hAnsi="Arial"/>
          <w:sz w:val="17"/>
          <w:szCs w:val="17"/>
          <w:b w:val="1"/>
          <w:bCs w:val="1"/>
          <w:color w:val="0171B9"/>
        </w:rPr>
        <w:t>Mail Date:</w:t>
      </w:r>
      <w:r>
        <w:rPr>
          <w:sz w:val="20"/>
          <w:szCs w:val="20"/>
          <w:color w:val="auto"/>
        </w:rPr>
        <w:tab/>
      </w:r>
      <w:r>
        <w:rPr>
          <w:rFonts w:ascii="Arial" w:cs="Arial" w:eastAsia="Arial" w:hAnsi="Arial"/>
          <w:sz w:val="17"/>
          <w:szCs w:val="17"/>
          <w:color w:val="auto"/>
        </w:rPr>
        <w:t>We intend to mail the Notice Regarding the Availability of Proxy Materials, or Notice, or the proxy statement and proxy card, as applicable, on or about April 6, 2023, to our stockholders of record on the record date.</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171B9"/>
        </w:rPr>
        <w:t>Items of Business:</w:t>
      </w:r>
    </w:p>
    <w:p>
      <w:pPr>
        <w:spacing w:after="0" w:line="122" w:lineRule="exact"/>
        <w:rPr>
          <w:sz w:val="20"/>
          <w:szCs w:val="20"/>
          <w:color w:val="auto"/>
        </w:rPr>
      </w:pPr>
    </w:p>
    <w:p>
      <w:pPr>
        <w:jc w:val="both"/>
        <w:ind w:left="2000" w:right="20" w:hanging="332"/>
        <w:spacing w:after="0" w:line="236" w:lineRule="auto"/>
        <w:tabs>
          <w:tab w:leader="none" w:pos="2000" w:val="left"/>
        </w:tabs>
        <w:numPr>
          <w:ilvl w:val="0"/>
          <w:numId w:val="7"/>
        </w:numPr>
        <w:rPr>
          <w:rFonts w:ascii="Arial" w:cs="Arial" w:eastAsia="Arial" w:hAnsi="Arial"/>
          <w:sz w:val="17"/>
          <w:szCs w:val="17"/>
          <w:b w:val="1"/>
          <w:bCs w:val="1"/>
          <w:color w:val="0171B9"/>
        </w:rPr>
      </w:pPr>
      <w:r>
        <w:rPr>
          <w:rFonts w:ascii="Arial" w:cs="Arial" w:eastAsia="Arial" w:hAnsi="Arial"/>
          <w:sz w:val="17"/>
          <w:szCs w:val="17"/>
          <w:color w:val="auto"/>
        </w:rPr>
        <w:t>To elect 13 directors to the Board of Directors of Amgen for a term of office expiring at the 2024 annual meeting of stockholders. The nominees for election to the Board of Directors are Dr. Wanda M. Austin, Mr. Robert A. Bradway, Dr. Michael V. Drake, Dr. Brian J. Druker, Mr. Robert A. Eckert, Mr. Greg C. Garland, Mr. Charles M. Holley, Jr., Dr. S. Omar Ishrak, Dr. Tyler Jacks, Ms. Ellen J. Kullman, Ms. Amy E. Miles, Dr. Ronald D. Sugar, and Dr. R. Sanders Williams;</w:t>
      </w:r>
    </w:p>
    <w:p>
      <w:pPr>
        <w:spacing w:after="0" w:line="95" w:lineRule="exact"/>
        <w:rPr>
          <w:rFonts w:ascii="Arial" w:cs="Arial" w:eastAsia="Arial" w:hAnsi="Arial"/>
          <w:sz w:val="17"/>
          <w:szCs w:val="17"/>
          <w:b w:val="1"/>
          <w:bCs w:val="1"/>
          <w:color w:val="0171B9"/>
        </w:rPr>
      </w:pPr>
    </w:p>
    <w:p>
      <w:pPr>
        <w:ind w:left="2000" w:hanging="332"/>
        <w:spacing w:after="0"/>
        <w:tabs>
          <w:tab w:leader="none" w:pos="2000" w:val="left"/>
        </w:tabs>
        <w:numPr>
          <w:ilvl w:val="0"/>
          <w:numId w:val="7"/>
        </w:numPr>
        <w:rPr>
          <w:rFonts w:ascii="Arial" w:cs="Arial" w:eastAsia="Arial" w:hAnsi="Arial"/>
          <w:sz w:val="17"/>
          <w:szCs w:val="17"/>
          <w:b w:val="1"/>
          <w:bCs w:val="1"/>
          <w:color w:val="0171B9"/>
        </w:rPr>
      </w:pPr>
      <w:r>
        <w:rPr>
          <w:rFonts w:ascii="Arial" w:cs="Arial" w:eastAsia="Arial" w:hAnsi="Arial"/>
          <w:sz w:val="17"/>
          <w:szCs w:val="17"/>
          <w:color w:val="auto"/>
        </w:rPr>
        <w:t>To hold an advisory vote on the frequency of future stockholder advisory votes to approve executive compensation;</w:t>
      </w:r>
    </w:p>
    <w:p>
      <w:pPr>
        <w:spacing w:after="0" w:line="101" w:lineRule="exact"/>
        <w:rPr>
          <w:rFonts w:ascii="Arial" w:cs="Arial" w:eastAsia="Arial" w:hAnsi="Arial"/>
          <w:sz w:val="17"/>
          <w:szCs w:val="17"/>
          <w:b w:val="1"/>
          <w:bCs w:val="1"/>
          <w:color w:val="0171B9"/>
        </w:rPr>
      </w:pPr>
    </w:p>
    <w:p>
      <w:pPr>
        <w:ind w:left="2000" w:hanging="332"/>
        <w:spacing w:after="0"/>
        <w:tabs>
          <w:tab w:leader="none" w:pos="2000" w:val="left"/>
        </w:tabs>
        <w:numPr>
          <w:ilvl w:val="0"/>
          <w:numId w:val="7"/>
        </w:numPr>
        <w:rPr>
          <w:rFonts w:ascii="Arial" w:cs="Arial" w:eastAsia="Arial" w:hAnsi="Arial"/>
          <w:sz w:val="17"/>
          <w:szCs w:val="17"/>
          <w:b w:val="1"/>
          <w:bCs w:val="1"/>
          <w:color w:val="0171B9"/>
        </w:rPr>
      </w:pPr>
      <w:r>
        <w:rPr>
          <w:rFonts w:ascii="Arial" w:cs="Arial" w:eastAsia="Arial" w:hAnsi="Arial"/>
          <w:sz w:val="17"/>
          <w:szCs w:val="17"/>
          <w:color w:val="auto"/>
        </w:rPr>
        <w:t>To hold an advisory vote to approve our executive compensation;</w:t>
      </w:r>
    </w:p>
    <w:p>
      <w:pPr>
        <w:spacing w:after="0" w:line="101" w:lineRule="exact"/>
        <w:rPr>
          <w:rFonts w:ascii="Arial" w:cs="Arial" w:eastAsia="Arial" w:hAnsi="Arial"/>
          <w:sz w:val="17"/>
          <w:szCs w:val="17"/>
          <w:b w:val="1"/>
          <w:bCs w:val="1"/>
          <w:color w:val="0171B9"/>
        </w:rPr>
      </w:pPr>
    </w:p>
    <w:p>
      <w:pPr>
        <w:ind w:left="2000" w:right="20" w:hanging="332"/>
        <w:spacing w:after="0" w:line="243" w:lineRule="auto"/>
        <w:tabs>
          <w:tab w:leader="none" w:pos="2000" w:val="left"/>
        </w:tabs>
        <w:numPr>
          <w:ilvl w:val="0"/>
          <w:numId w:val="7"/>
        </w:numPr>
        <w:rPr>
          <w:rFonts w:ascii="Arial" w:cs="Arial" w:eastAsia="Arial" w:hAnsi="Arial"/>
          <w:sz w:val="17"/>
          <w:szCs w:val="17"/>
          <w:b w:val="1"/>
          <w:bCs w:val="1"/>
          <w:color w:val="0171B9"/>
        </w:rPr>
      </w:pPr>
      <w:r>
        <w:rPr>
          <w:rFonts w:ascii="Arial" w:cs="Arial" w:eastAsia="Arial" w:hAnsi="Arial"/>
          <w:sz w:val="17"/>
          <w:szCs w:val="17"/>
          <w:color w:val="auto"/>
        </w:rPr>
        <w:t>To ratify the selection of Ernst &amp; Young LLP as our independent registered public accountants for the fiscal year ending December 31, 2023; and</w:t>
      </w:r>
    </w:p>
    <w:p>
      <w:pPr>
        <w:spacing w:after="0" w:line="90" w:lineRule="exact"/>
        <w:rPr>
          <w:rFonts w:ascii="Arial" w:cs="Arial" w:eastAsia="Arial" w:hAnsi="Arial"/>
          <w:sz w:val="17"/>
          <w:szCs w:val="17"/>
          <w:b w:val="1"/>
          <w:bCs w:val="1"/>
          <w:color w:val="0171B9"/>
        </w:rPr>
      </w:pPr>
    </w:p>
    <w:p>
      <w:pPr>
        <w:ind w:left="2000" w:hanging="332"/>
        <w:spacing w:after="0" w:line="243" w:lineRule="auto"/>
        <w:tabs>
          <w:tab w:leader="none" w:pos="2000" w:val="left"/>
        </w:tabs>
        <w:numPr>
          <w:ilvl w:val="0"/>
          <w:numId w:val="7"/>
        </w:numPr>
        <w:rPr>
          <w:rFonts w:ascii="Arial" w:cs="Arial" w:eastAsia="Arial" w:hAnsi="Arial"/>
          <w:sz w:val="17"/>
          <w:szCs w:val="17"/>
          <w:b w:val="1"/>
          <w:bCs w:val="1"/>
          <w:color w:val="0171B9"/>
        </w:rPr>
      </w:pPr>
      <w:r>
        <w:rPr>
          <w:rFonts w:ascii="Arial" w:cs="Arial" w:eastAsia="Arial" w:hAnsi="Arial"/>
          <w:sz w:val="17"/>
          <w:szCs w:val="17"/>
          <w:color w:val="auto"/>
        </w:rPr>
        <w:t>To transact such other business as may properly come before the Annual Meeting or any continuation, postponement, or adjournment thereof.</w:t>
      </w:r>
    </w:p>
    <w:p>
      <w:pPr>
        <w:spacing w:after="0" w:line="84"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7"/>
          <w:szCs w:val="17"/>
          <w:b w:val="1"/>
          <w:bCs w:val="1"/>
          <w:color w:val="0171B9"/>
        </w:rPr>
        <w:t xml:space="preserve">Attendance: </w:t>
      </w:r>
      <w:r>
        <w:rPr>
          <w:rFonts w:ascii="Arial" w:cs="Arial" w:eastAsia="Arial" w:hAnsi="Arial"/>
          <w:sz w:val="17"/>
          <w:szCs w:val="17"/>
          <w:color w:val="000000"/>
        </w:rPr>
        <w:t>The live audio webcast of the Annual Meeting will begin promptly at 11:00 A.M., Pacific Time. To participate in the virtual meeting,</w:t>
      </w:r>
      <w:r>
        <w:rPr>
          <w:rFonts w:ascii="Arial" w:cs="Arial" w:eastAsia="Arial" w:hAnsi="Arial"/>
          <w:sz w:val="17"/>
          <w:szCs w:val="17"/>
          <w:b w:val="1"/>
          <w:bCs w:val="1"/>
          <w:color w:val="0171B9"/>
        </w:rPr>
        <w:t xml:space="preserve"> </w:t>
      </w:r>
      <w:r>
        <w:rPr>
          <w:rFonts w:ascii="Arial" w:cs="Arial" w:eastAsia="Arial" w:hAnsi="Arial"/>
          <w:sz w:val="17"/>
          <w:szCs w:val="17"/>
          <w:color w:val="000000"/>
        </w:rPr>
        <w:t>you will need the control number included on your Notice, proxy card, or voting instruction form. We encourage you to access the meeting prior to the start time. Please read “Information Concerning Voting and Solicitation—Attendance at the Annual Meeting” in the accompanying proxy statement.</w:t>
      </w:r>
    </w:p>
    <w:p>
      <w:pPr>
        <w:spacing w:after="0" w:line="83"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17"/>
          <w:szCs w:val="17"/>
          <w:b w:val="1"/>
          <w:bCs w:val="1"/>
          <w:color w:val="0171B9"/>
        </w:rPr>
        <w:t xml:space="preserve">Voting: </w:t>
      </w:r>
      <w:r>
        <w:rPr>
          <w:rFonts w:ascii="Arial" w:cs="Arial" w:eastAsia="Arial" w:hAnsi="Arial"/>
          <w:sz w:val="17"/>
          <w:szCs w:val="17"/>
          <w:b w:val="1"/>
          <w:bCs w:val="1"/>
          <w:u w:val="single" w:color="auto"/>
          <w:color w:val="000000"/>
        </w:rPr>
        <w:t>Your vote is important, regardless of the number of shares that you own</w:t>
      </w:r>
      <w:r>
        <w:rPr>
          <w:rFonts w:ascii="Arial" w:cs="Arial" w:eastAsia="Arial" w:hAnsi="Arial"/>
          <w:sz w:val="17"/>
          <w:szCs w:val="17"/>
          <w:color w:val="000000"/>
        </w:rPr>
        <w:t>. Whether or not you plan to attend the Annual Meeting, it is</w:t>
      </w:r>
      <w:r>
        <w:rPr>
          <w:rFonts w:ascii="Arial" w:cs="Arial" w:eastAsia="Arial" w:hAnsi="Arial"/>
          <w:sz w:val="17"/>
          <w:szCs w:val="17"/>
          <w:b w:val="1"/>
          <w:bCs w:val="1"/>
          <w:color w:val="0171B9"/>
        </w:rPr>
        <w:t xml:space="preserve"> </w:t>
      </w:r>
      <w:r>
        <w:rPr>
          <w:rFonts w:ascii="Arial" w:cs="Arial" w:eastAsia="Arial" w:hAnsi="Arial"/>
          <w:sz w:val="17"/>
          <w:szCs w:val="17"/>
          <w:color w:val="000000"/>
        </w:rPr>
        <w:t>important that your shares be represented and voted. Please read the Notice and proxy statement with care and follow the voting instructions to ensure that your shares are represented. By submitting your proxy promptly, you will save the Company the expense of further proxy solicitation. We encourage you to submit your proxy as soon as possible by internet, by telephone, or by signing, dating, and returning all proxy cards or instruction forms provided to you.</w:t>
      </w:r>
    </w:p>
    <w:p>
      <w:pPr>
        <w:spacing w:after="0" w:line="200"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154305</wp:posOffset>
            </wp:positionV>
            <wp:extent cx="1345565" cy="625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4556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160"/>
        <w:spacing w:after="0"/>
        <w:rPr>
          <w:sz w:val="20"/>
          <w:szCs w:val="20"/>
          <w:color w:val="auto"/>
        </w:rPr>
      </w:pPr>
      <w:r>
        <w:rPr>
          <w:rFonts w:ascii="Arial" w:cs="Arial" w:eastAsia="Arial" w:hAnsi="Arial"/>
          <w:sz w:val="17"/>
          <w:szCs w:val="17"/>
          <w:b w:val="1"/>
          <w:bCs w:val="1"/>
          <w:color w:val="auto"/>
        </w:rPr>
        <w:t>Jonathan P. Graham</w:t>
      </w:r>
    </w:p>
    <w:p>
      <w:pPr>
        <w:spacing w:after="0" w:line="14" w:lineRule="exact"/>
        <w:rPr>
          <w:sz w:val="20"/>
          <w:szCs w:val="20"/>
          <w:color w:val="auto"/>
        </w:rPr>
      </w:pPr>
    </w:p>
    <w:p>
      <w:pPr>
        <w:ind w:left="7160"/>
        <w:spacing w:after="0"/>
        <w:rPr>
          <w:sz w:val="20"/>
          <w:szCs w:val="20"/>
          <w:color w:val="auto"/>
        </w:rPr>
      </w:pPr>
      <w:r>
        <w:rPr>
          <w:rFonts w:ascii="Arial" w:cs="Arial" w:eastAsia="Arial" w:hAnsi="Arial"/>
          <w:sz w:val="17"/>
          <w:szCs w:val="17"/>
          <w:i w:val="1"/>
          <w:iCs w:val="1"/>
          <w:color w:val="auto"/>
        </w:rPr>
        <w:t>Secretary</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Thousand Oaks, California</w:t>
      </w:r>
    </w:p>
    <w:p>
      <w:pPr>
        <w:ind w:left="120"/>
        <w:spacing w:after="0"/>
        <w:rPr>
          <w:sz w:val="20"/>
          <w:szCs w:val="20"/>
          <w:color w:val="auto"/>
        </w:rPr>
      </w:pPr>
      <w:r>
        <w:rPr>
          <w:rFonts w:ascii="Arial" w:cs="Arial" w:eastAsia="Arial" w:hAnsi="Arial"/>
          <w:sz w:val="17"/>
          <w:szCs w:val="17"/>
          <w:color w:val="auto"/>
        </w:rPr>
        <w:t>April 6, 2023</w:t>
      </w:r>
    </w:p>
    <w:p>
      <w:pPr>
        <w:sectPr>
          <w:pgSz w:w="11900" w:h="16838" w:orient="portrait"/>
          <w:cols w:equalWidth="0" w:num="1">
            <w:col w:w="11140"/>
          </w:cols>
          <w:pgMar w:left="320" w:top="486"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205740</wp:posOffset>
            </wp:positionV>
            <wp:extent cx="1276985"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6985" cy="214630"/>
                    </a:xfrm>
                    <a:prstGeom prst="rect">
                      <a:avLst/>
                    </a:prstGeom>
                    <a:noFill/>
                  </pic:spPr>
                </pic:pic>
              </a:graphicData>
            </a:graphic>
          </wp:anchor>
        </w:drawing>
      </w: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rPr>
        <w:t>Table of Contents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Table of Contents</w:t>
      </w:r>
    </w:p>
    <w:p>
      <w:pPr>
        <w:sectPr>
          <w:pgSz w:w="11900" w:h="16838" w:orient="portrait"/>
          <w:cols w:equalWidth="0" w:num="1">
            <w:col w:w="11140"/>
          </w:cols>
          <w:pgMar w:left="320" w:top="486" w:right="439" w:bottom="1440" w:gutter="0" w:footer="0" w:header="0"/>
        </w:sectPr>
      </w:pP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880" w:type="dxa"/>
            <w:vAlign w:val="bottom"/>
            <w:gridSpan w:val="32"/>
          </w:tcPr>
          <w:p>
            <w:pPr>
              <w:spacing w:after="0"/>
              <w:rPr>
                <w:sz w:val="20"/>
                <w:szCs w:val="20"/>
                <w:color w:val="auto"/>
              </w:rPr>
            </w:pPr>
            <w:r>
              <w:rPr>
                <w:rFonts w:ascii="Arial" w:cs="Arial" w:eastAsia="Arial" w:hAnsi="Arial"/>
                <w:sz w:val="17"/>
                <w:szCs w:val="17"/>
                <w:b w:val="1"/>
                <w:bCs w:val="1"/>
                <w:color w:val="0000EE"/>
              </w:rPr>
              <w:t>Proxy Statement Summary</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80" w:type="dxa"/>
            <w:vAlign w:val="bottom"/>
            <w:gridSpan w:val="32"/>
          </w:tcPr>
          <w:p>
            <w:pPr>
              <w:spacing w:after="0"/>
              <w:rPr>
                <w:sz w:val="20"/>
                <w:szCs w:val="20"/>
                <w:color w:val="auto"/>
              </w:rPr>
            </w:pPr>
            <w:r>
              <w:rPr>
                <w:rFonts w:ascii="Arial" w:cs="Arial" w:eastAsia="Arial" w:hAnsi="Arial"/>
                <w:sz w:val="17"/>
                <w:szCs w:val="17"/>
                <w:b w:val="1"/>
                <w:bCs w:val="1"/>
                <w:color w:val="0000EE"/>
              </w:rPr>
              <w:t>Item 1—Election of Directors</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rPr>
              <w:t>8</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80" w:type="dxa"/>
            <w:vAlign w:val="bottom"/>
            <w:gridSpan w:val="32"/>
          </w:tcPr>
          <w:p>
            <w:pPr>
              <w:spacing w:after="0"/>
              <w:rPr>
                <w:sz w:val="20"/>
                <w:szCs w:val="20"/>
                <w:color w:val="auto"/>
              </w:rPr>
            </w:pPr>
            <w:r>
              <w:rPr>
                <w:rFonts w:ascii="Arial" w:cs="Arial" w:eastAsia="Arial" w:hAnsi="Arial"/>
                <w:sz w:val="17"/>
                <w:szCs w:val="17"/>
                <w:b w:val="1"/>
                <w:bCs w:val="1"/>
                <w:color w:val="0000EE"/>
              </w:rPr>
              <w:t>Corporate Governance</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rPr>
              <w:t>17</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960" w:type="dxa"/>
            <w:vAlign w:val="bottom"/>
            <w:tcBorders>
              <w:bottom w:val="single" w:sz="8" w:color="0000EE"/>
            </w:tcBorders>
            <w:gridSpan w:val="24"/>
          </w:tcPr>
          <w:p>
            <w:pPr>
              <w:spacing w:after="0"/>
              <w:rPr>
                <w:sz w:val="20"/>
                <w:szCs w:val="20"/>
                <w:color w:val="auto"/>
              </w:rPr>
            </w:pPr>
            <w:r>
              <w:rPr>
                <w:rFonts w:ascii="Arial" w:cs="Arial" w:eastAsia="Arial" w:hAnsi="Arial"/>
                <w:sz w:val="17"/>
                <w:szCs w:val="17"/>
                <w:color w:val="0000EE"/>
                <w:w w:val="99"/>
              </w:rPr>
              <w:t>Board of Directors Corporate Governance Highlights</w:t>
            </w:r>
          </w:p>
        </w:tc>
        <w:tc>
          <w:tcPr>
            <w:tcW w:w="700" w:type="dxa"/>
            <w:vAlign w:val="bottom"/>
            <w:gridSpan w:val="7"/>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77"/>
        </w:trPr>
        <w:tc>
          <w:tcPr>
            <w:tcW w:w="220" w:type="dxa"/>
            <w:vAlign w:val="bottom"/>
          </w:tcPr>
          <w:p>
            <w:pPr>
              <w:spacing w:after="0"/>
              <w:rPr>
                <w:sz w:val="24"/>
                <w:szCs w:val="24"/>
                <w:color w:val="auto"/>
              </w:rPr>
            </w:pPr>
          </w:p>
        </w:tc>
        <w:tc>
          <w:tcPr>
            <w:tcW w:w="4660" w:type="dxa"/>
            <w:vAlign w:val="bottom"/>
            <w:gridSpan w:val="31"/>
          </w:tcPr>
          <w:p>
            <w:pPr>
              <w:spacing w:after="0"/>
              <w:rPr>
                <w:sz w:val="20"/>
                <w:szCs w:val="20"/>
                <w:color w:val="auto"/>
              </w:rPr>
            </w:pPr>
            <w:r>
              <w:rPr>
                <w:rFonts w:ascii="Arial" w:cs="Arial" w:eastAsia="Arial" w:hAnsi="Arial"/>
                <w:sz w:val="17"/>
                <w:szCs w:val="17"/>
                <w:color w:val="0000EE"/>
              </w:rPr>
              <w:t>Board Leadership Structure</w:t>
            </w:r>
          </w:p>
        </w:tc>
        <w:tc>
          <w:tcPr>
            <w:tcW w:w="40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2660" w:type="dxa"/>
            <w:vAlign w:val="bottom"/>
            <w:tcBorders>
              <w:bottom w:val="single" w:sz="8" w:color="0000EE"/>
            </w:tcBorders>
            <w:gridSpan w:val="17"/>
          </w:tcPr>
          <w:p>
            <w:pPr>
              <w:spacing w:after="0"/>
              <w:rPr>
                <w:sz w:val="20"/>
                <w:szCs w:val="20"/>
                <w:color w:val="auto"/>
              </w:rPr>
            </w:pPr>
            <w:r>
              <w:rPr>
                <w:rFonts w:ascii="Arial" w:cs="Arial" w:eastAsia="Arial" w:hAnsi="Arial"/>
                <w:sz w:val="17"/>
                <w:szCs w:val="17"/>
                <w:color w:val="0000EE"/>
                <w:w w:val="99"/>
              </w:rPr>
              <w:t>The Board’s Role in Risk Oversight</w:t>
            </w:r>
          </w:p>
        </w:tc>
        <w:tc>
          <w:tcPr>
            <w:tcW w:w="2000" w:type="dxa"/>
            <w:vAlign w:val="bottom"/>
            <w:gridSpan w:val="1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77"/>
        </w:trPr>
        <w:tc>
          <w:tcPr>
            <w:tcW w:w="220" w:type="dxa"/>
            <w:vAlign w:val="bottom"/>
          </w:tcPr>
          <w:p>
            <w:pPr>
              <w:spacing w:after="0"/>
              <w:rPr>
                <w:sz w:val="24"/>
                <w:szCs w:val="24"/>
                <w:color w:val="auto"/>
              </w:rPr>
            </w:pPr>
          </w:p>
        </w:tc>
        <w:tc>
          <w:tcPr>
            <w:tcW w:w="4660" w:type="dxa"/>
            <w:vAlign w:val="bottom"/>
            <w:gridSpan w:val="31"/>
          </w:tcPr>
          <w:p>
            <w:pPr>
              <w:spacing w:after="0"/>
              <w:rPr>
                <w:sz w:val="20"/>
                <w:szCs w:val="20"/>
                <w:color w:val="auto"/>
              </w:rPr>
            </w:pPr>
            <w:r>
              <w:rPr>
                <w:rFonts w:ascii="Arial" w:cs="Arial" w:eastAsia="Arial" w:hAnsi="Arial"/>
                <w:sz w:val="17"/>
                <w:szCs w:val="17"/>
                <w:color w:val="0000EE"/>
              </w:rPr>
              <w:t>Codes of Business Conduct</w:t>
            </w:r>
          </w:p>
        </w:tc>
        <w:tc>
          <w:tcPr>
            <w:tcW w:w="40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77"/>
        </w:trPr>
        <w:tc>
          <w:tcPr>
            <w:tcW w:w="220" w:type="dxa"/>
            <w:vAlign w:val="bottom"/>
          </w:tcPr>
          <w:p>
            <w:pPr>
              <w:spacing w:after="0"/>
              <w:rPr>
                <w:sz w:val="24"/>
                <w:szCs w:val="24"/>
                <w:color w:val="auto"/>
              </w:rPr>
            </w:pPr>
          </w:p>
        </w:tc>
        <w:tc>
          <w:tcPr>
            <w:tcW w:w="120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7"/>
                <w:szCs w:val="17"/>
                <w:color w:val="0000EE"/>
                <w:w w:val="99"/>
              </w:rPr>
              <w:t>Board Meetings</w:t>
            </w:r>
          </w:p>
        </w:tc>
        <w:tc>
          <w:tcPr>
            <w:tcW w:w="900" w:type="dxa"/>
            <w:vAlign w:val="bottom"/>
            <w:tcBorders>
              <w:top w:val="single" w:sz="8" w:color="0000EE"/>
            </w:tcBorders>
            <w:gridSpan w:val="6"/>
          </w:tcPr>
          <w:p>
            <w:pPr>
              <w:spacing w:after="0"/>
              <w:rPr>
                <w:sz w:val="24"/>
                <w:szCs w:val="24"/>
                <w:color w:val="auto"/>
              </w:rPr>
            </w:pPr>
          </w:p>
        </w:tc>
        <w:tc>
          <w:tcPr>
            <w:tcW w:w="2560" w:type="dxa"/>
            <w:vAlign w:val="bottom"/>
            <w:gridSpan w:val="20"/>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77"/>
        </w:trPr>
        <w:tc>
          <w:tcPr>
            <w:tcW w:w="220" w:type="dxa"/>
            <w:vAlign w:val="bottom"/>
          </w:tcPr>
          <w:p>
            <w:pPr>
              <w:spacing w:after="0"/>
              <w:rPr>
                <w:sz w:val="24"/>
                <w:szCs w:val="24"/>
                <w:color w:val="auto"/>
              </w:rPr>
            </w:pPr>
          </w:p>
        </w:tc>
        <w:tc>
          <w:tcPr>
            <w:tcW w:w="4660" w:type="dxa"/>
            <w:vAlign w:val="bottom"/>
            <w:gridSpan w:val="31"/>
          </w:tcPr>
          <w:p>
            <w:pPr>
              <w:spacing w:after="0"/>
              <w:rPr>
                <w:sz w:val="20"/>
                <w:szCs w:val="20"/>
                <w:color w:val="auto"/>
              </w:rPr>
            </w:pPr>
            <w:r>
              <w:rPr>
                <w:rFonts w:ascii="Arial" w:cs="Arial" w:eastAsia="Arial" w:hAnsi="Arial"/>
                <w:sz w:val="17"/>
                <w:szCs w:val="17"/>
                <w:color w:val="0000EE"/>
              </w:rPr>
              <w:t>Communication with the Board</w:t>
            </w:r>
          </w:p>
        </w:tc>
        <w:tc>
          <w:tcPr>
            <w:tcW w:w="40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4660" w:type="dxa"/>
            <w:vAlign w:val="bottom"/>
            <w:gridSpan w:val="31"/>
          </w:tcPr>
          <w:p>
            <w:pPr>
              <w:spacing w:after="0"/>
              <w:rPr>
                <w:sz w:val="20"/>
                <w:szCs w:val="20"/>
                <w:color w:val="auto"/>
              </w:rPr>
            </w:pPr>
            <w:r>
              <w:rPr>
                <w:rFonts w:ascii="Arial" w:cs="Arial" w:eastAsia="Arial" w:hAnsi="Arial"/>
                <w:sz w:val="17"/>
                <w:szCs w:val="17"/>
                <w:color w:val="0000EE"/>
              </w:rPr>
              <w:t>Board Committees and Charters</w:t>
            </w:r>
          </w:p>
        </w:tc>
        <w:tc>
          <w:tcPr>
            <w:tcW w:w="40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4660" w:type="dxa"/>
            <w:vAlign w:val="bottom"/>
            <w:gridSpan w:val="31"/>
          </w:tcPr>
          <w:p>
            <w:pPr>
              <w:spacing w:after="0"/>
              <w:rPr>
                <w:sz w:val="20"/>
                <w:szCs w:val="20"/>
                <w:color w:val="auto"/>
              </w:rPr>
            </w:pPr>
            <w:r>
              <w:rPr>
                <w:rFonts w:ascii="Arial" w:cs="Arial" w:eastAsia="Arial" w:hAnsi="Arial"/>
                <w:sz w:val="17"/>
                <w:szCs w:val="17"/>
                <w:color w:val="0000EE"/>
              </w:rPr>
              <w:t>Governance and Nominating Committee</w:t>
            </w:r>
          </w:p>
        </w:tc>
        <w:tc>
          <w:tcPr>
            <w:tcW w:w="40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4660" w:type="dxa"/>
            <w:vAlign w:val="bottom"/>
            <w:gridSpan w:val="31"/>
          </w:tcPr>
          <w:p>
            <w:pPr>
              <w:spacing w:after="0"/>
              <w:rPr>
                <w:sz w:val="20"/>
                <w:szCs w:val="20"/>
                <w:color w:val="auto"/>
              </w:rPr>
            </w:pPr>
            <w:r>
              <w:rPr>
                <w:rFonts w:ascii="Arial" w:cs="Arial" w:eastAsia="Arial" w:hAnsi="Arial"/>
                <w:sz w:val="17"/>
                <w:szCs w:val="17"/>
                <w:color w:val="0000EE"/>
              </w:rPr>
              <w:t>Summary of Current Director Core Experiences and Skills</w:t>
            </w:r>
          </w:p>
        </w:tc>
        <w:tc>
          <w:tcPr>
            <w:tcW w:w="40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4660" w:type="dxa"/>
            <w:vAlign w:val="bottom"/>
            <w:gridSpan w:val="31"/>
          </w:tcPr>
          <w:p>
            <w:pPr>
              <w:spacing w:after="0"/>
              <w:rPr>
                <w:sz w:val="20"/>
                <w:szCs w:val="20"/>
                <w:color w:val="auto"/>
              </w:rPr>
            </w:pPr>
            <w:r>
              <w:rPr>
                <w:rFonts w:ascii="Arial" w:cs="Arial" w:eastAsia="Arial" w:hAnsi="Arial"/>
                <w:sz w:val="17"/>
                <w:szCs w:val="17"/>
                <w:color w:val="0000EE"/>
              </w:rPr>
              <w:t>Process for Selecting Directors, Director Qualifications, and</w:t>
            </w:r>
          </w:p>
        </w:tc>
        <w:tc>
          <w:tcPr>
            <w:tcW w:w="400" w:type="dxa"/>
            <w:vAlign w:val="bottom"/>
            <w:vMerge w:val="restart"/>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160" w:type="dxa"/>
            <w:vAlign w:val="bottom"/>
            <w:tcBorders>
              <w:top w:val="single" w:sz="8" w:color="0000EE"/>
              <w:bottom w:val="single" w:sz="8" w:color="0000EE"/>
            </w:tcBorders>
            <w:gridSpan w:val="4"/>
          </w:tcPr>
          <w:p>
            <w:pPr>
              <w:spacing w:after="0" w:line="169" w:lineRule="exact"/>
              <w:rPr>
                <w:sz w:val="20"/>
                <w:szCs w:val="20"/>
                <w:color w:val="auto"/>
              </w:rPr>
            </w:pPr>
            <w:r>
              <w:rPr>
                <w:rFonts w:ascii="Arial" w:cs="Arial" w:eastAsia="Arial" w:hAnsi="Arial"/>
                <w:sz w:val="17"/>
                <w:szCs w:val="17"/>
                <w:color w:val="0000EE"/>
                <w:w w:val="98"/>
              </w:rPr>
              <w:t>Board Diversity</w:t>
            </w:r>
          </w:p>
        </w:tc>
        <w:tc>
          <w:tcPr>
            <w:tcW w:w="3320" w:type="dxa"/>
            <w:vAlign w:val="bottom"/>
            <w:tcBorders>
              <w:top w:val="single" w:sz="8" w:color="0000EE"/>
            </w:tcBorders>
            <w:gridSpan w:val="26"/>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20" w:type="dxa"/>
            <w:vAlign w:val="bottom"/>
          </w:tcPr>
          <w:p>
            <w:pPr>
              <w:spacing w:after="0"/>
              <w:rPr>
                <w:sz w:val="24"/>
                <w:szCs w:val="24"/>
                <w:color w:val="auto"/>
              </w:rPr>
            </w:pPr>
          </w:p>
        </w:tc>
        <w:tc>
          <w:tcPr>
            <w:tcW w:w="3240" w:type="dxa"/>
            <w:vAlign w:val="bottom"/>
            <w:tcBorders>
              <w:bottom w:val="single" w:sz="8" w:color="0000EE"/>
            </w:tcBorders>
            <w:gridSpan w:val="19"/>
          </w:tcPr>
          <w:p>
            <w:pPr>
              <w:spacing w:after="0"/>
              <w:rPr>
                <w:sz w:val="20"/>
                <w:szCs w:val="20"/>
                <w:color w:val="auto"/>
              </w:rPr>
            </w:pPr>
            <w:r>
              <w:rPr>
                <w:rFonts w:ascii="Arial" w:cs="Arial" w:eastAsia="Arial" w:hAnsi="Arial"/>
                <w:sz w:val="17"/>
                <w:szCs w:val="17"/>
                <w:color w:val="0000EE"/>
                <w:w w:val="99"/>
              </w:rPr>
              <w:t>Regular Board and Committee Evaluations</w:t>
            </w:r>
          </w:p>
        </w:tc>
        <w:tc>
          <w:tcPr>
            <w:tcW w:w="1420" w:type="dxa"/>
            <w:vAlign w:val="bottom"/>
            <w:gridSpan w:val="1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77"/>
        </w:trPr>
        <w:tc>
          <w:tcPr>
            <w:tcW w:w="220" w:type="dxa"/>
            <w:vAlign w:val="bottom"/>
          </w:tcPr>
          <w:p>
            <w:pPr>
              <w:spacing w:after="0"/>
              <w:rPr>
                <w:sz w:val="24"/>
                <w:szCs w:val="24"/>
                <w:color w:val="auto"/>
              </w:rPr>
            </w:pPr>
          </w:p>
        </w:tc>
        <w:tc>
          <w:tcPr>
            <w:tcW w:w="4660" w:type="dxa"/>
            <w:vAlign w:val="bottom"/>
            <w:gridSpan w:val="31"/>
          </w:tcPr>
          <w:p>
            <w:pPr>
              <w:spacing w:after="0"/>
              <w:rPr>
                <w:sz w:val="20"/>
                <w:szCs w:val="20"/>
                <w:color w:val="auto"/>
              </w:rPr>
            </w:pPr>
            <w:r>
              <w:rPr>
                <w:rFonts w:ascii="Arial" w:cs="Arial" w:eastAsia="Arial" w:hAnsi="Arial"/>
                <w:sz w:val="17"/>
                <w:szCs w:val="17"/>
                <w:color w:val="0000EE"/>
              </w:rPr>
              <w:t>Director Independence</w:t>
            </w:r>
          </w:p>
        </w:tc>
        <w:tc>
          <w:tcPr>
            <w:tcW w:w="40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4660" w:type="dxa"/>
            <w:vAlign w:val="bottom"/>
            <w:gridSpan w:val="31"/>
          </w:tcPr>
          <w:p>
            <w:pPr>
              <w:spacing w:after="0"/>
              <w:rPr>
                <w:sz w:val="20"/>
                <w:szCs w:val="20"/>
                <w:color w:val="auto"/>
              </w:rPr>
            </w:pPr>
            <w:r>
              <w:rPr>
                <w:rFonts w:ascii="Arial" w:cs="Arial" w:eastAsia="Arial" w:hAnsi="Arial"/>
                <w:sz w:val="17"/>
                <w:szCs w:val="17"/>
                <w:color w:val="0000EE"/>
              </w:rPr>
              <w:t>Governance Committee Processes and Procedures for</w:t>
            </w:r>
          </w:p>
        </w:tc>
        <w:tc>
          <w:tcPr>
            <w:tcW w:w="400" w:type="dxa"/>
            <w:vAlign w:val="bottom"/>
            <w:vMerge w:val="restart"/>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020" w:type="dxa"/>
            <w:vAlign w:val="bottom"/>
            <w:tcBorders>
              <w:top w:val="single" w:sz="8" w:color="0000EE"/>
              <w:bottom w:val="single" w:sz="8" w:color="0000EE"/>
            </w:tcBorders>
            <w:gridSpan w:val="26"/>
          </w:tcPr>
          <w:p>
            <w:pPr>
              <w:spacing w:after="0" w:line="169" w:lineRule="exact"/>
              <w:rPr>
                <w:sz w:val="20"/>
                <w:szCs w:val="20"/>
                <w:color w:val="auto"/>
              </w:rPr>
            </w:pPr>
            <w:r>
              <w:rPr>
                <w:rFonts w:ascii="Arial" w:cs="Arial" w:eastAsia="Arial" w:hAnsi="Arial"/>
                <w:sz w:val="17"/>
                <w:szCs w:val="17"/>
                <w:color w:val="0000EE"/>
              </w:rPr>
              <w:t>Considering and Determining Director Compensation</w:t>
            </w:r>
          </w:p>
        </w:tc>
        <w:tc>
          <w:tcPr>
            <w:tcW w:w="120" w:type="dxa"/>
            <w:vAlign w:val="bottom"/>
            <w:tcBorders>
              <w:top w:val="single" w:sz="8" w:color="0000EE"/>
            </w:tcBorders>
          </w:tcPr>
          <w:p>
            <w:pPr>
              <w:spacing w:after="0"/>
              <w:rPr>
                <w:sz w:val="14"/>
                <w:szCs w:val="14"/>
                <w:color w:val="auto"/>
              </w:rPr>
            </w:pPr>
          </w:p>
        </w:tc>
        <w:tc>
          <w:tcPr>
            <w:tcW w:w="520" w:type="dxa"/>
            <w:vAlign w:val="bottom"/>
            <w:gridSpan w:val="4"/>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20" w:type="dxa"/>
            <w:vAlign w:val="bottom"/>
          </w:tcPr>
          <w:p>
            <w:pPr>
              <w:spacing w:after="0"/>
              <w:rPr>
                <w:sz w:val="24"/>
                <w:szCs w:val="24"/>
                <w:color w:val="auto"/>
              </w:rPr>
            </w:pPr>
          </w:p>
        </w:tc>
        <w:tc>
          <w:tcPr>
            <w:tcW w:w="126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w w:val="98"/>
              </w:rPr>
              <w:t>Audit Committee</w:t>
            </w:r>
          </w:p>
        </w:tc>
        <w:tc>
          <w:tcPr>
            <w:tcW w:w="3400" w:type="dxa"/>
            <w:vAlign w:val="bottom"/>
            <w:gridSpan w:val="2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77"/>
        </w:trPr>
        <w:tc>
          <w:tcPr>
            <w:tcW w:w="220" w:type="dxa"/>
            <w:vAlign w:val="bottom"/>
          </w:tcPr>
          <w:p>
            <w:pPr>
              <w:spacing w:after="0"/>
              <w:rPr>
                <w:sz w:val="24"/>
                <w:szCs w:val="24"/>
                <w:color w:val="auto"/>
              </w:rPr>
            </w:pPr>
          </w:p>
        </w:tc>
        <w:tc>
          <w:tcPr>
            <w:tcW w:w="4020" w:type="dxa"/>
            <w:vAlign w:val="bottom"/>
            <w:tcBorders>
              <w:bottom w:val="single" w:sz="8" w:color="0000EE"/>
            </w:tcBorders>
            <w:gridSpan w:val="26"/>
          </w:tcPr>
          <w:p>
            <w:pPr>
              <w:spacing w:after="0"/>
              <w:rPr>
                <w:sz w:val="20"/>
                <w:szCs w:val="20"/>
                <w:color w:val="auto"/>
              </w:rPr>
            </w:pPr>
            <w:r>
              <w:rPr>
                <w:rFonts w:ascii="Arial" w:cs="Arial" w:eastAsia="Arial" w:hAnsi="Arial"/>
                <w:sz w:val="17"/>
                <w:szCs w:val="17"/>
                <w:color w:val="0000EE"/>
              </w:rPr>
              <w:t>Corporate Responsibility and Compliance Committee</w:t>
            </w:r>
          </w:p>
        </w:tc>
        <w:tc>
          <w:tcPr>
            <w:tcW w:w="64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77"/>
        </w:trPr>
        <w:tc>
          <w:tcPr>
            <w:tcW w:w="220" w:type="dxa"/>
            <w:vAlign w:val="bottom"/>
          </w:tcPr>
          <w:p>
            <w:pPr>
              <w:spacing w:after="0"/>
              <w:rPr>
                <w:sz w:val="24"/>
                <w:szCs w:val="24"/>
                <w:color w:val="auto"/>
              </w:rPr>
            </w:pPr>
          </w:p>
        </w:tc>
        <w:tc>
          <w:tcPr>
            <w:tcW w:w="4660" w:type="dxa"/>
            <w:vAlign w:val="bottom"/>
            <w:gridSpan w:val="31"/>
          </w:tcPr>
          <w:p>
            <w:pPr>
              <w:spacing w:after="0"/>
              <w:rPr>
                <w:sz w:val="20"/>
                <w:szCs w:val="20"/>
                <w:color w:val="auto"/>
              </w:rPr>
            </w:pPr>
            <w:r>
              <w:rPr>
                <w:rFonts w:ascii="Arial" w:cs="Arial" w:eastAsia="Arial" w:hAnsi="Arial"/>
                <w:sz w:val="17"/>
                <w:szCs w:val="17"/>
                <w:color w:val="0000EE"/>
              </w:rPr>
              <w:t>About Our Compliance Program</w:t>
            </w:r>
          </w:p>
        </w:tc>
        <w:tc>
          <w:tcPr>
            <w:tcW w:w="40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4000" w:type="dxa"/>
            <w:vAlign w:val="bottom"/>
            <w:tcBorders>
              <w:bottom w:val="single" w:sz="8" w:color="0000EE"/>
            </w:tcBorders>
            <w:gridSpan w:val="25"/>
          </w:tcPr>
          <w:p>
            <w:pPr>
              <w:spacing w:after="0"/>
              <w:rPr>
                <w:sz w:val="20"/>
                <w:szCs w:val="20"/>
                <w:color w:val="auto"/>
              </w:rPr>
            </w:pPr>
            <w:r>
              <w:rPr>
                <w:rFonts w:ascii="Arial" w:cs="Arial" w:eastAsia="Arial" w:hAnsi="Arial"/>
                <w:sz w:val="17"/>
                <w:szCs w:val="17"/>
                <w:color w:val="0000EE"/>
                <w:w w:val="99"/>
              </w:rPr>
              <w:t>Our Approach to Environmental Sustainability, Social</w:t>
            </w:r>
          </w:p>
        </w:tc>
        <w:tc>
          <w:tcPr>
            <w:tcW w:w="660" w:type="dxa"/>
            <w:vAlign w:val="bottom"/>
            <w:gridSpan w:val="6"/>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3640" w:type="dxa"/>
            <w:vAlign w:val="bottom"/>
            <w:tcBorders>
              <w:bottom w:val="single" w:sz="8" w:color="0000EE"/>
            </w:tcBorders>
            <w:gridSpan w:val="20"/>
          </w:tcPr>
          <w:p>
            <w:pPr>
              <w:spacing w:after="0" w:line="169" w:lineRule="exact"/>
              <w:rPr>
                <w:sz w:val="20"/>
                <w:szCs w:val="20"/>
                <w:color w:val="auto"/>
              </w:rPr>
            </w:pPr>
            <w:r>
              <w:rPr>
                <w:rFonts w:ascii="Arial" w:cs="Arial" w:eastAsia="Arial" w:hAnsi="Arial"/>
                <w:sz w:val="17"/>
                <w:szCs w:val="17"/>
                <w:color w:val="0000EE"/>
                <w:w w:val="99"/>
              </w:rPr>
              <w:t>Responsibility, and Human Capital Management</w:t>
            </w:r>
          </w:p>
        </w:tc>
        <w:tc>
          <w:tcPr>
            <w:tcW w:w="1020" w:type="dxa"/>
            <w:vAlign w:val="bottom"/>
            <w:gridSpan w:val="11"/>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20" w:type="dxa"/>
            <w:vAlign w:val="bottom"/>
          </w:tcPr>
          <w:p>
            <w:pPr>
              <w:spacing w:after="0"/>
              <w:rPr>
                <w:sz w:val="24"/>
                <w:szCs w:val="24"/>
                <w:color w:val="auto"/>
              </w:rPr>
            </w:pPr>
          </w:p>
        </w:tc>
        <w:tc>
          <w:tcPr>
            <w:tcW w:w="4660" w:type="dxa"/>
            <w:vAlign w:val="bottom"/>
            <w:gridSpan w:val="31"/>
          </w:tcPr>
          <w:p>
            <w:pPr>
              <w:spacing w:after="0"/>
              <w:rPr>
                <w:sz w:val="20"/>
                <w:szCs w:val="20"/>
                <w:color w:val="auto"/>
              </w:rPr>
            </w:pPr>
            <w:r>
              <w:rPr>
                <w:rFonts w:ascii="Arial" w:cs="Arial" w:eastAsia="Arial" w:hAnsi="Arial"/>
                <w:sz w:val="17"/>
                <w:szCs w:val="17"/>
                <w:color w:val="0000EE"/>
              </w:rPr>
              <w:t>Compensation and Management Development Committee</w:t>
            </w:r>
          </w:p>
        </w:tc>
        <w:tc>
          <w:tcPr>
            <w:tcW w:w="40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77"/>
        </w:trPr>
        <w:tc>
          <w:tcPr>
            <w:tcW w:w="220" w:type="dxa"/>
            <w:vAlign w:val="bottom"/>
          </w:tcPr>
          <w:p>
            <w:pPr>
              <w:spacing w:after="0"/>
              <w:rPr>
                <w:sz w:val="24"/>
                <w:szCs w:val="24"/>
                <w:color w:val="auto"/>
              </w:rPr>
            </w:pPr>
          </w:p>
        </w:tc>
        <w:tc>
          <w:tcPr>
            <w:tcW w:w="4320" w:type="dxa"/>
            <w:vAlign w:val="bottom"/>
            <w:tcBorders>
              <w:top w:val="single" w:sz="8" w:color="0000EE"/>
              <w:bottom w:val="single" w:sz="8" w:color="0000EE"/>
            </w:tcBorders>
            <w:gridSpan w:val="28"/>
          </w:tcPr>
          <w:p>
            <w:pPr>
              <w:spacing w:after="0"/>
              <w:rPr>
                <w:sz w:val="20"/>
                <w:szCs w:val="20"/>
                <w:color w:val="auto"/>
              </w:rPr>
            </w:pPr>
            <w:r>
              <w:rPr>
                <w:rFonts w:ascii="Arial" w:cs="Arial" w:eastAsia="Arial" w:hAnsi="Arial"/>
                <w:sz w:val="17"/>
                <w:szCs w:val="17"/>
                <w:color w:val="0000EE"/>
                <w:w w:val="99"/>
              </w:rPr>
              <w:t>Compensation Committee Processes and Procedures for</w:t>
            </w:r>
          </w:p>
        </w:tc>
        <w:tc>
          <w:tcPr>
            <w:tcW w:w="80" w:type="dxa"/>
            <w:vAlign w:val="bottom"/>
            <w:tcBorders>
              <w:top w:val="single" w:sz="8" w:color="0000EE"/>
            </w:tcBorders>
          </w:tcPr>
          <w:p>
            <w:pPr>
              <w:spacing w:after="0"/>
              <w:rPr>
                <w:sz w:val="24"/>
                <w:szCs w:val="24"/>
                <w:color w:val="auto"/>
              </w:rPr>
            </w:pPr>
          </w:p>
        </w:tc>
        <w:tc>
          <w:tcPr>
            <w:tcW w:w="26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660" w:type="dxa"/>
            <w:vAlign w:val="bottom"/>
            <w:gridSpan w:val="31"/>
          </w:tcPr>
          <w:p>
            <w:pPr>
              <w:spacing w:after="0" w:line="169" w:lineRule="exact"/>
              <w:rPr>
                <w:sz w:val="20"/>
                <w:szCs w:val="20"/>
                <w:color w:val="auto"/>
              </w:rPr>
            </w:pPr>
            <w:r>
              <w:rPr>
                <w:rFonts w:ascii="Arial" w:cs="Arial" w:eastAsia="Arial" w:hAnsi="Arial"/>
                <w:sz w:val="17"/>
                <w:szCs w:val="17"/>
                <w:color w:val="0000EE"/>
              </w:rPr>
              <w:t>Considering and Determining Executive Compensation in</w:t>
            </w:r>
          </w:p>
        </w:tc>
        <w:tc>
          <w:tcPr>
            <w:tcW w:w="400" w:type="dxa"/>
            <w:vAlign w:val="bottom"/>
            <w:vMerge w:val="restart"/>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0" w:type="dxa"/>
            <w:vAlign w:val="bottom"/>
            <w:gridSpan w:val="2"/>
          </w:tcPr>
          <w:p>
            <w:pPr>
              <w:ind w:left="220"/>
              <w:spacing w:after="0" w:line="169" w:lineRule="exact"/>
              <w:rPr>
                <w:sz w:val="20"/>
                <w:szCs w:val="20"/>
                <w:color w:val="auto"/>
              </w:rPr>
            </w:pPr>
            <w:r>
              <w:rPr>
                <w:rFonts w:ascii="Arial" w:cs="Arial" w:eastAsia="Arial" w:hAnsi="Arial"/>
                <w:sz w:val="17"/>
                <w:szCs w:val="17"/>
                <w:color w:val="0000EE"/>
                <w:w w:val="95"/>
              </w:rPr>
              <w:t>2022</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4660" w:type="dxa"/>
            <w:vAlign w:val="bottom"/>
            <w:gridSpan w:val="31"/>
          </w:tcPr>
          <w:p>
            <w:pPr>
              <w:spacing w:after="0"/>
              <w:rPr>
                <w:sz w:val="20"/>
                <w:szCs w:val="20"/>
                <w:color w:val="auto"/>
              </w:rPr>
            </w:pPr>
            <w:r>
              <w:rPr>
                <w:rFonts w:ascii="Arial" w:cs="Arial" w:eastAsia="Arial" w:hAnsi="Arial"/>
                <w:sz w:val="17"/>
                <w:szCs w:val="17"/>
                <w:color w:val="0000EE"/>
              </w:rPr>
              <w:t>Compensation Risk Management</w:t>
            </w:r>
          </w:p>
        </w:tc>
        <w:tc>
          <w:tcPr>
            <w:tcW w:w="40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77"/>
        </w:trPr>
        <w:tc>
          <w:tcPr>
            <w:tcW w:w="220" w:type="dxa"/>
            <w:vAlign w:val="bottom"/>
          </w:tcPr>
          <w:p>
            <w:pPr>
              <w:spacing w:after="0"/>
              <w:rPr>
                <w:sz w:val="24"/>
                <w:szCs w:val="24"/>
                <w:color w:val="auto"/>
              </w:rPr>
            </w:pPr>
          </w:p>
        </w:tc>
        <w:tc>
          <w:tcPr>
            <w:tcW w:w="2520" w:type="dxa"/>
            <w:vAlign w:val="bottom"/>
            <w:tcBorders>
              <w:top w:val="single" w:sz="8" w:color="0000EE"/>
            </w:tcBorders>
            <w:gridSpan w:val="15"/>
          </w:tcPr>
          <w:p>
            <w:pPr>
              <w:spacing w:after="0"/>
              <w:rPr>
                <w:sz w:val="20"/>
                <w:szCs w:val="20"/>
                <w:color w:val="auto"/>
              </w:rPr>
            </w:pPr>
            <w:r>
              <w:rPr>
                <w:rFonts w:ascii="Arial" w:cs="Arial" w:eastAsia="Arial" w:hAnsi="Arial"/>
                <w:sz w:val="17"/>
                <w:szCs w:val="17"/>
                <w:color w:val="0000EE"/>
              </w:rPr>
              <w:t>Prohibition on Hedging</w:t>
            </w:r>
          </w:p>
        </w:tc>
        <w:tc>
          <w:tcPr>
            <w:tcW w:w="2140" w:type="dxa"/>
            <w:vAlign w:val="bottom"/>
            <w:gridSpan w:val="16"/>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77"/>
        </w:trPr>
        <w:tc>
          <w:tcPr>
            <w:tcW w:w="220" w:type="dxa"/>
            <w:vAlign w:val="bottom"/>
          </w:tcPr>
          <w:p>
            <w:pPr>
              <w:spacing w:after="0"/>
              <w:rPr>
                <w:sz w:val="24"/>
                <w:szCs w:val="24"/>
                <w:color w:val="auto"/>
              </w:rPr>
            </w:pPr>
          </w:p>
        </w:tc>
        <w:tc>
          <w:tcPr>
            <w:tcW w:w="7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7"/>
                <w:szCs w:val="17"/>
                <w:color w:val="0000EE"/>
                <w:w w:val="97"/>
              </w:rPr>
              <w:t>Pay Ratio</w:t>
            </w:r>
          </w:p>
        </w:tc>
        <w:tc>
          <w:tcPr>
            <w:tcW w:w="980" w:type="dxa"/>
            <w:vAlign w:val="bottom"/>
            <w:tcBorders>
              <w:top w:val="single" w:sz="8" w:color="0000EE"/>
            </w:tcBorders>
            <w:gridSpan w:val="6"/>
          </w:tcPr>
          <w:p>
            <w:pPr>
              <w:spacing w:after="0"/>
              <w:rPr>
                <w:sz w:val="24"/>
                <w:szCs w:val="24"/>
                <w:color w:val="auto"/>
              </w:rPr>
            </w:pPr>
          </w:p>
        </w:tc>
        <w:tc>
          <w:tcPr>
            <w:tcW w:w="2940" w:type="dxa"/>
            <w:vAlign w:val="bottom"/>
            <w:gridSpan w:val="2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77"/>
        </w:trPr>
        <w:tc>
          <w:tcPr>
            <w:tcW w:w="220" w:type="dxa"/>
            <w:vAlign w:val="bottom"/>
          </w:tcPr>
          <w:p>
            <w:pPr>
              <w:spacing w:after="0"/>
              <w:rPr>
                <w:sz w:val="24"/>
                <w:szCs w:val="24"/>
                <w:color w:val="auto"/>
              </w:rPr>
            </w:pPr>
          </w:p>
        </w:tc>
        <w:tc>
          <w:tcPr>
            <w:tcW w:w="2540" w:type="dxa"/>
            <w:vAlign w:val="bottom"/>
            <w:tcBorders>
              <w:bottom w:val="single" w:sz="8" w:color="0000EE"/>
            </w:tcBorders>
            <w:gridSpan w:val="16"/>
          </w:tcPr>
          <w:p>
            <w:pPr>
              <w:spacing w:after="0"/>
              <w:rPr>
                <w:sz w:val="20"/>
                <w:szCs w:val="20"/>
                <w:color w:val="auto"/>
              </w:rPr>
            </w:pPr>
            <w:r>
              <w:rPr>
                <w:rFonts w:ascii="Arial" w:cs="Arial" w:eastAsia="Arial" w:hAnsi="Arial"/>
                <w:sz w:val="17"/>
                <w:szCs w:val="17"/>
                <w:color w:val="0000EE"/>
                <w:w w:val="99"/>
              </w:rPr>
              <w:t>Compensation Committee Report</w:t>
            </w:r>
          </w:p>
        </w:tc>
        <w:tc>
          <w:tcPr>
            <w:tcW w:w="2120" w:type="dxa"/>
            <w:vAlign w:val="bottom"/>
            <w:gridSpan w:val="1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344"/>
        </w:trPr>
        <w:tc>
          <w:tcPr>
            <w:tcW w:w="4880" w:type="dxa"/>
            <w:vAlign w:val="bottom"/>
            <w:gridSpan w:val="32"/>
          </w:tcPr>
          <w:p>
            <w:pPr>
              <w:spacing w:after="0"/>
              <w:rPr>
                <w:sz w:val="20"/>
                <w:szCs w:val="20"/>
                <w:color w:val="auto"/>
              </w:rPr>
            </w:pPr>
            <w:r>
              <w:rPr>
                <w:rFonts w:ascii="Arial" w:cs="Arial" w:eastAsia="Arial" w:hAnsi="Arial"/>
                <w:sz w:val="17"/>
                <w:szCs w:val="17"/>
                <w:b w:val="1"/>
                <w:bCs w:val="1"/>
                <w:color w:val="0000EE"/>
              </w:rPr>
              <w:t>Item 2—Advisory Vote on the Frequency of Future</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60" w:type="dxa"/>
            <w:vAlign w:val="bottom"/>
            <w:tcBorders>
              <w:top w:val="single" w:sz="8" w:color="0000EE"/>
              <w:bottom w:val="single" w:sz="8" w:color="0000EE"/>
            </w:tcBorders>
            <w:gridSpan w:val="23"/>
          </w:tcPr>
          <w:p>
            <w:pPr>
              <w:spacing w:after="0" w:line="169" w:lineRule="exact"/>
              <w:rPr>
                <w:sz w:val="20"/>
                <w:szCs w:val="20"/>
                <w:color w:val="auto"/>
              </w:rPr>
            </w:pPr>
            <w:r>
              <w:rPr>
                <w:rFonts w:ascii="Arial" w:cs="Arial" w:eastAsia="Arial" w:hAnsi="Arial"/>
                <w:sz w:val="17"/>
                <w:szCs w:val="17"/>
                <w:b w:val="1"/>
                <w:bCs w:val="1"/>
                <w:color w:val="0000EE"/>
                <w:w w:val="99"/>
              </w:rPr>
              <w:t>Stockholder Advisory Votes to Approve Executive</w:t>
            </w:r>
          </w:p>
        </w:tc>
        <w:tc>
          <w:tcPr>
            <w:tcW w:w="20" w:type="dxa"/>
            <w:vAlign w:val="bottom"/>
            <w:tcBorders>
              <w:bottom w:val="single" w:sz="8" w:color="0000EE"/>
            </w:tcBorders>
          </w:tcPr>
          <w:p>
            <w:pPr>
              <w:spacing w:after="0"/>
              <w:rPr>
                <w:sz w:val="14"/>
                <w:szCs w:val="14"/>
                <w:color w:val="auto"/>
              </w:rPr>
            </w:pPr>
          </w:p>
        </w:tc>
        <w:tc>
          <w:tcPr>
            <w:tcW w:w="800" w:type="dxa"/>
            <w:vAlign w:val="bottom"/>
            <w:gridSpan w:val="8"/>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40</w:t>
            </w:r>
          </w:p>
        </w:tc>
        <w:tc>
          <w:tcPr>
            <w:tcW w:w="0" w:type="dxa"/>
            <w:vAlign w:val="bottom"/>
          </w:tcPr>
          <w:p>
            <w:pPr>
              <w:spacing w:after="0"/>
              <w:rPr>
                <w:sz w:val="1"/>
                <w:szCs w:val="1"/>
                <w:color w:val="auto"/>
              </w:rPr>
            </w:pPr>
          </w:p>
        </w:tc>
      </w:tr>
      <w:tr>
        <w:trPr>
          <w:trHeight w:val="169"/>
        </w:trPr>
        <w:tc>
          <w:tcPr>
            <w:tcW w:w="4080" w:type="dxa"/>
            <w:vAlign w:val="bottom"/>
            <w:gridSpan w:val="24"/>
          </w:tcPr>
          <w:p>
            <w:pPr>
              <w:spacing w:after="0" w:line="169" w:lineRule="exact"/>
              <w:rPr>
                <w:sz w:val="20"/>
                <w:szCs w:val="20"/>
                <w:color w:val="auto"/>
              </w:rPr>
            </w:pPr>
            <w:r>
              <w:rPr>
                <w:rFonts w:ascii="Arial" w:cs="Arial" w:eastAsia="Arial" w:hAnsi="Arial"/>
                <w:sz w:val="17"/>
                <w:szCs w:val="17"/>
                <w:b w:val="1"/>
                <w:bCs w:val="1"/>
                <w:color w:val="0000EE"/>
              </w:rPr>
              <w:t>Compensation</w:t>
            </w:r>
          </w:p>
        </w:tc>
        <w:tc>
          <w:tcPr>
            <w:tcW w:w="800" w:type="dxa"/>
            <w:vAlign w:val="bottom"/>
            <w:gridSpan w:val="8"/>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880" w:type="dxa"/>
            <w:vAlign w:val="bottom"/>
            <w:gridSpan w:val="32"/>
          </w:tcPr>
          <w:p>
            <w:pPr>
              <w:spacing w:after="0"/>
              <w:rPr>
                <w:sz w:val="20"/>
                <w:szCs w:val="20"/>
                <w:color w:val="auto"/>
              </w:rPr>
            </w:pPr>
            <w:r>
              <w:rPr>
                <w:rFonts w:ascii="Arial" w:cs="Arial" w:eastAsia="Arial" w:hAnsi="Arial"/>
                <w:sz w:val="17"/>
                <w:szCs w:val="17"/>
                <w:b w:val="1"/>
                <w:bCs w:val="1"/>
                <w:color w:val="0000EE"/>
              </w:rPr>
              <w:t>Item 3—Advisory Vote to Approve Our Executive</w:t>
            </w:r>
          </w:p>
        </w:tc>
        <w:tc>
          <w:tcPr>
            <w:tcW w:w="4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41</w:t>
            </w:r>
          </w:p>
        </w:tc>
        <w:tc>
          <w:tcPr>
            <w:tcW w:w="0" w:type="dxa"/>
            <w:vAlign w:val="bottom"/>
          </w:tcPr>
          <w:p>
            <w:pPr>
              <w:spacing w:after="0"/>
              <w:rPr>
                <w:sz w:val="1"/>
                <w:szCs w:val="1"/>
                <w:color w:val="auto"/>
              </w:rPr>
            </w:pPr>
          </w:p>
        </w:tc>
      </w:tr>
      <w:tr>
        <w:trPr>
          <w:trHeight w:val="169"/>
        </w:trPr>
        <w:tc>
          <w:tcPr>
            <w:tcW w:w="3940" w:type="dxa"/>
            <w:vAlign w:val="bottom"/>
            <w:tcBorders>
              <w:top w:val="single" w:sz="8" w:color="0000EE"/>
            </w:tcBorders>
            <w:gridSpan w:val="22"/>
          </w:tcPr>
          <w:p>
            <w:pPr>
              <w:spacing w:after="0" w:line="169" w:lineRule="exact"/>
              <w:rPr>
                <w:sz w:val="20"/>
                <w:szCs w:val="20"/>
                <w:color w:val="auto"/>
              </w:rPr>
            </w:pPr>
            <w:r>
              <w:rPr>
                <w:rFonts w:ascii="Arial" w:cs="Arial" w:eastAsia="Arial" w:hAnsi="Arial"/>
                <w:sz w:val="17"/>
                <w:szCs w:val="17"/>
                <w:b w:val="1"/>
                <w:bCs w:val="1"/>
                <w:color w:val="0000EE"/>
              </w:rPr>
              <w:t>Compensation</w:t>
            </w:r>
          </w:p>
        </w:tc>
        <w:tc>
          <w:tcPr>
            <w:tcW w:w="940" w:type="dxa"/>
            <w:vAlign w:val="bottom"/>
            <w:gridSpan w:val="10"/>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80" w:type="dxa"/>
            <w:vAlign w:val="bottom"/>
            <w:gridSpan w:val="32"/>
          </w:tcPr>
          <w:p>
            <w:pPr>
              <w:spacing w:after="0"/>
              <w:rPr>
                <w:sz w:val="20"/>
                <w:szCs w:val="20"/>
                <w:color w:val="auto"/>
              </w:rPr>
            </w:pPr>
            <w:r>
              <w:rPr>
                <w:rFonts w:ascii="Arial" w:cs="Arial" w:eastAsia="Arial" w:hAnsi="Arial"/>
                <w:sz w:val="17"/>
                <w:szCs w:val="17"/>
                <w:b w:val="1"/>
                <w:bCs w:val="1"/>
                <w:color w:val="0000EE"/>
              </w:rPr>
              <w:t>Compensation Discussion and Analysis</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rPr>
              <w:t>42</w:t>
            </w:r>
          </w:p>
        </w:tc>
        <w:tc>
          <w:tcPr>
            <w:tcW w:w="0" w:type="dxa"/>
            <w:vAlign w:val="bottom"/>
          </w:tcPr>
          <w:p>
            <w:pPr>
              <w:spacing w:after="0"/>
              <w:rPr>
                <w:sz w:val="1"/>
                <w:szCs w:val="1"/>
                <w:color w:val="auto"/>
              </w:rPr>
            </w:pPr>
          </w:p>
        </w:tc>
      </w:tr>
      <w:tr>
        <w:trPr>
          <w:trHeight w:val="61"/>
        </w:trPr>
        <w:tc>
          <w:tcPr>
            <w:tcW w:w="220" w:type="dxa"/>
            <w:vAlign w:val="bottom"/>
            <w:tcBorders>
              <w:top w:val="single" w:sz="8" w:color="0000EE"/>
              <w:bottom w:val="single" w:sz="8" w:color="auto"/>
            </w:tcBorders>
          </w:tcPr>
          <w:p>
            <w:pPr>
              <w:spacing w:after="0"/>
              <w:rPr>
                <w:sz w:val="5"/>
                <w:szCs w:val="5"/>
                <w:color w:val="auto"/>
              </w:rPr>
            </w:pPr>
          </w:p>
        </w:tc>
        <w:tc>
          <w:tcPr>
            <w:tcW w:w="380" w:type="dxa"/>
            <w:vAlign w:val="bottom"/>
            <w:tcBorders>
              <w:top w:val="single" w:sz="8" w:color="0000EE"/>
              <w:bottom w:val="single" w:sz="8" w:color="auto"/>
            </w:tcBorders>
          </w:tcPr>
          <w:p>
            <w:pPr>
              <w:spacing w:after="0"/>
              <w:rPr>
                <w:sz w:val="5"/>
                <w:szCs w:val="5"/>
                <w:color w:val="auto"/>
              </w:rPr>
            </w:pPr>
          </w:p>
        </w:tc>
        <w:tc>
          <w:tcPr>
            <w:tcW w:w="360" w:type="dxa"/>
            <w:vAlign w:val="bottom"/>
            <w:tcBorders>
              <w:top w:val="single" w:sz="8" w:color="0000EE"/>
              <w:bottom w:val="single" w:sz="8" w:color="auto"/>
            </w:tcBorders>
          </w:tcPr>
          <w:p>
            <w:pPr>
              <w:spacing w:after="0"/>
              <w:rPr>
                <w:sz w:val="5"/>
                <w:szCs w:val="5"/>
                <w:color w:val="auto"/>
              </w:rPr>
            </w:pPr>
          </w:p>
        </w:tc>
        <w:tc>
          <w:tcPr>
            <w:tcW w:w="220" w:type="dxa"/>
            <w:vAlign w:val="bottom"/>
            <w:tcBorders>
              <w:top w:val="single" w:sz="8" w:color="0000EE"/>
              <w:bottom w:val="single" w:sz="8" w:color="auto"/>
            </w:tcBorders>
          </w:tcPr>
          <w:p>
            <w:pPr>
              <w:spacing w:after="0"/>
              <w:rPr>
                <w:sz w:val="5"/>
                <w:szCs w:val="5"/>
                <w:color w:val="auto"/>
              </w:rPr>
            </w:pPr>
          </w:p>
        </w:tc>
        <w:tc>
          <w:tcPr>
            <w:tcW w:w="20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38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24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380" w:type="dxa"/>
            <w:vAlign w:val="bottom"/>
            <w:tcBorders>
              <w:top w:val="single" w:sz="8" w:color="0000EE"/>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2320" w:type="dxa"/>
            <w:vAlign w:val="bottom"/>
            <w:tcBorders>
              <w:bottom w:val="single" w:sz="8" w:color="0000EE"/>
            </w:tcBorders>
            <w:gridSpan w:val="13"/>
          </w:tcPr>
          <w:p>
            <w:pPr>
              <w:spacing w:after="0"/>
              <w:rPr>
                <w:sz w:val="20"/>
                <w:szCs w:val="20"/>
                <w:color w:val="auto"/>
              </w:rPr>
            </w:pPr>
            <w:r>
              <w:rPr>
                <w:rFonts w:ascii="Arial" w:cs="Arial" w:eastAsia="Arial" w:hAnsi="Arial"/>
                <w:sz w:val="17"/>
                <w:szCs w:val="17"/>
                <w:color w:val="0000EE"/>
                <w:w w:val="99"/>
              </w:rPr>
              <w:t>Our Named Executive Officers</w:t>
            </w:r>
          </w:p>
        </w:tc>
        <w:tc>
          <w:tcPr>
            <w:tcW w:w="2340" w:type="dxa"/>
            <w:vAlign w:val="bottom"/>
            <w:gridSpan w:val="18"/>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20" w:type="dxa"/>
            <w:vAlign w:val="bottom"/>
          </w:tcPr>
          <w:p>
            <w:pPr>
              <w:spacing w:after="0"/>
              <w:rPr>
                <w:sz w:val="16"/>
                <w:szCs w:val="16"/>
                <w:color w:val="auto"/>
              </w:rPr>
            </w:pPr>
          </w:p>
        </w:tc>
        <w:tc>
          <w:tcPr>
            <w:tcW w:w="4700" w:type="dxa"/>
            <w:vAlign w:val="bottom"/>
            <w:gridSpan w:val="33"/>
          </w:tcPr>
          <w:p>
            <w:pPr>
              <w:spacing w:after="0"/>
              <w:rPr>
                <w:sz w:val="20"/>
                <w:szCs w:val="20"/>
                <w:color w:val="auto"/>
              </w:rPr>
            </w:pPr>
            <w:r>
              <w:rPr>
                <w:rFonts w:ascii="Arial" w:cs="Arial" w:eastAsia="Arial" w:hAnsi="Arial"/>
                <w:sz w:val="17"/>
                <w:szCs w:val="17"/>
                <w:color w:val="0000EE"/>
              </w:rPr>
              <w:t>Our Strategy</w:t>
            </w:r>
          </w:p>
        </w:tc>
        <w:tc>
          <w:tcPr>
            <w:tcW w:w="48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4000" w:type="dxa"/>
            <w:vAlign w:val="bottom"/>
            <w:tcBorders>
              <w:bottom w:val="single" w:sz="8" w:color="0000EE"/>
            </w:tcBorders>
            <w:gridSpan w:val="24"/>
          </w:tcPr>
          <w:p>
            <w:pPr>
              <w:spacing w:after="0"/>
              <w:rPr>
                <w:sz w:val="20"/>
                <w:szCs w:val="20"/>
                <w:color w:val="auto"/>
              </w:rPr>
            </w:pPr>
            <w:r>
              <w:rPr>
                <w:rFonts w:ascii="Arial" w:cs="Arial" w:eastAsia="Arial" w:hAnsi="Arial"/>
                <w:sz w:val="17"/>
                <w:szCs w:val="17"/>
                <w:color w:val="0000EE"/>
                <w:w w:val="99"/>
              </w:rPr>
              <w:t>Our Approach to Environmental Sustainability, Social</w:t>
            </w:r>
          </w:p>
        </w:tc>
        <w:tc>
          <w:tcPr>
            <w:tcW w:w="700" w:type="dxa"/>
            <w:vAlign w:val="bottom"/>
            <w:gridSpan w:val="9"/>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700" w:type="dxa"/>
            <w:vAlign w:val="bottom"/>
            <w:gridSpan w:val="33"/>
          </w:tcPr>
          <w:p>
            <w:pPr>
              <w:spacing w:after="0" w:line="169" w:lineRule="exact"/>
              <w:rPr>
                <w:sz w:val="20"/>
                <w:szCs w:val="20"/>
                <w:color w:val="auto"/>
              </w:rPr>
            </w:pPr>
            <w:r>
              <w:rPr>
                <w:rFonts w:ascii="Arial" w:cs="Arial" w:eastAsia="Arial" w:hAnsi="Arial"/>
                <w:sz w:val="17"/>
                <w:szCs w:val="17"/>
                <w:color w:val="0000EE"/>
              </w:rPr>
              <w:t>Responsibility, and Corporate Governance</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3200" w:type="dxa"/>
            <w:vAlign w:val="bottom"/>
            <w:tcBorders>
              <w:top w:val="single" w:sz="8" w:color="0000EE"/>
            </w:tcBorders>
            <w:gridSpan w:val="18"/>
          </w:tcPr>
          <w:p>
            <w:pPr>
              <w:spacing w:after="0"/>
              <w:rPr>
                <w:sz w:val="20"/>
                <w:szCs w:val="20"/>
                <w:color w:val="auto"/>
              </w:rPr>
            </w:pPr>
            <w:r>
              <w:rPr>
                <w:rFonts w:ascii="Arial" w:cs="Arial" w:eastAsia="Arial" w:hAnsi="Arial"/>
                <w:sz w:val="17"/>
                <w:szCs w:val="17"/>
                <w:color w:val="0000EE"/>
              </w:rPr>
              <w:t>Our Compensation Best Practices</w:t>
            </w:r>
          </w:p>
        </w:tc>
        <w:tc>
          <w:tcPr>
            <w:tcW w:w="1500" w:type="dxa"/>
            <w:vAlign w:val="bottom"/>
            <w:gridSpan w:val="15"/>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236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7"/>
                <w:szCs w:val="17"/>
                <w:color w:val="0000EE"/>
                <w:w w:val="99"/>
              </w:rPr>
              <w:t>Aligning Pay With Performance</w:t>
            </w:r>
          </w:p>
        </w:tc>
        <w:tc>
          <w:tcPr>
            <w:tcW w:w="200" w:type="dxa"/>
            <w:vAlign w:val="bottom"/>
            <w:tcBorders>
              <w:top w:val="single" w:sz="8" w:color="0000EE"/>
            </w:tcBorders>
            <w:gridSpan w:val="2"/>
          </w:tcPr>
          <w:p>
            <w:pPr>
              <w:spacing w:after="0"/>
              <w:rPr>
                <w:sz w:val="20"/>
                <w:szCs w:val="20"/>
                <w:color w:val="auto"/>
              </w:rPr>
            </w:pPr>
          </w:p>
        </w:tc>
        <w:tc>
          <w:tcPr>
            <w:tcW w:w="2140" w:type="dxa"/>
            <w:vAlign w:val="bottom"/>
            <w:gridSpan w:val="19"/>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3120" w:type="dxa"/>
            <w:vAlign w:val="bottom"/>
            <w:tcBorders>
              <w:bottom w:val="single" w:sz="8" w:color="0000EE"/>
            </w:tcBorders>
            <w:gridSpan w:val="17"/>
          </w:tcPr>
          <w:p>
            <w:pPr>
              <w:spacing w:after="0"/>
              <w:rPr>
                <w:sz w:val="20"/>
                <w:szCs w:val="20"/>
                <w:color w:val="auto"/>
              </w:rPr>
            </w:pPr>
            <w:r>
              <w:rPr>
                <w:rFonts w:ascii="Arial" w:cs="Arial" w:eastAsia="Arial" w:hAnsi="Arial"/>
                <w:sz w:val="17"/>
                <w:szCs w:val="17"/>
                <w:color w:val="0000EE"/>
                <w:w w:val="99"/>
              </w:rPr>
              <w:t>Implementation of Our Strategic Priorities</w:t>
            </w:r>
          </w:p>
        </w:tc>
        <w:tc>
          <w:tcPr>
            <w:tcW w:w="1580" w:type="dxa"/>
            <w:vAlign w:val="bottom"/>
            <w:gridSpan w:val="16"/>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4700" w:type="dxa"/>
            <w:vAlign w:val="bottom"/>
            <w:gridSpan w:val="33"/>
          </w:tcPr>
          <w:p>
            <w:pPr>
              <w:spacing w:after="0"/>
              <w:rPr>
                <w:sz w:val="20"/>
                <w:szCs w:val="20"/>
                <w:color w:val="auto"/>
              </w:rPr>
            </w:pPr>
            <w:r>
              <w:rPr>
                <w:rFonts w:ascii="Arial" w:cs="Arial" w:eastAsia="Arial" w:hAnsi="Arial"/>
                <w:sz w:val="17"/>
                <w:szCs w:val="17"/>
                <w:color w:val="0000EE"/>
              </w:rPr>
              <w:t>Long-Term Incentive Equity Award Design in 2022</w:t>
            </w:r>
          </w:p>
        </w:tc>
        <w:tc>
          <w:tcPr>
            <w:tcW w:w="480" w:type="dxa"/>
            <w:vAlign w:val="bottom"/>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4560" w:type="dxa"/>
            <w:vAlign w:val="bottom"/>
            <w:tcBorders>
              <w:bottom w:val="single" w:sz="8" w:color="0000EE"/>
            </w:tcBorders>
            <w:gridSpan w:val="31"/>
          </w:tcPr>
          <w:p>
            <w:pPr>
              <w:spacing w:after="0"/>
              <w:rPr>
                <w:sz w:val="20"/>
                <w:szCs w:val="20"/>
                <w:color w:val="auto"/>
              </w:rPr>
            </w:pPr>
            <w:r>
              <w:rPr>
                <w:rFonts w:ascii="Arial" w:cs="Arial" w:eastAsia="Arial" w:hAnsi="Arial"/>
                <w:sz w:val="17"/>
                <w:szCs w:val="17"/>
                <w:color w:val="0000EE"/>
                <w:w w:val="99"/>
              </w:rPr>
              <w:t>Positive 2022 Say on Pay Vote Outcome and Compensation</w:t>
            </w:r>
          </w:p>
        </w:tc>
        <w:tc>
          <w:tcPr>
            <w:tcW w:w="140" w:type="dxa"/>
            <w:vAlign w:val="bottom"/>
            <w:gridSpan w:val="2"/>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260" w:type="dxa"/>
            <w:vAlign w:val="bottom"/>
            <w:tcBorders>
              <w:bottom w:val="single" w:sz="8" w:color="0000EE"/>
            </w:tcBorders>
            <w:gridSpan w:val="26"/>
          </w:tcPr>
          <w:p>
            <w:pPr>
              <w:spacing w:after="0" w:line="169" w:lineRule="exact"/>
              <w:rPr>
                <w:sz w:val="20"/>
                <w:szCs w:val="20"/>
                <w:color w:val="auto"/>
              </w:rPr>
            </w:pPr>
            <w:r>
              <w:rPr>
                <w:rFonts w:ascii="Arial" w:cs="Arial" w:eastAsia="Arial" w:hAnsi="Arial"/>
                <w:sz w:val="17"/>
                <w:szCs w:val="17"/>
                <w:color w:val="0000EE"/>
              </w:rPr>
              <w:t>Design Changes in Response to 2022 Stockholder Input</w:t>
            </w:r>
          </w:p>
        </w:tc>
        <w:tc>
          <w:tcPr>
            <w:tcW w:w="440" w:type="dxa"/>
            <w:vAlign w:val="bottom"/>
            <w:gridSpan w:val="7"/>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4540" w:type="dxa"/>
            <w:vAlign w:val="bottom"/>
            <w:tcBorders>
              <w:bottom w:val="single" w:sz="8" w:color="0000EE"/>
            </w:tcBorders>
            <w:gridSpan w:val="30"/>
          </w:tcPr>
          <w:p>
            <w:pPr>
              <w:spacing w:after="0"/>
              <w:rPr>
                <w:sz w:val="20"/>
                <w:szCs w:val="20"/>
                <w:color w:val="auto"/>
              </w:rPr>
            </w:pPr>
            <w:r>
              <w:rPr>
                <w:rFonts w:ascii="Arial" w:cs="Arial" w:eastAsia="Arial" w:hAnsi="Arial"/>
                <w:sz w:val="17"/>
                <w:szCs w:val="17"/>
                <w:color w:val="0000EE"/>
              </w:rPr>
              <w:t>Our 2022 Compensation Program Highlights and Objectives</w:t>
            </w:r>
          </w:p>
        </w:tc>
        <w:tc>
          <w:tcPr>
            <w:tcW w:w="160" w:type="dxa"/>
            <w:vAlign w:val="bottom"/>
            <w:gridSpan w:val="3"/>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4300" w:type="dxa"/>
            <w:vAlign w:val="bottom"/>
            <w:tcBorders>
              <w:bottom w:val="single" w:sz="8" w:color="0000EE"/>
            </w:tcBorders>
            <w:gridSpan w:val="28"/>
          </w:tcPr>
          <w:p>
            <w:pPr>
              <w:spacing w:after="0"/>
              <w:rPr>
                <w:sz w:val="20"/>
                <w:szCs w:val="20"/>
                <w:color w:val="auto"/>
              </w:rPr>
            </w:pPr>
            <w:r>
              <w:rPr>
                <w:rFonts w:ascii="Arial" w:cs="Arial" w:eastAsia="Arial" w:hAnsi="Arial"/>
                <w:sz w:val="17"/>
                <w:szCs w:val="17"/>
                <w:color w:val="0000EE"/>
                <w:w w:val="99"/>
              </w:rPr>
              <w:t>How Compensation Decisions Are Made For Our Named</w:t>
            </w:r>
          </w:p>
        </w:tc>
        <w:tc>
          <w:tcPr>
            <w:tcW w:w="400" w:type="dxa"/>
            <w:vAlign w:val="bottom"/>
            <w:gridSpan w:val="5"/>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700" w:type="dxa"/>
            <w:vAlign w:val="bottom"/>
            <w:gridSpan w:val="33"/>
          </w:tcPr>
          <w:p>
            <w:pPr>
              <w:spacing w:after="0" w:line="169" w:lineRule="exact"/>
              <w:rPr>
                <w:sz w:val="20"/>
                <w:szCs w:val="20"/>
                <w:color w:val="auto"/>
              </w:rPr>
            </w:pPr>
            <w:r>
              <w:rPr>
                <w:rFonts w:ascii="Arial" w:cs="Arial" w:eastAsia="Arial" w:hAnsi="Arial"/>
                <w:sz w:val="17"/>
                <w:szCs w:val="17"/>
                <w:color w:val="0000EE"/>
              </w:rPr>
              <w:t>Executive Officers</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4180" w:type="dxa"/>
            <w:vAlign w:val="bottom"/>
            <w:tcBorders>
              <w:bottom w:val="single" w:sz="8" w:color="0000EE"/>
            </w:tcBorders>
            <w:gridSpan w:val="25"/>
          </w:tcPr>
          <w:p>
            <w:pPr>
              <w:spacing w:after="0"/>
              <w:rPr>
                <w:sz w:val="20"/>
                <w:szCs w:val="20"/>
                <w:color w:val="auto"/>
              </w:rPr>
            </w:pPr>
            <w:r>
              <w:rPr>
                <w:rFonts w:ascii="Arial" w:cs="Arial" w:eastAsia="Arial" w:hAnsi="Arial"/>
                <w:sz w:val="17"/>
                <w:szCs w:val="17"/>
                <w:color w:val="0000EE"/>
              </w:rPr>
              <w:t>Elements of Compensation and Specific Compensation</w:t>
            </w:r>
          </w:p>
        </w:tc>
        <w:tc>
          <w:tcPr>
            <w:tcW w:w="520" w:type="dxa"/>
            <w:vAlign w:val="bottom"/>
            <w:gridSpan w:val="8"/>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740" w:type="dxa"/>
            <w:vAlign w:val="bottom"/>
            <w:tcBorders>
              <w:bottom w:val="single" w:sz="8" w:color="0000EE"/>
            </w:tcBorders>
            <w:gridSpan w:val="2"/>
          </w:tcPr>
          <w:p>
            <w:pPr>
              <w:spacing w:after="0" w:line="169" w:lineRule="exact"/>
              <w:rPr>
                <w:sz w:val="20"/>
                <w:szCs w:val="20"/>
                <w:color w:val="auto"/>
              </w:rPr>
            </w:pPr>
            <w:r>
              <w:rPr>
                <w:rFonts w:ascii="Arial" w:cs="Arial" w:eastAsia="Arial" w:hAnsi="Arial"/>
                <w:sz w:val="17"/>
                <w:szCs w:val="17"/>
                <w:color w:val="0000EE"/>
                <w:w w:val="97"/>
              </w:rPr>
              <w:t>Decisions</w:t>
            </w:r>
          </w:p>
        </w:tc>
        <w:tc>
          <w:tcPr>
            <w:tcW w:w="3960" w:type="dxa"/>
            <w:vAlign w:val="bottom"/>
            <w:gridSpan w:val="31"/>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2820" w:type="dxa"/>
            <w:vAlign w:val="bottom"/>
            <w:tcBorders>
              <w:bottom w:val="single" w:sz="8" w:color="0000EE"/>
            </w:tcBorders>
            <w:gridSpan w:val="15"/>
          </w:tcPr>
          <w:p>
            <w:pPr>
              <w:spacing w:after="0"/>
              <w:rPr>
                <w:sz w:val="20"/>
                <w:szCs w:val="20"/>
                <w:color w:val="auto"/>
              </w:rPr>
            </w:pPr>
            <w:r>
              <w:rPr>
                <w:rFonts w:ascii="Arial" w:cs="Arial" w:eastAsia="Arial" w:hAnsi="Arial"/>
                <w:sz w:val="17"/>
                <w:szCs w:val="17"/>
                <w:color w:val="0000EE"/>
                <w:w w:val="99"/>
              </w:rPr>
              <w:t>Compensation Policies and Practices</w:t>
            </w:r>
          </w:p>
        </w:tc>
        <w:tc>
          <w:tcPr>
            <w:tcW w:w="1880" w:type="dxa"/>
            <w:vAlign w:val="bottom"/>
            <w:gridSpan w:val="18"/>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3740" w:type="dxa"/>
            <w:vAlign w:val="bottom"/>
            <w:tcBorders>
              <w:bottom w:val="single" w:sz="8" w:color="0000EE"/>
            </w:tcBorders>
            <w:gridSpan w:val="21"/>
          </w:tcPr>
          <w:p>
            <w:pPr>
              <w:spacing w:after="0"/>
              <w:rPr>
                <w:sz w:val="20"/>
                <w:szCs w:val="20"/>
                <w:color w:val="auto"/>
              </w:rPr>
            </w:pPr>
            <w:r>
              <w:rPr>
                <w:rFonts w:ascii="Arial" w:cs="Arial" w:eastAsia="Arial" w:hAnsi="Arial"/>
                <w:sz w:val="17"/>
                <w:szCs w:val="17"/>
                <w:color w:val="0000EE"/>
                <w:w w:val="99"/>
              </w:rPr>
              <w:t>Non-Direct Compensation and Payouts in Certain</w:t>
            </w:r>
          </w:p>
        </w:tc>
        <w:tc>
          <w:tcPr>
            <w:tcW w:w="960" w:type="dxa"/>
            <w:vAlign w:val="bottom"/>
            <w:gridSpan w:val="12"/>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700" w:type="dxa"/>
            <w:vAlign w:val="bottom"/>
            <w:gridSpan w:val="33"/>
          </w:tcPr>
          <w:p>
            <w:pPr>
              <w:spacing w:after="0" w:line="169" w:lineRule="exact"/>
              <w:rPr>
                <w:sz w:val="20"/>
                <w:szCs w:val="20"/>
                <w:color w:val="auto"/>
              </w:rPr>
            </w:pPr>
            <w:r>
              <w:rPr>
                <w:rFonts w:ascii="Arial" w:cs="Arial" w:eastAsia="Arial" w:hAnsi="Arial"/>
                <w:sz w:val="17"/>
                <w:szCs w:val="17"/>
                <w:color w:val="0000EE"/>
              </w:rPr>
              <w:t>Circumstances</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2320" w:type="dxa"/>
            <w:vAlign w:val="bottom"/>
            <w:tcBorders>
              <w:bottom w:val="single" w:sz="8" w:color="0000EE"/>
            </w:tcBorders>
            <w:gridSpan w:val="11"/>
          </w:tcPr>
          <w:p>
            <w:pPr>
              <w:spacing w:after="0"/>
              <w:rPr>
                <w:sz w:val="20"/>
                <w:szCs w:val="20"/>
                <w:color w:val="auto"/>
              </w:rPr>
            </w:pPr>
            <w:r>
              <w:rPr>
                <w:rFonts w:ascii="Arial" w:cs="Arial" w:eastAsia="Arial" w:hAnsi="Arial"/>
                <w:sz w:val="17"/>
                <w:szCs w:val="17"/>
                <w:color w:val="0000EE"/>
                <w:w w:val="98"/>
              </w:rPr>
              <w:t>Tax and Accounting Standards</w:t>
            </w:r>
          </w:p>
        </w:tc>
        <w:tc>
          <w:tcPr>
            <w:tcW w:w="2380" w:type="dxa"/>
            <w:vAlign w:val="bottom"/>
            <w:gridSpan w:val="22"/>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358"/>
        </w:trPr>
        <w:tc>
          <w:tcPr>
            <w:tcW w:w="4920" w:type="dxa"/>
            <w:vAlign w:val="bottom"/>
            <w:gridSpan w:val="34"/>
          </w:tcPr>
          <w:p>
            <w:pPr>
              <w:spacing w:after="0"/>
              <w:rPr>
                <w:sz w:val="20"/>
                <w:szCs w:val="20"/>
                <w:color w:val="auto"/>
              </w:rPr>
            </w:pPr>
            <w:r>
              <w:rPr>
                <w:rFonts w:ascii="Arial" w:cs="Arial" w:eastAsia="Arial" w:hAnsi="Arial"/>
                <w:sz w:val="17"/>
                <w:szCs w:val="17"/>
                <w:b w:val="1"/>
                <w:bCs w:val="1"/>
                <w:color w:val="0000EE"/>
              </w:rPr>
              <w:t>Executive Compensation Tables</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75</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20" w:type="dxa"/>
            <w:vAlign w:val="bottom"/>
            <w:gridSpan w:val="34"/>
          </w:tcPr>
          <w:p>
            <w:pPr>
              <w:spacing w:after="0"/>
              <w:rPr>
                <w:sz w:val="20"/>
                <w:szCs w:val="20"/>
                <w:color w:val="auto"/>
              </w:rPr>
            </w:pPr>
            <w:r>
              <w:rPr>
                <w:rFonts w:ascii="Arial" w:cs="Arial" w:eastAsia="Arial" w:hAnsi="Arial"/>
                <w:sz w:val="17"/>
                <w:szCs w:val="17"/>
                <w:b w:val="1"/>
                <w:bCs w:val="1"/>
                <w:color w:val="0000EE"/>
              </w:rPr>
              <w:t>Pay Versus Performance</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89</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20" w:type="dxa"/>
            <w:vAlign w:val="bottom"/>
            <w:gridSpan w:val="34"/>
          </w:tcPr>
          <w:p>
            <w:pPr>
              <w:spacing w:after="0"/>
              <w:rPr>
                <w:sz w:val="20"/>
                <w:szCs w:val="20"/>
                <w:color w:val="auto"/>
              </w:rPr>
            </w:pPr>
            <w:r>
              <w:rPr>
                <w:rFonts w:ascii="Arial" w:cs="Arial" w:eastAsia="Arial" w:hAnsi="Arial"/>
                <w:sz w:val="17"/>
                <w:szCs w:val="17"/>
                <w:b w:val="1"/>
                <w:bCs w:val="1"/>
                <w:color w:val="0000EE"/>
              </w:rPr>
              <w:t>Director Compensation</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92</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20" w:type="dxa"/>
            <w:vAlign w:val="bottom"/>
            <w:gridSpan w:val="34"/>
          </w:tcPr>
          <w:p>
            <w:pPr>
              <w:spacing w:after="0"/>
              <w:rPr>
                <w:sz w:val="20"/>
                <w:szCs w:val="20"/>
                <w:color w:val="auto"/>
              </w:rPr>
            </w:pPr>
            <w:r>
              <w:rPr>
                <w:rFonts w:ascii="Arial" w:cs="Arial" w:eastAsia="Arial" w:hAnsi="Arial"/>
                <w:sz w:val="17"/>
                <w:szCs w:val="17"/>
                <w:b w:val="1"/>
                <w:bCs w:val="1"/>
                <w:color w:val="0000EE"/>
              </w:rPr>
              <w:t>Security Ownership of Directors and Executive Officers</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96</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20" w:type="dxa"/>
            <w:vAlign w:val="bottom"/>
            <w:gridSpan w:val="34"/>
          </w:tcPr>
          <w:p>
            <w:pPr>
              <w:spacing w:after="0"/>
              <w:rPr>
                <w:sz w:val="20"/>
                <w:szCs w:val="20"/>
                <w:color w:val="auto"/>
              </w:rPr>
            </w:pPr>
            <w:r>
              <w:rPr>
                <w:rFonts w:ascii="Arial" w:cs="Arial" w:eastAsia="Arial" w:hAnsi="Arial"/>
                <w:sz w:val="17"/>
                <w:szCs w:val="17"/>
                <w:b w:val="1"/>
                <w:bCs w:val="1"/>
                <w:color w:val="0000EE"/>
              </w:rPr>
              <w:t>Security Ownership of Certain Beneficial Owners</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98</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20" w:type="dxa"/>
            <w:vAlign w:val="bottom"/>
            <w:gridSpan w:val="34"/>
          </w:tcPr>
          <w:p>
            <w:pPr>
              <w:spacing w:after="0"/>
              <w:rPr>
                <w:sz w:val="20"/>
                <w:szCs w:val="20"/>
                <w:color w:val="auto"/>
              </w:rPr>
            </w:pPr>
            <w:r>
              <w:rPr>
                <w:rFonts w:ascii="Arial" w:cs="Arial" w:eastAsia="Arial" w:hAnsi="Arial"/>
                <w:sz w:val="17"/>
                <w:szCs w:val="17"/>
                <w:b w:val="1"/>
                <w:bCs w:val="1"/>
                <w:color w:val="0000EE"/>
              </w:rPr>
              <w:t>Item 4—Ratification of Selection of Independent Registered</w:t>
            </w:r>
          </w:p>
        </w:tc>
        <w:tc>
          <w:tcPr>
            <w:tcW w:w="4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99</w:t>
            </w:r>
          </w:p>
        </w:tc>
        <w:tc>
          <w:tcPr>
            <w:tcW w:w="0" w:type="dxa"/>
            <w:vAlign w:val="bottom"/>
          </w:tcPr>
          <w:p>
            <w:pPr>
              <w:spacing w:after="0"/>
              <w:rPr>
                <w:sz w:val="1"/>
                <w:szCs w:val="1"/>
                <w:color w:val="auto"/>
              </w:rPr>
            </w:pPr>
          </w:p>
        </w:tc>
      </w:tr>
      <w:tr>
        <w:trPr>
          <w:trHeight w:val="169"/>
        </w:trPr>
        <w:tc>
          <w:tcPr>
            <w:tcW w:w="4820" w:type="dxa"/>
            <w:vAlign w:val="bottom"/>
            <w:tcBorders>
              <w:top w:val="single" w:sz="8" w:color="0000EE"/>
            </w:tcBorders>
            <w:gridSpan w:val="33"/>
          </w:tcPr>
          <w:p>
            <w:pPr>
              <w:spacing w:after="0" w:line="169" w:lineRule="exact"/>
              <w:rPr>
                <w:sz w:val="20"/>
                <w:szCs w:val="20"/>
                <w:color w:val="auto"/>
              </w:rPr>
            </w:pPr>
            <w:r>
              <w:rPr>
                <w:rFonts w:ascii="Arial" w:cs="Arial" w:eastAsia="Arial" w:hAnsi="Arial"/>
                <w:sz w:val="17"/>
                <w:szCs w:val="17"/>
                <w:b w:val="1"/>
                <w:bCs w:val="1"/>
                <w:color w:val="0000EE"/>
              </w:rPr>
              <w:t>Public Accountants</w:t>
            </w: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20" w:type="dxa"/>
            <w:vAlign w:val="bottom"/>
            <w:gridSpan w:val="34"/>
          </w:tcPr>
          <w:p>
            <w:pPr>
              <w:spacing w:after="0"/>
              <w:rPr>
                <w:sz w:val="20"/>
                <w:szCs w:val="20"/>
                <w:color w:val="auto"/>
              </w:rPr>
            </w:pPr>
            <w:r>
              <w:rPr>
                <w:rFonts w:ascii="Arial" w:cs="Arial" w:eastAsia="Arial" w:hAnsi="Arial"/>
                <w:sz w:val="17"/>
                <w:szCs w:val="17"/>
                <w:b w:val="1"/>
                <w:bCs w:val="1"/>
                <w:color w:val="0000EE"/>
              </w:rPr>
              <w:t>Audit Matters</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100</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20" w:type="dxa"/>
            <w:vAlign w:val="bottom"/>
            <w:gridSpan w:val="34"/>
          </w:tcPr>
          <w:p>
            <w:pPr>
              <w:spacing w:after="0"/>
              <w:rPr>
                <w:sz w:val="20"/>
                <w:szCs w:val="20"/>
                <w:color w:val="auto"/>
              </w:rPr>
            </w:pPr>
            <w:r>
              <w:rPr>
                <w:rFonts w:ascii="Arial" w:cs="Arial" w:eastAsia="Arial" w:hAnsi="Arial"/>
                <w:sz w:val="17"/>
                <w:szCs w:val="17"/>
                <w:b w:val="1"/>
                <w:bCs w:val="1"/>
                <w:color w:val="0000EE"/>
              </w:rPr>
              <w:t>Annual Report on Form 10-K</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101</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20" w:type="dxa"/>
            <w:vAlign w:val="bottom"/>
            <w:gridSpan w:val="34"/>
          </w:tcPr>
          <w:p>
            <w:pPr>
              <w:spacing w:after="0"/>
              <w:rPr>
                <w:sz w:val="20"/>
                <w:szCs w:val="20"/>
                <w:color w:val="auto"/>
              </w:rPr>
            </w:pPr>
            <w:r>
              <w:rPr>
                <w:rFonts w:ascii="Arial" w:cs="Arial" w:eastAsia="Arial" w:hAnsi="Arial"/>
                <w:sz w:val="17"/>
                <w:szCs w:val="17"/>
                <w:b w:val="1"/>
                <w:bCs w:val="1"/>
                <w:color w:val="0000EE"/>
              </w:rPr>
              <w:t>Certain Relationships and Related Transactions</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102</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20" w:type="dxa"/>
            <w:vAlign w:val="bottom"/>
            <w:gridSpan w:val="34"/>
          </w:tcPr>
          <w:p>
            <w:pPr>
              <w:spacing w:after="0"/>
              <w:rPr>
                <w:sz w:val="20"/>
                <w:szCs w:val="20"/>
                <w:color w:val="auto"/>
              </w:rPr>
            </w:pPr>
            <w:r>
              <w:rPr>
                <w:rFonts w:ascii="Arial" w:cs="Arial" w:eastAsia="Arial" w:hAnsi="Arial"/>
                <w:sz w:val="17"/>
                <w:szCs w:val="17"/>
                <w:b w:val="1"/>
                <w:bCs w:val="1"/>
                <w:color w:val="0000EE"/>
              </w:rPr>
              <w:t>Information Concerning Voting and Solicitation</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103</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20" w:type="dxa"/>
            <w:vAlign w:val="bottom"/>
            <w:gridSpan w:val="34"/>
          </w:tcPr>
          <w:p>
            <w:pPr>
              <w:spacing w:after="0"/>
              <w:rPr>
                <w:sz w:val="20"/>
                <w:szCs w:val="20"/>
                <w:color w:val="auto"/>
              </w:rPr>
            </w:pPr>
            <w:r>
              <w:rPr>
                <w:rFonts w:ascii="Arial" w:cs="Arial" w:eastAsia="Arial" w:hAnsi="Arial"/>
                <w:sz w:val="17"/>
                <w:szCs w:val="17"/>
                <w:b w:val="1"/>
                <w:bCs w:val="1"/>
                <w:color w:val="0000EE"/>
              </w:rPr>
              <w:t>Other Matters</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107</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20" w:type="dxa"/>
            <w:vAlign w:val="bottom"/>
            <w:gridSpan w:val="34"/>
          </w:tcPr>
          <w:p>
            <w:pPr>
              <w:spacing w:after="0"/>
              <w:rPr>
                <w:sz w:val="20"/>
                <w:szCs w:val="20"/>
                <w:color w:val="auto"/>
              </w:rPr>
            </w:pPr>
            <w:r>
              <w:rPr>
                <w:rFonts w:ascii="Arial" w:cs="Arial" w:eastAsia="Arial" w:hAnsi="Arial"/>
                <w:sz w:val="17"/>
                <w:szCs w:val="17"/>
                <w:b w:val="1"/>
                <w:bCs w:val="1"/>
                <w:color w:val="0000EE"/>
              </w:rPr>
              <w:t>Appendix A: Amgen Inc. Board of Directors Guidelines for</w:t>
            </w:r>
          </w:p>
        </w:tc>
        <w:tc>
          <w:tcPr>
            <w:tcW w:w="4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A-1</w:t>
            </w:r>
          </w:p>
        </w:tc>
        <w:tc>
          <w:tcPr>
            <w:tcW w:w="0" w:type="dxa"/>
            <w:vAlign w:val="bottom"/>
          </w:tcPr>
          <w:p>
            <w:pPr>
              <w:spacing w:after="0"/>
              <w:rPr>
                <w:sz w:val="1"/>
                <w:szCs w:val="1"/>
                <w:color w:val="auto"/>
              </w:rPr>
            </w:pPr>
          </w:p>
        </w:tc>
      </w:tr>
      <w:tr>
        <w:trPr>
          <w:trHeight w:val="169"/>
        </w:trPr>
        <w:tc>
          <w:tcPr>
            <w:tcW w:w="4720" w:type="dxa"/>
            <w:vAlign w:val="bottom"/>
            <w:tcBorders>
              <w:top w:val="single" w:sz="8" w:color="0000EE"/>
            </w:tcBorders>
            <w:gridSpan w:val="30"/>
          </w:tcPr>
          <w:p>
            <w:pPr>
              <w:spacing w:after="0" w:line="169" w:lineRule="exact"/>
              <w:rPr>
                <w:sz w:val="20"/>
                <w:szCs w:val="20"/>
                <w:color w:val="auto"/>
              </w:rPr>
            </w:pPr>
            <w:r>
              <w:rPr>
                <w:rFonts w:ascii="Arial" w:cs="Arial" w:eastAsia="Arial" w:hAnsi="Arial"/>
                <w:sz w:val="17"/>
                <w:szCs w:val="17"/>
                <w:b w:val="1"/>
                <w:bCs w:val="1"/>
                <w:color w:val="0000EE"/>
              </w:rPr>
              <w:t>Director Qualifications and Evaluations</w:t>
            </w:r>
          </w:p>
        </w:tc>
        <w:tc>
          <w:tcPr>
            <w:tcW w:w="200" w:type="dxa"/>
            <w:vAlign w:val="bottom"/>
            <w:gridSpan w:val="4"/>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20" w:type="dxa"/>
            <w:vAlign w:val="bottom"/>
            <w:gridSpan w:val="34"/>
          </w:tcPr>
          <w:p>
            <w:pPr>
              <w:spacing w:after="0"/>
              <w:rPr>
                <w:sz w:val="20"/>
                <w:szCs w:val="20"/>
                <w:color w:val="auto"/>
              </w:rPr>
            </w:pPr>
            <w:r>
              <w:rPr>
                <w:rFonts w:ascii="Arial" w:cs="Arial" w:eastAsia="Arial" w:hAnsi="Arial"/>
                <w:sz w:val="17"/>
                <w:szCs w:val="17"/>
                <w:b w:val="1"/>
                <w:bCs w:val="1"/>
                <w:color w:val="0000EE"/>
              </w:rPr>
              <w:t>Appendix B: Reconciliations of GAAP to Non-GAAP</w:t>
            </w:r>
          </w:p>
        </w:tc>
        <w:tc>
          <w:tcPr>
            <w:tcW w:w="4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B-1</w:t>
            </w:r>
          </w:p>
        </w:tc>
        <w:tc>
          <w:tcPr>
            <w:tcW w:w="0" w:type="dxa"/>
            <w:vAlign w:val="bottom"/>
          </w:tcPr>
          <w:p>
            <w:pPr>
              <w:spacing w:after="0"/>
              <w:rPr>
                <w:sz w:val="1"/>
                <w:szCs w:val="1"/>
                <w:color w:val="auto"/>
              </w:rPr>
            </w:pPr>
          </w:p>
        </w:tc>
      </w:tr>
      <w:tr>
        <w:trPr>
          <w:trHeight w:val="169"/>
        </w:trPr>
        <w:tc>
          <w:tcPr>
            <w:tcW w:w="4200" w:type="dxa"/>
            <w:vAlign w:val="bottom"/>
            <w:tcBorders>
              <w:top w:val="single" w:sz="8" w:color="0000EE"/>
            </w:tcBorders>
            <w:gridSpan w:val="24"/>
          </w:tcPr>
          <w:p>
            <w:pPr>
              <w:spacing w:after="0" w:line="169" w:lineRule="exact"/>
              <w:rPr>
                <w:sz w:val="20"/>
                <w:szCs w:val="20"/>
                <w:color w:val="auto"/>
              </w:rPr>
            </w:pPr>
            <w:r>
              <w:rPr>
                <w:rFonts w:ascii="Arial" w:cs="Arial" w:eastAsia="Arial" w:hAnsi="Arial"/>
                <w:sz w:val="17"/>
                <w:szCs w:val="17"/>
                <w:b w:val="1"/>
                <w:bCs w:val="1"/>
                <w:color w:val="0000EE"/>
              </w:rPr>
              <w:t>Measures</w:t>
            </w:r>
          </w:p>
        </w:tc>
        <w:tc>
          <w:tcPr>
            <w:tcW w:w="720" w:type="dxa"/>
            <w:vAlign w:val="bottom"/>
            <w:gridSpan w:val="10"/>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1"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122" w:lineRule="exact"/>
        <w:rPr>
          <w:sz w:val="20"/>
          <w:szCs w:val="20"/>
          <w:color w:val="auto"/>
        </w:rPr>
      </w:pPr>
    </w:p>
    <w:p>
      <w:pPr>
        <w:ind w:left="8960" w:hanging="130"/>
        <w:spacing w:after="0"/>
        <w:tabs>
          <w:tab w:leader="none" w:pos="8960" w:val="left"/>
        </w:tabs>
        <w:numPr>
          <w:ilvl w:val="0"/>
          <w:numId w:val="8"/>
        </w:numPr>
        <w:rPr>
          <w:rFonts w:ascii="Arial" w:cs="Arial" w:eastAsia="Arial" w:hAnsi="Arial"/>
          <w:sz w:val="24"/>
          <w:szCs w:val="24"/>
          <w:color w:val="666666"/>
        </w:rPr>
      </w:pPr>
      <w:r>
        <w:rPr>
          <w:rFonts w:ascii="Arial" w:cs="Arial" w:eastAsia="Arial" w:hAnsi="Arial"/>
          <w:sz w:val="19"/>
          <w:szCs w:val="19"/>
          <w:i w:val="1"/>
          <w:iCs w:val="1"/>
          <w:color w:val="474747"/>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-173355</wp:posOffset>
            </wp:positionV>
            <wp:extent cx="58293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205740</wp:posOffset>
            </wp:positionV>
            <wp:extent cx="187706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77060" cy="214630"/>
                    </a:xfrm>
                    <a:prstGeom prst="rect">
                      <a:avLst/>
                    </a:prstGeom>
                    <a:noFill/>
                  </pic:spPr>
                </pic:pic>
              </a:graphicData>
            </a:graphic>
          </wp:anchor>
        </w:drawing>
      </w:r>
    </w:p>
    <w:p>
      <w:pPr>
        <w:spacing w:after="0" w:line="312" w:lineRule="exact"/>
        <w:rPr>
          <w:sz w:val="20"/>
          <w:szCs w:val="20"/>
          <w:color w:val="auto"/>
        </w:rPr>
      </w:pPr>
    </w:p>
    <w:p>
      <w:pPr>
        <w:ind w:left="8320"/>
        <w:spacing w:after="0"/>
        <w:rPr>
          <w:sz w:val="20"/>
          <w:szCs w:val="20"/>
          <w:color w:val="auto"/>
        </w:rPr>
      </w:pPr>
      <w:r>
        <w:rPr>
          <w:rFonts w:ascii="Arial" w:cs="Arial" w:eastAsia="Arial" w:hAnsi="Arial"/>
          <w:sz w:val="22"/>
          <w:szCs w:val="22"/>
          <w:b w:val="1"/>
          <w:bCs w:val="1"/>
          <w:color w:val="FFFFFF"/>
        </w:rPr>
        <w:t>Proxy Statement Summary</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Proxy Statement Summary</w:t>
      </w:r>
    </w:p>
    <w:p>
      <w:pPr>
        <w:spacing w:after="0" w:line="26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6"/>
          <w:szCs w:val="16"/>
          <w:color w:val="auto"/>
        </w:rPr>
        <w:t>This summary contains highlights about our Company and the upcoming 2023 Annual Meeting of Stockholders, or Annual Meeting. This summary does not contain all of the information that you should consider in advance of the meeting and we encourage you to read the entire proxy statement before voting.</w:t>
      </w: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9" w:lineRule="exact"/>
        <w:rPr>
          <w:sz w:val="20"/>
          <w:szCs w:val="20"/>
          <w:color w:val="auto"/>
        </w:rPr>
      </w:pPr>
    </w:p>
    <w:p>
      <w:pPr>
        <w:ind w:left="120"/>
        <w:spacing w:after="0"/>
        <w:tabs>
          <w:tab w:leader="none" w:pos="1540" w:val="left"/>
        </w:tabs>
        <w:rPr>
          <w:sz w:val="20"/>
          <w:szCs w:val="20"/>
          <w:color w:val="auto"/>
        </w:rPr>
      </w:pPr>
      <w:r>
        <w:rPr>
          <w:rFonts w:ascii="Arial" w:cs="Arial" w:eastAsia="Arial" w:hAnsi="Arial"/>
          <w:sz w:val="16"/>
          <w:szCs w:val="16"/>
          <w:b w:val="1"/>
          <w:bCs w:val="1"/>
          <w:color w:val="auto"/>
        </w:rPr>
        <w:t>Date and Time:</w:t>
      </w:r>
      <w:r>
        <w:rPr>
          <w:sz w:val="20"/>
          <w:szCs w:val="20"/>
          <w:color w:val="auto"/>
        </w:rPr>
        <w:tab/>
      </w:r>
      <w:r>
        <w:rPr>
          <w:rFonts w:ascii="Arial" w:cs="Arial" w:eastAsia="Arial" w:hAnsi="Arial"/>
          <w:sz w:val="16"/>
          <w:szCs w:val="16"/>
          <w:color w:val="auto"/>
        </w:rPr>
        <w:t>Friday, May 19, 2023, at 11:00 A.M., Pacific Time</w:t>
      </w:r>
    </w:p>
    <w:p>
      <w:pPr>
        <w:spacing w:after="0" w:line="113" w:lineRule="exact"/>
        <w:rPr>
          <w:sz w:val="20"/>
          <w:szCs w:val="20"/>
          <w:color w:val="auto"/>
        </w:rPr>
      </w:pPr>
    </w:p>
    <w:p>
      <w:pPr>
        <w:ind w:left="120"/>
        <w:spacing w:after="0"/>
        <w:tabs>
          <w:tab w:leader="none" w:pos="1540" w:val="left"/>
          <w:tab w:leader="none" w:pos="1980" w:val="left"/>
          <w:tab w:leader="none" w:pos="2520" w:val="left"/>
          <w:tab w:leader="none" w:pos="3200" w:val="left"/>
          <w:tab w:leader="none" w:pos="3940" w:val="left"/>
          <w:tab w:leader="none" w:pos="4260" w:val="left"/>
          <w:tab w:leader="none" w:pos="5360" w:val="left"/>
          <w:tab w:leader="none" w:pos="5760" w:val="left"/>
          <w:tab w:leader="none" w:pos="6120" w:val="left"/>
          <w:tab w:leader="none" w:pos="6600" w:val="left"/>
          <w:tab w:leader="none" w:pos="7200" w:val="left"/>
          <w:tab w:leader="none" w:pos="7540" w:val="left"/>
          <w:tab w:leader="none" w:pos="8220" w:val="left"/>
          <w:tab w:leader="none" w:pos="9480" w:val="left"/>
          <w:tab w:leader="none" w:pos="9860" w:val="left"/>
          <w:tab w:leader="none" w:pos="10260" w:val="left"/>
          <w:tab w:leader="none" w:pos="10980" w:val="left"/>
        </w:tabs>
        <w:rPr>
          <w:sz w:val="20"/>
          <w:szCs w:val="20"/>
          <w:color w:val="auto"/>
        </w:rPr>
      </w:pPr>
      <w:r>
        <w:rPr>
          <w:rFonts w:ascii="Arial" w:cs="Arial" w:eastAsia="Arial" w:hAnsi="Arial"/>
          <w:sz w:val="16"/>
          <w:szCs w:val="16"/>
          <w:b w:val="1"/>
          <w:bCs w:val="1"/>
          <w:color w:val="auto"/>
        </w:rPr>
        <w:t>Location:</w:t>
      </w:r>
      <w:r>
        <w:rPr>
          <w:sz w:val="20"/>
          <w:szCs w:val="20"/>
          <w:color w:val="auto"/>
        </w:rPr>
        <w:tab/>
      </w:r>
      <w:r>
        <w:rPr>
          <w:rFonts w:ascii="Arial" w:cs="Arial" w:eastAsia="Arial" w:hAnsi="Arial"/>
          <w:sz w:val="16"/>
          <w:szCs w:val="16"/>
          <w:color w:val="auto"/>
        </w:rPr>
        <w:t>Our</w:t>
        <w:tab/>
        <w:t>2023</w:t>
        <w:tab/>
        <w:t>Annual</w:t>
        <w:tab/>
        <w:t>Meeting</w:t>
        <w:tab/>
        <w:t>of</w:t>
        <w:tab/>
        <w:t>Stockholders</w:t>
        <w:tab/>
        <w:t>will</w:t>
        <w:tab/>
        <w:t>be</w:t>
        <w:tab/>
        <w:t>held</w:t>
        <w:tab/>
        <w:t>solely</w:t>
        <w:tab/>
        <w:t>by</w:t>
        <w:tab/>
        <w:t>remote</w:t>
        <w:tab/>
        <w:t>communication</w:t>
        <w:tab/>
        <w:t>via</w:t>
        <w:tab/>
        <w:t>the</w:t>
        <w:tab/>
        <w:t>internet</w:t>
      </w:r>
      <w:r>
        <w:rPr>
          <w:sz w:val="20"/>
          <w:szCs w:val="20"/>
          <w:color w:val="auto"/>
        </w:rPr>
        <w:tab/>
      </w:r>
      <w:r>
        <w:rPr>
          <w:rFonts w:ascii="Arial" w:cs="Arial" w:eastAsia="Arial" w:hAnsi="Arial"/>
          <w:sz w:val="14"/>
          <w:szCs w:val="14"/>
          <w:color w:val="auto"/>
        </w:rPr>
        <w:t>at</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0171B9"/>
        </w:rPr>
        <w:t>www.virtualshareholdermeeting.com/AMGN2023</w:t>
      </w:r>
      <w:r>
        <w:rPr>
          <w:rFonts w:ascii="Arial" w:cs="Arial" w:eastAsia="Arial" w:hAnsi="Arial"/>
          <w:sz w:val="16"/>
          <w:szCs w:val="16"/>
          <w:color w:val="000000"/>
        </w:rPr>
        <w:t>. Although the meeting will not be held in person, stockholders will, to the extent</w:t>
      </w:r>
    </w:p>
    <w:p>
      <w:pPr>
        <w:spacing w:after="0" w:line="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possible, be afforded the same rights and opportunities to participate at the virtual meeting similarly to how they would participate at</w:t>
      </w:r>
    </w:p>
    <w:p>
      <w:pPr>
        <w:spacing w:after="0" w:line="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an in-person meeting.</w:t>
      </w:r>
    </w:p>
    <w:p>
      <w:pPr>
        <w:spacing w:after="0" w:line="127" w:lineRule="exact"/>
        <w:rPr>
          <w:sz w:val="20"/>
          <w:szCs w:val="20"/>
          <w:color w:val="auto"/>
        </w:rPr>
      </w:pPr>
    </w:p>
    <w:p>
      <w:pPr>
        <w:ind w:left="1560"/>
        <w:spacing w:after="0"/>
        <w:tabs>
          <w:tab w:leader="none" w:pos="2680" w:val="left"/>
          <w:tab w:leader="none" w:pos="3020" w:val="left"/>
          <w:tab w:leader="none" w:pos="3540" w:val="left"/>
          <w:tab w:leader="none" w:pos="4680" w:val="left"/>
          <w:tab w:leader="none" w:pos="5180" w:val="left"/>
          <w:tab w:leader="none" w:pos="6140" w:val="left"/>
          <w:tab w:leader="none" w:pos="6620" w:val="left"/>
          <w:tab w:leader="none" w:pos="7120" w:val="left"/>
          <w:tab w:leader="none" w:pos="7460" w:val="left"/>
          <w:tab w:leader="none" w:pos="7900" w:val="left"/>
          <w:tab w:leader="none" w:pos="8600" w:val="left"/>
          <w:tab w:leader="none" w:pos="9380" w:val="left"/>
          <w:tab w:leader="none" w:pos="9800" w:val="left"/>
          <w:tab w:leader="none" w:pos="10220" w:val="left"/>
          <w:tab w:leader="none" w:pos="10960" w:val="left"/>
        </w:tabs>
        <w:rPr>
          <w:sz w:val="20"/>
          <w:szCs w:val="20"/>
          <w:color w:val="auto"/>
        </w:rPr>
      </w:pPr>
      <w:r>
        <w:rPr>
          <w:rFonts w:ascii="Arial" w:cs="Arial" w:eastAsia="Arial" w:hAnsi="Arial"/>
          <w:sz w:val="16"/>
          <w:szCs w:val="16"/>
          <w:color w:val="auto"/>
        </w:rPr>
        <w:t>Stockholders</w:t>
        <w:tab/>
        <w:t>or</w:t>
        <w:tab/>
        <w:t>their</w:t>
        <w:tab/>
        <w:t>proxyholders</w:t>
        <w:tab/>
        <w:t>may</w:t>
        <w:tab/>
        <w:t>participate</w:t>
        <w:tab/>
        <w:t>and</w:t>
        <w:tab/>
        <w:t>vote</w:t>
        <w:tab/>
        <w:t>at</w:t>
        <w:tab/>
        <w:t>our</w:t>
        <w:tab/>
        <w:t>Annual</w:t>
        <w:tab/>
        <w:t>Meeting</w:t>
        <w:tab/>
        <w:t>via</w:t>
        <w:tab/>
        <w:t>the</w:t>
        <w:tab/>
        <w:t>internet</w:t>
        <w:tab/>
        <w:t>at</w:t>
      </w:r>
    </w:p>
    <w:p>
      <w:pPr>
        <w:spacing w:after="0" w:line="5" w:lineRule="exact"/>
        <w:rPr>
          <w:sz w:val="20"/>
          <w:szCs w:val="20"/>
          <w:color w:val="auto"/>
        </w:rPr>
      </w:pPr>
    </w:p>
    <w:p>
      <w:pPr>
        <w:ind w:left="1560"/>
        <w:spacing w:after="0"/>
        <w:rPr>
          <w:sz w:val="20"/>
          <w:szCs w:val="20"/>
          <w:color w:val="auto"/>
        </w:rPr>
      </w:pPr>
      <w:r>
        <w:rPr>
          <w:rFonts w:ascii="Arial" w:cs="Arial" w:eastAsia="Arial" w:hAnsi="Arial"/>
          <w:sz w:val="16"/>
          <w:szCs w:val="16"/>
          <w:i w:val="1"/>
          <w:iCs w:val="1"/>
          <w:color w:val="0171B9"/>
        </w:rPr>
        <w:t xml:space="preserve">www.virtualshareholdermeeting.com/AMGN2023 </w:t>
      </w:r>
      <w:r>
        <w:rPr>
          <w:rFonts w:ascii="Arial" w:cs="Arial" w:eastAsia="Arial" w:hAnsi="Arial"/>
          <w:sz w:val="16"/>
          <w:szCs w:val="16"/>
          <w:color w:val="000000"/>
        </w:rPr>
        <w:t>and using your control number.</w:t>
      </w:r>
    </w:p>
    <w:p>
      <w:pPr>
        <w:spacing w:after="0" w:line="107" w:lineRule="exact"/>
        <w:rPr>
          <w:sz w:val="20"/>
          <w:szCs w:val="20"/>
          <w:color w:val="auto"/>
        </w:rPr>
      </w:pPr>
    </w:p>
    <w:p>
      <w:pPr>
        <w:ind w:left="120"/>
        <w:spacing w:after="0"/>
        <w:tabs>
          <w:tab w:leader="none" w:pos="1540" w:val="left"/>
        </w:tabs>
        <w:rPr>
          <w:sz w:val="20"/>
          <w:szCs w:val="20"/>
          <w:color w:val="auto"/>
        </w:rPr>
      </w:pPr>
      <w:r>
        <w:rPr>
          <w:rFonts w:ascii="Arial" w:cs="Arial" w:eastAsia="Arial" w:hAnsi="Arial"/>
          <w:sz w:val="16"/>
          <w:szCs w:val="16"/>
          <w:b w:val="1"/>
          <w:bCs w:val="1"/>
          <w:color w:val="auto"/>
        </w:rPr>
        <w:t>Record Date:</w:t>
      </w:r>
      <w:r>
        <w:rPr>
          <w:sz w:val="20"/>
          <w:szCs w:val="20"/>
          <w:color w:val="auto"/>
        </w:rPr>
        <w:tab/>
      </w:r>
      <w:r>
        <w:rPr>
          <w:rFonts w:ascii="Arial" w:cs="Arial" w:eastAsia="Arial" w:hAnsi="Arial"/>
          <w:sz w:val="16"/>
          <w:szCs w:val="16"/>
          <w:color w:val="auto"/>
        </w:rPr>
        <w:t>March 20, 2023</w:t>
      </w:r>
    </w:p>
    <w:p>
      <w:pPr>
        <w:spacing w:after="0" w:line="113" w:lineRule="exact"/>
        <w:rPr>
          <w:sz w:val="20"/>
          <w:szCs w:val="20"/>
          <w:color w:val="auto"/>
        </w:rPr>
      </w:pPr>
    </w:p>
    <w:p>
      <w:pPr>
        <w:ind w:left="120"/>
        <w:spacing w:after="0"/>
        <w:tabs>
          <w:tab w:leader="none" w:pos="1540" w:val="left"/>
        </w:tabs>
        <w:rPr>
          <w:sz w:val="20"/>
          <w:szCs w:val="20"/>
          <w:color w:val="auto"/>
        </w:rPr>
      </w:pPr>
      <w:r>
        <w:rPr>
          <w:rFonts w:ascii="Arial" w:cs="Arial" w:eastAsia="Arial" w:hAnsi="Arial"/>
          <w:sz w:val="16"/>
          <w:szCs w:val="16"/>
          <w:b w:val="1"/>
          <w:bCs w:val="1"/>
          <w:color w:val="auto"/>
        </w:rPr>
        <w:t>Mail Date:</w:t>
      </w:r>
      <w:r>
        <w:rPr>
          <w:sz w:val="20"/>
          <w:szCs w:val="20"/>
          <w:color w:val="auto"/>
        </w:rPr>
        <w:tab/>
      </w:r>
      <w:r>
        <w:rPr>
          <w:rFonts w:ascii="Arial" w:cs="Arial" w:eastAsia="Arial" w:hAnsi="Arial"/>
          <w:sz w:val="16"/>
          <w:szCs w:val="16"/>
          <w:color w:val="auto"/>
        </w:rPr>
        <w:t>We intend to mail the Notice Regarding the Availability of Proxy Materials, or Notice, or the proxy statement and proxy card, as</w:t>
      </w:r>
    </w:p>
    <w:p>
      <w:pPr>
        <w:spacing w:after="0" w:line="2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applicable, on or about April 6, 2023, to our stockholders.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Voting Matters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304"/>
        </w:trPr>
        <w:tc>
          <w:tcPr>
            <w:tcW w:w="8180" w:type="dxa"/>
            <w:vAlign w:val="bottom"/>
            <w:tcBorders>
              <w:bottom w:val="single" w:sz="8" w:color="0171B9"/>
            </w:tcBorders>
            <w:gridSpan w:val="2"/>
            <w:shd w:val="clear" w:color="auto" w:fill="0171B9"/>
          </w:tcPr>
          <w:p>
            <w:pPr>
              <w:ind w:left="80"/>
              <w:spacing w:after="0"/>
              <w:rPr>
                <w:sz w:val="20"/>
                <w:szCs w:val="20"/>
                <w:color w:val="auto"/>
              </w:rPr>
            </w:pPr>
            <w:r>
              <w:rPr>
                <w:rFonts w:ascii="Arial" w:cs="Arial" w:eastAsia="Arial" w:hAnsi="Arial"/>
                <w:sz w:val="16"/>
                <w:szCs w:val="16"/>
                <w:b w:val="1"/>
                <w:bCs w:val="1"/>
                <w:color w:val="FFFFFF"/>
              </w:rPr>
              <w:t>Matter</w:t>
            </w:r>
          </w:p>
        </w:tc>
        <w:tc>
          <w:tcPr>
            <w:tcW w:w="2840" w:type="dxa"/>
            <w:vAlign w:val="bottom"/>
            <w:tcBorders>
              <w:bottom w:val="single" w:sz="8" w:color="0171B9"/>
            </w:tcBorders>
            <w:shd w:val="clear" w:color="auto" w:fill="0171B9"/>
          </w:tcPr>
          <w:p>
            <w:pPr>
              <w:ind w:left="60"/>
              <w:spacing w:after="0"/>
              <w:rPr>
                <w:sz w:val="20"/>
                <w:szCs w:val="20"/>
                <w:color w:val="auto"/>
              </w:rPr>
            </w:pPr>
            <w:r>
              <w:rPr>
                <w:rFonts w:ascii="Arial" w:cs="Arial" w:eastAsia="Arial" w:hAnsi="Arial"/>
                <w:sz w:val="16"/>
                <w:szCs w:val="16"/>
                <w:b w:val="1"/>
                <w:bCs w:val="1"/>
                <w:color w:val="FFFFFF"/>
              </w:rPr>
              <w:t>Our Board Vote Recommendation</w:t>
            </w:r>
          </w:p>
        </w:tc>
        <w:tc>
          <w:tcPr>
            <w:tcW w:w="0" w:type="dxa"/>
            <w:vAlign w:val="bottom"/>
          </w:tcPr>
          <w:p>
            <w:pPr>
              <w:spacing w:after="0"/>
              <w:rPr>
                <w:sz w:val="1"/>
                <w:szCs w:val="1"/>
                <w:color w:val="auto"/>
              </w:rPr>
            </w:pPr>
          </w:p>
        </w:tc>
      </w:tr>
      <w:tr>
        <w:trPr>
          <w:trHeight w:val="215"/>
        </w:trPr>
        <w:tc>
          <w:tcPr>
            <w:tcW w:w="8180" w:type="dxa"/>
            <w:vAlign w:val="bottom"/>
            <w:gridSpan w:val="2"/>
          </w:tcPr>
          <w:p>
            <w:pPr>
              <w:ind w:left="80"/>
              <w:spacing w:after="0"/>
              <w:rPr>
                <w:sz w:val="20"/>
                <w:szCs w:val="20"/>
                <w:color w:val="auto"/>
              </w:rPr>
            </w:pPr>
            <w:r>
              <w:rPr>
                <w:rFonts w:ascii="Arial" w:cs="Arial" w:eastAsia="Arial" w:hAnsi="Arial"/>
                <w:sz w:val="16"/>
                <w:szCs w:val="16"/>
                <w:b w:val="1"/>
                <w:bCs w:val="1"/>
                <w:color w:val="auto"/>
              </w:rPr>
              <w:t>Management Proposals:</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8180" w:type="dxa"/>
            <w:vAlign w:val="bottom"/>
            <w:gridSpan w:val="2"/>
          </w:tcPr>
          <w:p>
            <w:pPr>
              <w:spacing w:after="0"/>
              <w:rPr>
                <w:sz w:val="3"/>
                <w:szCs w:val="3"/>
                <w:color w:val="auto"/>
              </w:rPr>
            </w:pPr>
          </w:p>
        </w:tc>
        <w:tc>
          <w:tcPr>
            <w:tcW w:w="2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580" w:type="dxa"/>
            <w:vAlign w:val="bottom"/>
            <w:shd w:val="clear" w:color="auto" w:fill="CCE2F1"/>
          </w:tcPr>
          <w:p>
            <w:pPr>
              <w:ind w:left="80"/>
              <w:spacing w:after="0"/>
              <w:rPr>
                <w:sz w:val="20"/>
                <w:szCs w:val="20"/>
                <w:color w:val="auto"/>
              </w:rPr>
            </w:pPr>
            <w:r>
              <w:rPr>
                <w:rFonts w:ascii="Arial" w:cs="Arial" w:eastAsia="Arial" w:hAnsi="Arial"/>
                <w:sz w:val="16"/>
                <w:szCs w:val="16"/>
                <w:color w:val="auto"/>
                <w:w w:val="98"/>
              </w:rPr>
              <w:t>Item 1:</w:t>
            </w:r>
          </w:p>
        </w:tc>
        <w:tc>
          <w:tcPr>
            <w:tcW w:w="7600" w:type="dxa"/>
            <w:vAlign w:val="bottom"/>
            <w:shd w:val="clear" w:color="auto" w:fill="CCE2F1"/>
          </w:tcPr>
          <w:p>
            <w:pPr>
              <w:ind w:left="100"/>
              <w:spacing w:after="0"/>
              <w:rPr>
                <w:sz w:val="20"/>
                <w:szCs w:val="20"/>
                <w:color w:val="auto"/>
              </w:rPr>
            </w:pPr>
            <w:r>
              <w:rPr>
                <w:rFonts w:ascii="Arial" w:cs="Arial" w:eastAsia="Arial" w:hAnsi="Arial"/>
                <w:sz w:val="16"/>
                <w:szCs w:val="16"/>
                <w:color w:val="auto"/>
              </w:rPr>
              <w:t>Election of the 13 Nominees to the Board of Directors Named in This Proxy Statement (page 8)</w:t>
            </w:r>
          </w:p>
        </w:tc>
        <w:tc>
          <w:tcPr>
            <w:tcW w:w="2840" w:type="dxa"/>
            <w:vAlign w:val="bottom"/>
            <w:shd w:val="clear" w:color="auto" w:fill="CCE2F1"/>
          </w:tcPr>
          <w:p>
            <w:pPr>
              <w:jc w:val="center"/>
              <w:spacing w:after="0"/>
              <w:rPr>
                <w:sz w:val="20"/>
                <w:szCs w:val="20"/>
                <w:color w:val="auto"/>
              </w:rPr>
            </w:pPr>
            <w:r>
              <w:rPr>
                <w:rFonts w:ascii="Arial" w:cs="Arial" w:eastAsia="Arial" w:hAnsi="Arial"/>
                <w:sz w:val="16"/>
                <w:szCs w:val="16"/>
                <w:color w:val="auto"/>
              </w:rPr>
              <w:t>FOR each Director Nominee</w:t>
            </w:r>
          </w:p>
        </w:tc>
        <w:tc>
          <w:tcPr>
            <w:tcW w:w="0" w:type="dxa"/>
            <w:vAlign w:val="bottom"/>
          </w:tcPr>
          <w:p>
            <w:pPr>
              <w:spacing w:after="0"/>
              <w:rPr>
                <w:sz w:val="1"/>
                <w:szCs w:val="1"/>
                <w:color w:val="auto"/>
              </w:rPr>
            </w:pPr>
          </w:p>
        </w:tc>
      </w:tr>
      <w:tr>
        <w:trPr>
          <w:trHeight w:val="87"/>
        </w:trPr>
        <w:tc>
          <w:tcPr>
            <w:tcW w:w="580" w:type="dxa"/>
            <w:vAlign w:val="bottom"/>
            <w:shd w:val="clear" w:color="auto" w:fill="CCE2F1"/>
          </w:tcPr>
          <w:p>
            <w:pPr>
              <w:spacing w:after="0"/>
              <w:rPr>
                <w:sz w:val="7"/>
                <w:szCs w:val="7"/>
                <w:color w:val="auto"/>
              </w:rPr>
            </w:pPr>
          </w:p>
        </w:tc>
        <w:tc>
          <w:tcPr>
            <w:tcW w:w="7600" w:type="dxa"/>
            <w:vAlign w:val="bottom"/>
            <w:shd w:val="clear" w:color="auto" w:fill="CCE2F1"/>
          </w:tcPr>
          <w:p>
            <w:pPr>
              <w:spacing w:after="0"/>
              <w:rPr>
                <w:sz w:val="7"/>
                <w:szCs w:val="7"/>
                <w:color w:val="auto"/>
              </w:rPr>
            </w:pPr>
          </w:p>
        </w:tc>
        <w:tc>
          <w:tcPr>
            <w:tcW w:w="2840" w:type="dxa"/>
            <w:vAlign w:val="bottom"/>
            <w:shd w:val="clear" w:color="auto" w:fill="CCE2F1"/>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8180" w:type="dxa"/>
            <w:vAlign w:val="bottom"/>
            <w:gridSpan w:val="2"/>
          </w:tcPr>
          <w:p>
            <w:pPr>
              <w:ind w:left="80"/>
              <w:spacing w:after="0"/>
              <w:rPr>
                <w:sz w:val="20"/>
                <w:szCs w:val="20"/>
                <w:color w:val="auto"/>
              </w:rPr>
            </w:pPr>
            <w:r>
              <w:rPr>
                <w:rFonts w:ascii="Arial" w:cs="Arial" w:eastAsia="Arial" w:hAnsi="Arial"/>
                <w:sz w:val="16"/>
                <w:szCs w:val="16"/>
                <w:color w:val="auto"/>
              </w:rPr>
              <w:t>Item 2: Advisory  Vote  on  the  Frequency  of  Future  Stockholder  Advisory  Votes  to  Approve  Executive</w:t>
            </w:r>
          </w:p>
        </w:tc>
        <w:tc>
          <w:tcPr>
            <w:tcW w:w="2840" w:type="dxa"/>
            <w:vAlign w:val="bottom"/>
            <w:vMerge w:val="restart"/>
          </w:tcPr>
          <w:p>
            <w:pPr>
              <w:jc w:val="center"/>
              <w:spacing w:after="0"/>
              <w:rPr>
                <w:sz w:val="20"/>
                <w:szCs w:val="20"/>
                <w:color w:val="auto"/>
              </w:rPr>
            </w:pPr>
            <w:r>
              <w:rPr>
                <w:rFonts w:ascii="Arial" w:cs="Arial" w:eastAsia="Arial" w:hAnsi="Arial"/>
                <w:sz w:val="16"/>
                <w:szCs w:val="16"/>
                <w:color w:val="auto"/>
              </w:rPr>
              <w:t>ONE YEAR</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7600" w:type="dxa"/>
            <w:vAlign w:val="bottom"/>
            <w:vMerge w:val="restart"/>
          </w:tcPr>
          <w:p>
            <w:pPr>
              <w:ind w:left="100"/>
              <w:spacing w:after="0"/>
              <w:rPr>
                <w:sz w:val="20"/>
                <w:szCs w:val="20"/>
                <w:color w:val="auto"/>
              </w:rPr>
            </w:pPr>
            <w:r>
              <w:rPr>
                <w:rFonts w:ascii="Arial" w:cs="Arial" w:eastAsia="Arial" w:hAnsi="Arial"/>
                <w:sz w:val="16"/>
                <w:szCs w:val="16"/>
                <w:color w:val="auto"/>
              </w:rPr>
              <w:t>Compensation (page 40)</w:t>
            </w:r>
          </w:p>
        </w:tc>
        <w:tc>
          <w:tcPr>
            <w:tcW w:w="2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7600" w:type="dxa"/>
            <w:vAlign w:val="bottom"/>
            <w:vMerge w:val="continue"/>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8180" w:type="dxa"/>
            <w:vAlign w:val="bottom"/>
            <w:gridSpan w:val="2"/>
          </w:tcPr>
          <w:p>
            <w:pPr>
              <w:spacing w:after="0"/>
              <w:rPr>
                <w:sz w:val="7"/>
                <w:szCs w:val="7"/>
                <w:color w:val="auto"/>
              </w:rPr>
            </w:pP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580" w:type="dxa"/>
            <w:vAlign w:val="bottom"/>
            <w:shd w:val="clear" w:color="auto" w:fill="CCE2F1"/>
          </w:tcPr>
          <w:p>
            <w:pPr>
              <w:ind w:left="80"/>
              <w:spacing w:after="0"/>
              <w:rPr>
                <w:sz w:val="20"/>
                <w:szCs w:val="20"/>
                <w:color w:val="auto"/>
              </w:rPr>
            </w:pPr>
            <w:r>
              <w:rPr>
                <w:rFonts w:ascii="Arial" w:cs="Arial" w:eastAsia="Arial" w:hAnsi="Arial"/>
                <w:sz w:val="16"/>
                <w:szCs w:val="16"/>
                <w:color w:val="auto"/>
                <w:w w:val="98"/>
              </w:rPr>
              <w:t>Item 3:</w:t>
            </w:r>
          </w:p>
        </w:tc>
        <w:tc>
          <w:tcPr>
            <w:tcW w:w="7600" w:type="dxa"/>
            <w:vAlign w:val="bottom"/>
            <w:shd w:val="clear" w:color="auto" w:fill="CCE2F1"/>
          </w:tcPr>
          <w:p>
            <w:pPr>
              <w:ind w:left="100"/>
              <w:spacing w:after="0"/>
              <w:rPr>
                <w:sz w:val="20"/>
                <w:szCs w:val="20"/>
                <w:color w:val="auto"/>
              </w:rPr>
            </w:pPr>
            <w:r>
              <w:rPr>
                <w:rFonts w:ascii="Arial" w:cs="Arial" w:eastAsia="Arial" w:hAnsi="Arial"/>
                <w:sz w:val="16"/>
                <w:szCs w:val="16"/>
                <w:color w:val="auto"/>
              </w:rPr>
              <w:t>Advisory Vote to Approve Our Executive Compensation (page 41)</w:t>
            </w:r>
          </w:p>
        </w:tc>
        <w:tc>
          <w:tcPr>
            <w:tcW w:w="2840" w:type="dxa"/>
            <w:vAlign w:val="bottom"/>
            <w:shd w:val="clear" w:color="auto" w:fill="CCE2F1"/>
          </w:tcPr>
          <w:p>
            <w:pPr>
              <w:jc w:val="center"/>
              <w:spacing w:after="0"/>
              <w:rPr>
                <w:sz w:val="20"/>
                <w:szCs w:val="20"/>
                <w:color w:val="auto"/>
              </w:rPr>
            </w:pPr>
            <w:r>
              <w:rPr>
                <w:rFonts w:ascii="Arial" w:cs="Arial" w:eastAsia="Arial" w:hAnsi="Arial"/>
                <w:sz w:val="16"/>
                <w:szCs w:val="16"/>
                <w:color w:val="auto"/>
              </w:rPr>
              <w:t>FOR</w:t>
            </w:r>
          </w:p>
        </w:tc>
        <w:tc>
          <w:tcPr>
            <w:tcW w:w="0" w:type="dxa"/>
            <w:vAlign w:val="bottom"/>
          </w:tcPr>
          <w:p>
            <w:pPr>
              <w:spacing w:after="0"/>
              <w:rPr>
                <w:sz w:val="1"/>
                <w:szCs w:val="1"/>
                <w:color w:val="auto"/>
              </w:rPr>
            </w:pPr>
          </w:p>
        </w:tc>
      </w:tr>
      <w:tr>
        <w:trPr>
          <w:trHeight w:val="74"/>
        </w:trPr>
        <w:tc>
          <w:tcPr>
            <w:tcW w:w="580" w:type="dxa"/>
            <w:vAlign w:val="bottom"/>
            <w:shd w:val="clear" w:color="auto" w:fill="CCE2F1"/>
          </w:tcPr>
          <w:p>
            <w:pPr>
              <w:spacing w:after="0"/>
              <w:rPr>
                <w:sz w:val="6"/>
                <w:szCs w:val="6"/>
                <w:color w:val="auto"/>
              </w:rPr>
            </w:pPr>
          </w:p>
        </w:tc>
        <w:tc>
          <w:tcPr>
            <w:tcW w:w="7600" w:type="dxa"/>
            <w:vAlign w:val="bottom"/>
            <w:shd w:val="clear" w:color="auto" w:fill="CCE2F1"/>
          </w:tcPr>
          <w:p>
            <w:pPr>
              <w:spacing w:after="0"/>
              <w:rPr>
                <w:sz w:val="6"/>
                <w:szCs w:val="6"/>
                <w:color w:val="auto"/>
              </w:rPr>
            </w:pPr>
          </w:p>
        </w:tc>
        <w:tc>
          <w:tcPr>
            <w:tcW w:w="2840" w:type="dxa"/>
            <w:vAlign w:val="bottom"/>
            <w:shd w:val="clear" w:color="auto" w:fill="CCE2F1"/>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8180" w:type="dxa"/>
            <w:vAlign w:val="bottom"/>
            <w:gridSpan w:val="2"/>
          </w:tcPr>
          <w:p>
            <w:pPr>
              <w:ind w:left="80"/>
              <w:spacing w:after="0"/>
              <w:rPr>
                <w:sz w:val="20"/>
                <w:szCs w:val="20"/>
                <w:color w:val="auto"/>
              </w:rPr>
            </w:pPr>
            <w:r>
              <w:rPr>
                <w:rFonts w:ascii="Arial" w:cs="Arial" w:eastAsia="Arial" w:hAnsi="Arial"/>
                <w:sz w:val="16"/>
                <w:szCs w:val="16"/>
                <w:color w:val="auto"/>
              </w:rPr>
              <w:t>Item 4: Ratification of Selection of Independent Registered Public Accountants (page 99)</w:t>
            </w:r>
          </w:p>
        </w:tc>
        <w:tc>
          <w:tcPr>
            <w:tcW w:w="2840" w:type="dxa"/>
            <w:vAlign w:val="bottom"/>
          </w:tcPr>
          <w:p>
            <w:pPr>
              <w:jc w:val="center"/>
              <w:spacing w:after="0"/>
              <w:rPr>
                <w:sz w:val="20"/>
                <w:szCs w:val="20"/>
                <w:color w:val="auto"/>
              </w:rPr>
            </w:pPr>
            <w:r>
              <w:rPr>
                <w:rFonts w:ascii="Arial" w:cs="Arial" w:eastAsia="Arial" w:hAnsi="Arial"/>
                <w:sz w:val="16"/>
                <w:szCs w:val="16"/>
                <w:color w:val="auto"/>
              </w:rPr>
              <w:t>FOR</w:t>
            </w:r>
          </w:p>
        </w:tc>
        <w:tc>
          <w:tcPr>
            <w:tcW w:w="0" w:type="dxa"/>
            <w:vAlign w:val="bottom"/>
          </w:tcPr>
          <w:p>
            <w:pPr>
              <w:spacing w:after="0"/>
              <w:rPr>
                <w:sz w:val="1"/>
                <w:szCs w:val="1"/>
                <w:color w:val="auto"/>
              </w:rPr>
            </w:pPr>
          </w:p>
        </w:tc>
      </w:tr>
      <w:tr>
        <w:trPr>
          <w:trHeight w:val="716"/>
        </w:trPr>
        <w:tc>
          <w:tcPr>
            <w:tcW w:w="8180" w:type="dxa"/>
            <w:vAlign w:val="bottom"/>
            <w:gridSpan w:val="2"/>
          </w:tcPr>
          <w:p>
            <w:pPr>
              <w:spacing w:after="0"/>
              <w:rPr>
                <w:sz w:val="20"/>
                <w:szCs w:val="20"/>
                <w:color w:val="auto"/>
              </w:rPr>
            </w:pPr>
            <w:r>
              <w:rPr>
                <w:rFonts w:ascii="Arial" w:cs="Arial" w:eastAsia="Arial" w:hAnsi="Arial"/>
                <w:sz w:val="25"/>
                <w:szCs w:val="25"/>
                <w:b w:val="1"/>
                <w:bCs w:val="1"/>
                <w:color w:val="0171B9"/>
              </w:rPr>
              <w:t>How to Vote</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80" w:type="dxa"/>
            <w:vAlign w:val="bottom"/>
            <w:tcBorders>
              <w:bottom w:val="single" w:sz="8" w:color="666666"/>
            </w:tcBorders>
          </w:tcPr>
          <w:p>
            <w:pPr>
              <w:spacing w:after="0"/>
              <w:rPr>
                <w:sz w:val="3"/>
                <w:szCs w:val="3"/>
                <w:color w:val="auto"/>
              </w:rPr>
            </w:pPr>
          </w:p>
        </w:tc>
        <w:tc>
          <w:tcPr>
            <w:tcW w:w="7600" w:type="dxa"/>
            <w:vAlign w:val="bottom"/>
            <w:tcBorders>
              <w:bottom w:val="single" w:sz="8" w:color="666666"/>
            </w:tcBorders>
          </w:tcPr>
          <w:p>
            <w:pPr>
              <w:spacing w:after="0"/>
              <w:rPr>
                <w:sz w:val="3"/>
                <w:szCs w:val="3"/>
                <w:color w:val="auto"/>
              </w:rPr>
            </w:pPr>
          </w:p>
        </w:tc>
        <w:tc>
          <w:tcPr>
            <w:tcW w:w="2840" w:type="dxa"/>
            <w:vAlign w:val="bottom"/>
            <w:tcBorders>
              <w:bottom w:val="single" w:sz="8" w:color="66666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480060"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0060" cy="488950"/>
                    </a:xfrm>
                    <a:prstGeom prst="rect">
                      <a:avLst/>
                    </a:prstGeom>
                    <a:noFill/>
                  </pic:spPr>
                </pic:pic>
              </a:graphicData>
            </a:graphic>
          </wp:anchor>
        </w:drawing>
      </w:r>
    </w:p>
    <w:p>
      <w:pPr>
        <w:spacing w:after="0" w:line="205" w:lineRule="exact"/>
        <w:rPr>
          <w:sz w:val="20"/>
          <w:szCs w:val="20"/>
          <w:color w:val="auto"/>
        </w:rPr>
      </w:pPr>
    </w:p>
    <w:p>
      <w:pPr>
        <w:jc w:val="both"/>
        <w:ind w:left="1440" w:right="20" w:hanging="214"/>
        <w:spacing w:after="0" w:line="266" w:lineRule="auto"/>
        <w:rPr>
          <w:sz w:val="20"/>
          <w:szCs w:val="20"/>
          <w:color w:val="auto"/>
        </w:rPr>
      </w:pPr>
      <w:r>
        <w:rPr>
          <w:rFonts w:ascii="Arial" w:cs="Arial" w:eastAsia="Arial" w:hAnsi="Arial"/>
          <w:sz w:val="16"/>
          <w:szCs w:val="16"/>
          <w:color w:val="0171B9"/>
        </w:rPr>
        <w:t>•</w:t>
      </w:r>
      <w:r>
        <w:rPr>
          <w:rFonts w:ascii="Arial" w:cs="Arial" w:eastAsia="Arial" w:hAnsi="Arial"/>
          <w:sz w:val="16"/>
          <w:szCs w:val="16"/>
          <w:color w:val="000000"/>
        </w:rPr>
        <w:t xml:space="preserve"> </w:t>
      </w:r>
      <w:r>
        <w:rPr>
          <w:rFonts w:ascii="Arial" w:cs="Arial" w:eastAsia="Arial" w:hAnsi="Arial"/>
          <w:sz w:val="16"/>
          <w:szCs w:val="16"/>
          <w:color w:val="0171B9"/>
        </w:rPr>
        <w:t xml:space="preserve"> </w:t>
      </w:r>
      <w:r>
        <w:rPr>
          <w:rFonts w:ascii="Arial" w:cs="Arial" w:eastAsia="Arial" w:hAnsi="Arial"/>
          <w:sz w:val="16"/>
          <w:szCs w:val="16"/>
          <w:b w:val="1"/>
          <w:bCs w:val="1"/>
          <w:color w:val="0171B9"/>
        </w:rPr>
        <w:t>By Internet:</w:t>
      </w:r>
      <w:r>
        <w:rPr>
          <w:rFonts w:ascii="Arial" w:cs="Arial" w:eastAsia="Arial" w:hAnsi="Arial"/>
          <w:sz w:val="16"/>
          <w:szCs w:val="16"/>
          <w:color w:val="0171B9"/>
        </w:rPr>
        <w:t xml:space="preserve"> </w:t>
      </w:r>
      <w:r>
        <w:rPr>
          <w:rFonts w:ascii="Arial" w:cs="Arial" w:eastAsia="Arial" w:hAnsi="Arial"/>
          <w:sz w:val="16"/>
          <w:szCs w:val="16"/>
          <w:color w:val="000000"/>
        </w:rPr>
        <w:t>You may submit a proxy over the internet by following the instructions on the website referred to in the Notice, proxy card,</w:t>
      </w:r>
      <w:r>
        <w:rPr>
          <w:rFonts w:ascii="Arial" w:cs="Arial" w:eastAsia="Arial" w:hAnsi="Arial"/>
          <w:sz w:val="16"/>
          <w:szCs w:val="16"/>
          <w:color w:val="0171B9"/>
        </w:rPr>
        <w:t xml:space="preserve"> </w:t>
      </w:r>
      <w:r>
        <w:rPr>
          <w:rFonts w:ascii="Arial" w:cs="Arial" w:eastAsia="Arial" w:hAnsi="Arial"/>
          <w:sz w:val="16"/>
          <w:szCs w:val="16"/>
          <w:color w:val="000000"/>
        </w:rPr>
        <w:t>or voting instruction form mailed to you. You will need the control number that appears on your Notice, proxy card, or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497205" cy="43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7205" cy="437515"/>
                    </a:xfrm>
                    <a:prstGeom prst="rect">
                      <a:avLst/>
                    </a:prstGeom>
                    <a:noFill/>
                  </pic:spPr>
                </pic:pic>
              </a:graphicData>
            </a:graphic>
          </wp:anchor>
        </w:drawing>
      </w:r>
    </w:p>
    <w:p>
      <w:pPr>
        <w:spacing w:after="0" w:line="219" w:lineRule="exact"/>
        <w:rPr>
          <w:sz w:val="20"/>
          <w:szCs w:val="20"/>
          <w:color w:val="auto"/>
        </w:rPr>
      </w:pPr>
    </w:p>
    <w:p>
      <w:pPr>
        <w:jc w:val="both"/>
        <w:ind w:left="1440" w:right="20" w:hanging="214"/>
        <w:spacing w:after="0" w:line="266" w:lineRule="auto"/>
        <w:rPr>
          <w:sz w:val="20"/>
          <w:szCs w:val="20"/>
          <w:color w:val="auto"/>
        </w:rPr>
      </w:pPr>
      <w:r>
        <w:rPr>
          <w:rFonts w:ascii="Arial" w:cs="Arial" w:eastAsia="Arial" w:hAnsi="Arial"/>
          <w:sz w:val="16"/>
          <w:szCs w:val="16"/>
          <w:color w:val="0171B9"/>
        </w:rPr>
        <w:t>•</w:t>
      </w:r>
      <w:r>
        <w:rPr>
          <w:rFonts w:ascii="Arial" w:cs="Arial" w:eastAsia="Arial" w:hAnsi="Arial"/>
          <w:sz w:val="16"/>
          <w:szCs w:val="16"/>
          <w:color w:val="000000"/>
        </w:rPr>
        <w:t xml:space="preserve"> </w:t>
      </w:r>
      <w:r>
        <w:rPr>
          <w:rFonts w:ascii="Arial" w:cs="Arial" w:eastAsia="Arial" w:hAnsi="Arial"/>
          <w:sz w:val="16"/>
          <w:szCs w:val="16"/>
          <w:color w:val="0171B9"/>
        </w:rPr>
        <w:t xml:space="preserve"> </w:t>
      </w:r>
      <w:r>
        <w:rPr>
          <w:rFonts w:ascii="Arial" w:cs="Arial" w:eastAsia="Arial" w:hAnsi="Arial"/>
          <w:sz w:val="16"/>
          <w:szCs w:val="16"/>
          <w:b w:val="1"/>
          <w:bCs w:val="1"/>
          <w:color w:val="0171B9"/>
        </w:rPr>
        <w:t>By Telephone:</w:t>
      </w:r>
      <w:r>
        <w:rPr>
          <w:rFonts w:ascii="Arial" w:cs="Arial" w:eastAsia="Arial" w:hAnsi="Arial"/>
          <w:sz w:val="16"/>
          <w:szCs w:val="16"/>
          <w:color w:val="0171B9"/>
        </w:rPr>
        <w:t xml:space="preserve"> </w:t>
      </w:r>
      <w:r>
        <w:rPr>
          <w:rFonts w:ascii="Arial" w:cs="Arial" w:eastAsia="Arial" w:hAnsi="Arial"/>
          <w:sz w:val="16"/>
          <w:szCs w:val="16"/>
          <w:color w:val="000000"/>
        </w:rPr>
        <w:t>You may submit a proxy by telephone by following the instructions on the website referred to in the Notice, proxy card,</w:t>
      </w:r>
      <w:r>
        <w:rPr>
          <w:rFonts w:ascii="Arial" w:cs="Arial" w:eastAsia="Arial" w:hAnsi="Arial"/>
          <w:sz w:val="16"/>
          <w:szCs w:val="16"/>
          <w:color w:val="0171B9"/>
        </w:rPr>
        <w:t xml:space="preserve"> </w:t>
      </w:r>
      <w:r>
        <w:rPr>
          <w:rFonts w:ascii="Arial" w:cs="Arial" w:eastAsia="Arial" w:hAnsi="Arial"/>
          <w:sz w:val="16"/>
          <w:szCs w:val="16"/>
          <w:color w:val="000000"/>
        </w:rPr>
        <w:t>or voting instruction form mailed to you. You will need the control number that appears on your Notice, proxy card, or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497205" cy="43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7205" cy="437515"/>
                    </a:xfrm>
                    <a:prstGeom prst="rect">
                      <a:avLst/>
                    </a:prstGeom>
                    <a:noFill/>
                  </pic:spPr>
                </pic:pic>
              </a:graphicData>
            </a:graphic>
          </wp:anchor>
        </w:drawing>
      </w:r>
    </w:p>
    <w:p>
      <w:pPr>
        <w:spacing w:after="0" w:line="178" w:lineRule="exact"/>
        <w:rPr>
          <w:sz w:val="20"/>
          <w:szCs w:val="20"/>
          <w:color w:val="auto"/>
        </w:rPr>
      </w:pPr>
    </w:p>
    <w:p>
      <w:pPr>
        <w:jc w:val="both"/>
        <w:ind w:left="1440" w:hanging="214"/>
        <w:spacing w:after="0" w:line="266" w:lineRule="auto"/>
        <w:rPr>
          <w:sz w:val="20"/>
          <w:szCs w:val="20"/>
          <w:color w:val="auto"/>
        </w:rPr>
      </w:pPr>
      <w:r>
        <w:rPr>
          <w:rFonts w:ascii="Arial" w:cs="Arial" w:eastAsia="Arial" w:hAnsi="Arial"/>
          <w:sz w:val="16"/>
          <w:szCs w:val="16"/>
          <w:color w:val="0171B9"/>
        </w:rPr>
        <w:t>•</w:t>
      </w:r>
      <w:r>
        <w:rPr>
          <w:rFonts w:ascii="Arial" w:cs="Arial" w:eastAsia="Arial" w:hAnsi="Arial"/>
          <w:sz w:val="16"/>
          <w:szCs w:val="16"/>
          <w:color w:val="000000"/>
        </w:rPr>
        <w:t xml:space="preserve"> </w:t>
      </w:r>
      <w:r>
        <w:rPr>
          <w:rFonts w:ascii="Arial" w:cs="Arial" w:eastAsia="Arial" w:hAnsi="Arial"/>
          <w:sz w:val="16"/>
          <w:szCs w:val="16"/>
          <w:color w:val="0171B9"/>
        </w:rPr>
        <w:t xml:space="preserve"> </w:t>
      </w:r>
      <w:r>
        <w:rPr>
          <w:rFonts w:ascii="Arial" w:cs="Arial" w:eastAsia="Arial" w:hAnsi="Arial"/>
          <w:sz w:val="16"/>
          <w:szCs w:val="16"/>
          <w:b w:val="1"/>
          <w:bCs w:val="1"/>
          <w:color w:val="0171B9"/>
        </w:rPr>
        <w:t>By Mail:</w:t>
      </w:r>
      <w:r>
        <w:rPr>
          <w:rFonts w:ascii="Arial" w:cs="Arial" w:eastAsia="Arial" w:hAnsi="Arial"/>
          <w:sz w:val="16"/>
          <w:szCs w:val="16"/>
          <w:color w:val="0171B9"/>
        </w:rPr>
        <w:t xml:space="preserve"> </w:t>
      </w:r>
      <w:r>
        <w:rPr>
          <w:rFonts w:ascii="Arial" w:cs="Arial" w:eastAsia="Arial" w:hAnsi="Arial"/>
          <w:sz w:val="16"/>
          <w:szCs w:val="16"/>
          <w:color w:val="000000"/>
        </w:rPr>
        <w:t>If you received a full paper set of materials, date and sign your proxy card or voting instruction form and mail it in the</w:t>
      </w:r>
      <w:r>
        <w:rPr>
          <w:rFonts w:ascii="Arial" w:cs="Arial" w:eastAsia="Arial" w:hAnsi="Arial"/>
          <w:sz w:val="16"/>
          <w:szCs w:val="16"/>
          <w:color w:val="0171B9"/>
        </w:rPr>
        <w:t xml:space="preserve"> </w:t>
      </w:r>
      <w:r>
        <w:rPr>
          <w:rFonts w:ascii="Arial" w:cs="Arial" w:eastAsia="Arial" w:hAnsi="Arial"/>
          <w:sz w:val="16"/>
          <w:szCs w:val="16"/>
          <w:color w:val="000000"/>
        </w:rPr>
        <w:t>enclosed, postage-paid envelope. If you received a Notice, you may request a proxy card by following the instructions on your Notice. You do not need to mail the proxy card if you are submitting your proxy by internet or telephone.</w:t>
      </w:r>
    </w:p>
    <w:p>
      <w:pPr>
        <w:spacing w:after="0" w:line="144" w:lineRule="exact"/>
        <w:rPr>
          <w:sz w:val="20"/>
          <w:szCs w:val="20"/>
          <w:color w:val="auto"/>
        </w:rPr>
      </w:pPr>
    </w:p>
    <w:p>
      <w:pPr>
        <w:jc w:val="both"/>
        <w:ind w:left="1440" w:hanging="214"/>
        <w:spacing w:after="0" w:line="254" w:lineRule="auto"/>
        <w:rPr>
          <w:sz w:val="20"/>
          <w:szCs w:val="20"/>
          <w:color w:val="auto"/>
        </w:rPr>
      </w:pPr>
      <w:r>
        <w:rPr>
          <w:rFonts w:ascii="Arial" w:cs="Arial" w:eastAsia="Arial" w:hAnsi="Arial"/>
          <w:sz w:val="16"/>
          <w:szCs w:val="16"/>
          <w:color w:val="0171B9"/>
        </w:rPr>
        <w:t>•</w:t>
      </w:r>
      <w:r>
        <w:rPr>
          <w:rFonts w:ascii="Arial" w:cs="Arial" w:eastAsia="Arial" w:hAnsi="Arial"/>
          <w:sz w:val="16"/>
          <w:szCs w:val="16"/>
          <w:color w:val="000000"/>
        </w:rPr>
        <w:t xml:space="preserve"> </w:t>
      </w:r>
      <w:r>
        <w:rPr>
          <w:rFonts w:ascii="Arial" w:cs="Arial" w:eastAsia="Arial" w:hAnsi="Arial"/>
          <w:sz w:val="16"/>
          <w:szCs w:val="16"/>
          <w:color w:val="0171B9"/>
        </w:rPr>
        <w:t xml:space="preserve"> </w:t>
      </w:r>
      <w:r>
        <w:rPr>
          <w:rFonts w:ascii="Arial" w:cs="Arial" w:eastAsia="Arial" w:hAnsi="Arial"/>
          <w:sz w:val="16"/>
          <w:szCs w:val="16"/>
          <w:b w:val="1"/>
          <w:bCs w:val="1"/>
          <w:color w:val="0171B9"/>
        </w:rPr>
        <w:t>At the Meeting:</w:t>
      </w:r>
      <w:r>
        <w:rPr>
          <w:rFonts w:ascii="Arial" w:cs="Arial" w:eastAsia="Arial" w:hAnsi="Arial"/>
          <w:sz w:val="16"/>
          <w:szCs w:val="16"/>
          <w:color w:val="0171B9"/>
        </w:rPr>
        <w:t xml:space="preserve"> </w:t>
      </w:r>
      <w:r>
        <w:rPr>
          <w:rFonts w:ascii="Arial" w:cs="Arial" w:eastAsia="Arial" w:hAnsi="Arial"/>
          <w:sz w:val="16"/>
          <w:szCs w:val="16"/>
          <w:color w:val="000000"/>
        </w:rPr>
        <w:t>To vote at the Annual Meeting, visit</w:t>
      </w:r>
      <w:r>
        <w:rPr>
          <w:rFonts w:ascii="Arial" w:cs="Arial" w:eastAsia="Arial" w:hAnsi="Arial"/>
          <w:sz w:val="16"/>
          <w:szCs w:val="16"/>
          <w:color w:val="0171B9"/>
        </w:rPr>
        <w:t xml:space="preserve"> </w:t>
      </w:r>
      <w:r>
        <w:rPr>
          <w:rFonts w:ascii="Arial" w:cs="Arial" w:eastAsia="Arial" w:hAnsi="Arial"/>
          <w:sz w:val="16"/>
          <w:szCs w:val="16"/>
          <w:i w:val="1"/>
          <w:iCs w:val="1"/>
          <w:color w:val="0171B9"/>
        </w:rPr>
        <w:t>www.virtualshareholdermeeting.com/AMGN2023</w:t>
      </w:r>
      <w:r>
        <w:rPr>
          <w:rFonts w:ascii="Arial" w:cs="Arial" w:eastAsia="Arial" w:hAnsi="Arial"/>
          <w:sz w:val="16"/>
          <w:szCs w:val="16"/>
          <w:color w:val="000000"/>
        </w:rPr>
        <w:t>. You will need the control</w:t>
      </w:r>
      <w:r>
        <w:rPr>
          <w:rFonts w:ascii="Arial" w:cs="Arial" w:eastAsia="Arial" w:hAnsi="Arial"/>
          <w:sz w:val="16"/>
          <w:szCs w:val="16"/>
          <w:color w:val="0171B9"/>
        </w:rPr>
        <w:t xml:space="preserve"> </w:t>
      </w:r>
      <w:r>
        <w:rPr>
          <w:rFonts w:ascii="Arial" w:cs="Arial" w:eastAsia="Arial" w:hAnsi="Arial"/>
          <w:sz w:val="16"/>
          <w:szCs w:val="16"/>
          <w:color w:val="000000"/>
        </w:rPr>
        <w:t xml:space="preserve">number that appears on your Notice, proxy card, or voting instruction form. </w:t>
      </w:r>
      <w:r>
        <w:rPr>
          <w:rFonts w:ascii="Arial" w:cs="Arial" w:eastAsia="Arial" w:hAnsi="Arial"/>
          <w:sz w:val="16"/>
          <w:szCs w:val="16"/>
          <w:b w:val="1"/>
          <w:bCs w:val="1"/>
          <w:color w:val="000000"/>
        </w:rPr>
        <w:t>Please note that if your shares are held of record by a</w:t>
      </w:r>
      <w:r>
        <w:rPr>
          <w:rFonts w:ascii="Arial" w:cs="Arial" w:eastAsia="Arial" w:hAnsi="Arial"/>
          <w:sz w:val="16"/>
          <w:szCs w:val="16"/>
          <w:color w:val="000000"/>
        </w:rPr>
        <w:t xml:space="preserve"> </w:t>
      </w:r>
      <w:r>
        <w:rPr>
          <w:rFonts w:ascii="Arial" w:cs="Arial" w:eastAsia="Arial" w:hAnsi="Arial"/>
          <w:sz w:val="16"/>
          <w:szCs w:val="16"/>
          <w:b w:val="1"/>
          <w:bCs w:val="1"/>
          <w:color w:val="000000"/>
        </w:rPr>
        <w:t xml:space="preserve">broker, bank, trust, or other nominee, and you decide to attend and vote at the Annual Meeting, your vote at the Annual Meeting will not be effective unless you provide a legal proxy, issued in your name from the record holder (your broker, bank, trust, or other nominee). </w:t>
      </w:r>
      <w:r>
        <w:rPr>
          <w:rFonts w:ascii="Arial" w:cs="Arial" w:eastAsia="Arial" w:hAnsi="Arial"/>
          <w:sz w:val="16"/>
          <w:szCs w:val="16"/>
          <w:color w:val="000000"/>
        </w:rPr>
        <w:t>Please read “Information Concerning Voting and Solicitation—Attendance at the Annual Meeting.” Even if</w:t>
      </w:r>
      <w:r>
        <w:rPr>
          <w:rFonts w:ascii="Arial" w:cs="Arial" w:eastAsia="Arial" w:hAnsi="Arial"/>
          <w:sz w:val="16"/>
          <w:szCs w:val="16"/>
          <w:b w:val="1"/>
          <w:bCs w:val="1"/>
          <w:color w:val="000000"/>
        </w:rPr>
        <w:t xml:space="preserve"> </w:t>
      </w:r>
      <w:r>
        <w:rPr>
          <w:rFonts w:ascii="Arial" w:cs="Arial" w:eastAsia="Arial" w:hAnsi="Arial"/>
          <w:sz w:val="16"/>
          <w:szCs w:val="16"/>
          <w:color w:val="000000"/>
        </w:rPr>
        <w:t>you intend to attend the Annual Meeting, we encourage you to submit your proxy in advance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-729615</wp:posOffset>
            </wp:positionV>
            <wp:extent cx="497205" cy="43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7205" cy="43751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115" w:lineRule="exact"/>
        <w:rPr>
          <w:sz w:val="20"/>
          <w:szCs w:val="20"/>
          <w:color w:val="auto"/>
        </w:rPr>
      </w:pPr>
    </w:p>
    <w:p>
      <w:pPr>
        <w:ind w:left="8720"/>
        <w:spacing w:after="0"/>
        <w:tabs>
          <w:tab w:leader="none" w:pos="110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20"/>
          <w:szCs w:val="20"/>
          <w:b w:val="1"/>
          <w:bCs w:val="1"/>
          <w:color w:val="474747"/>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-162560</wp:posOffset>
            </wp:positionV>
            <wp:extent cx="58293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205740</wp:posOffset>
            </wp:positionV>
            <wp:extent cx="1877060"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77060" cy="214630"/>
                    </a:xfrm>
                    <a:prstGeom prst="rect">
                      <a:avLst/>
                    </a:prstGeom>
                    <a:noFill/>
                  </pic:spPr>
                </pic:pic>
              </a:graphicData>
            </a:graphic>
          </wp:anchor>
        </w:drawing>
      </w:r>
    </w:p>
    <w:p>
      <w:pPr>
        <w:spacing w:after="0" w:line="312" w:lineRule="exact"/>
        <w:rPr>
          <w:sz w:val="20"/>
          <w:szCs w:val="20"/>
          <w:color w:val="auto"/>
        </w:rPr>
      </w:pPr>
    </w:p>
    <w:p>
      <w:pPr>
        <w:ind w:left="8320"/>
        <w:spacing w:after="0"/>
        <w:rPr>
          <w:sz w:val="20"/>
          <w:szCs w:val="20"/>
          <w:color w:val="auto"/>
        </w:rPr>
      </w:pPr>
      <w:r>
        <w:rPr>
          <w:rFonts w:ascii="Arial" w:cs="Arial" w:eastAsia="Arial" w:hAnsi="Arial"/>
          <w:sz w:val="22"/>
          <w:szCs w:val="22"/>
          <w:b w:val="1"/>
          <w:bCs w:val="1"/>
          <w:color w:val="FFFFFF"/>
        </w:rPr>
        <w:t>Proxy Statement Summary</w:t>
      </w:r>
    </w:p>
    <w:p>
      <w:pPr>
        <w:spacing w:after="0" w:line="326" w:lineRule="exact"/>
        <w:rPr>
          <w:sz w:val="20"/>
          <w:szCs w:val="20"/>
          <w:color w:val="auto"/>
        </w:rPr>
      </w:pPr>
    </w:p>
    <w:p>
      <w:pPr>
        <w:ind w:left="120" w:right="1260"/>
        <w:spacing w:after="0" w:line="280" w:lineRule="auto"/>
        <w:rPr>
          <w:sz w:val="20"/>
          <w:szCs w:val="20"/>
          <w:color w:val="auto"/>
        </w:rPr>
      </w:pPr>
      <w:r>
        <w:rPr>
          <w:rFonts w:ascii="Arial" w:cs="Arial" w:eastAsia="Arial" w:hAnsi="Arial"/>
          <w:sz w:val="36"/>
          <w:szCs w:val="36"/>
          <w:b w:val="1"/>
          <w:bCs w:val="1"/>
          <w:color w:val="0171B9"/>
        </w:rPr>
        <w:t>Item 1: Election of 13 Nominees to the Board of Directors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4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Current Composition of the Board and 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248285</wp:posOffset>
            </wp:positionV>
            <wp:extent cx="5974715" cy="2459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74715"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Nominees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20" w:type="dxa"/>
            <w:vAlign w:val="bottom"/>
            <w:shd w:val="clear" w:color="auto" w:fill="0171B9"/>
          </w:tcPr>
          <w:p>
            <w:pPr>
              <w:spacing w:after="0"/>
              <w:rPr>
                <w:sz w:val="16"/>
                <w:szCs w:val="16"/>
                <w:color w:val="auto"/>
              </w:rPr>
            </w:pPr>
          </w:p>
        </w:tc>
        <w:tc>
          <w:tcPr>
            <w:tcW w:w="1580" w:type="dxa"/>
            <w:vAlign w:val="bottom"/>
            <w:shd w:val="clear" w:color="auto" w:fill="0171B9"/>
          </w:tcPr>
          <w:p>
            <w:pPr>
              <w:spacing w:after="0"/>
              <w:rPr>
                <w:sz w:val="16"/>
                <w:szCs w:val="16"/>
                <w:color w:val="auto"/>
              </w:rPr>
            </w:pPr>
          </w:p>
        </w:tc>
        <w:tc>
          <w:tcPr>
            <w:tcW w:w="1340" w:type="dxa"/>
            <w:vAlign w:val="bottom"/>
            <w:shd w:val="clear" w:color="auto" w:fill="0171B9"/>
          </w:tcPr>
          <w:p>
            <w:pPr>
              <w:spacing w:after="0"/>
              <w:rPr>
                <w:sz w:val="16"/>
                <w:szCs w:val="16"/>
                <w:color w:val="auto"/>
              </w:rPr>
            </w:pPr>
          </w:p>
        </w:tc>
        <w:tc>
          <w:tcPr>
            <w:tcW w:w="560" w:type="dxa"/>
            <w:vAlign w:val="bottom"/>
            <w:shd w:val="clear" w:color="auto" w:fill="0171B9"/>
          </w:tcPr>
          <w:p>
            <w:pPr>
              <w:spacing w:after="0"/>
              <w:rPr>
                <w:sz w:val="16"/>
                <w:szCs w:val="16"/>
                <w:color w:val="auto"/>
              </w:rPr>
            </w:pPr>
          </w:p>
        </w:tc>
        <w:tc>
          <w:tcPr>
            <w:tcW w:w="880" w:type="dxa"/>
            <w:vAlign w:val="bottom"/>
            <w:shd w:val="clear" w:color="auto" w:fill="0171B9"/>
          </w:tcPr>
          <w:p>
            <w:pPr>
              <w:spacing w:after="0"/>
              <w:rPr>
                <w:sz w:val="16"/>
                <w:szCs w:val="16"/>
                <w:color w:val="auto"/>
              </w:rPr>
            </w:pPr>
          </w:p>
        </w:tc>
        <w:tc>
          <w:tcPr>
            <w:tcW w:w="660" w:type="dxa"/>
            <w:vAlign w:val="bottom"/>
            <w:shd w:val="clear" w:color="auto" w:fill="0171B9"/>
          </w:tcPr>
          <w:p>
            <w:pPr>
              <w:spacing w:after="0"/>
              <w:rPr>
                <w:sz w:val="16"/>
                <w:szCs w:val="16"/>
                <w:color w:val="auto"/>
              </w:rPr>
            </w:pPr>
          </w:p>
        </w:tc>
        <w:tc>
          <w:tcPr>
            <w:tcW w:w="1180" w:type="dxa"/>
            <w:vAlign w:val="bottom"/>
            <w:shd w:val="clear" w:color="auto" w:fill="0171B9"/>
          </w:tcPr>
          <w:p>
            <w:pPr>
              <w:spacing w:after="0"/>
              <w:rPr>
                <w:sz w:val="16"/>
                <w:szCs w:val="16"/>
                <w:color w:val="auto"/>
              </w:rPr>
            </w:pPr>
          </w:p>
        </w:tc>
        <w:tc>
          <w:tcPr>
            <w:tcW w:w="1020" w:type="dxa"/>
            <w:vAlign w:val="bottom"/>
            <w:shd w:val="clear" w:color="auto" w:fill="0171B9"/>
          </w:tcPr>
          <w:p>
            <w:pPr>
              <w:spacing w:after="0"/>
              <w:rPr>
                <w:sz w:val="16"/>
                <w:szCs w:val="16"/>
                <w:color w:val="auto"/>
              </w:rPr>
            </w:pPr>
          </w:p>
        </w:tc>
        <w:tc>
          <w:tcPr>
            <w:tcW w:w="1360" w:type="dxa"/>
            <w:vAlign w:val="bottom"/>
            <w:shd w:val="clear" w:color="auto" w:fill="0171B9"/>
          </w:tcPr>
          <w:p>
            <w:pPr>
              <w:jc w:val="center"/>
              <w:spacing w:after="0"/>
              <w:rPr>
                <w:sz w:val="20"/>
                <w:szCs w:val="20"/>
                <w:color w:val="auto"/>
              </w:rPr>
            </w:pPr>
            <w:r>
              <w:rPr>
                <w:rFonts w:ascii="Arial" w:cs="Arial" w:eastAsia="Arial" w:hAnsi="Arial"/>
                <w:sz w:val="16"/>
                <w:szCs w:val="16"/>
                <w:b w:val="1"/>
                <w:bCs w:val="1"/>
                <w:color w:val="FFFFFF"/>
              </w:rPr>
              <w:t>Compensation</w:t>
            </w:r>
          </w:p>
        </w:tc>
        <w:tc>
          <w:tcPr>
            <w:tcW w:w="760" w:type="dxa"/>
            <w:vAlign w:val="bottom"/>
            <w:shd w:val="clear" w:color="auto" w:fill="0171B9"/>
          </w:tcPr>
          <w:p>
            <w:pPr>
              <w:spacing w:after="0"/>
              <w:rPr>
                <w:sz w:val="16"/>
                <w:szCs w:val="16"/>
                <w:color w:val="auto"/>
              </w:rPr>
            </w:pPr>
          </w:p>
        </w:tc>
        <w:tc>
          <w:tcPr>
            <w:tcW w:w="136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Corporate</w:t>
            </w:r>
          </w:p>
        </w:tc>
      </w:tr>
      <w:tr>
        <w:trPr>
          <w:trHeight w:val="189"/>
        </w:trPr>
        <w:tc>
          <w:tcPr>
            <w:tcW w:w="320" w:type="dxa"/>
            <w:vAlign w:val="bottom"/>
            <w:shd w:val="clear" w:color="auto" w:fill="0171B9"/>
          </w:tcPr>
          <w:p>
            <w:pPr>
              <w:spacing w:after="0"/>
              <w:rPr>
                <w:sz w:val="16"/>
                <w:szCs w:val="16"/>
                <w:color w:val="auto"/>
              </w:rPr>
            </w:pPr>
          </w:p>
        </w:tc>
        <w:tc>
          <w:tcPr>
            <w:tcW w:w="1580" w:type="dxa"/>
            <w:vAlign w:val="bottom"/>
            <w:shd w:val="clear" w:color="auto" w:fill="0171B9"/>
          </w:tcPr>
          <w:p>
            <w:pPr>
              <w:spacing w:after="0"/>
              <w:rPr>
                <w:sz w:val="16"/>
                <w:szCs w:val="16"/>
                <w:color w:val="auto"/>
              </w:rPr>
            </w:pPr>
          </w:p>
        </w:tc>
        <w:tc>
          <w:tcPr>
            <w:tcW w:w="1340" w:type="dxa"/>
            <w:vAlign w:val="bottom"/>
            <w:shd w:val="clear" w:color="auto" w:fill="0171B9"/>
          </w:tcPr>
          <w:p>
            <w:pPr>
              <w:spacing w:after="0"/>
              <w:rPr>
                <w:sz w:val="16"/>
                <w:szCs w:val="16"/>
                <w:color w:val="auto"/>
              </w:rPr>
            </w:pPr>
          </w:p>
        </w:tc>
        <w:tc>
          <w:tcPr>
            <w:tcW w:w="560" w:type="dxa"/>
            <w:vAlign w:val="bottom"/>
            <w:shd w:val="clear" w:color="auto" w:fill="0171B9"/>
          </w:tcPr>
          <w:p>
            <w:pPr>
              <w:spacing w:after="0"/>
              <w:rPr>
                <w:sz w:val="16"/>
                <w:szCs w:val="16"/>
                <w:color w:val="auto"/>
              </w:rPr>
            </w:pPr>
          </w:p>
        </w:tc>
        <w:tc>
          <w:tcPr>
            <w:tcW w:w="880" w:type="dxa"/>
            <w:vAlign w:val="bottom"/>
            <w:shd w:val="clear" w:color="auto" w:fill="0171B9"/>
          </w:tcPr>
          <w:p>
            <w:pPr>
              <w:spacing w:after="0"/>
              <w:rPr>
                <w:sz w:val="16"/>
                <w:szCs w:val="16"/>
                <w:color w:val="auto"/>
              </w:rPr>
            </w:pPr>
          </w:p>
        </w:tc>
        <w:tc>
          <w:tcPr>
            <w:tcW w:w="660" w:type="dxa"/>
            <w:vAlign w:val="bottom"/>
            <w:shd w:val="clear" w:color="auto" w:fill="0171B9"/>
          </w:tcPr>
          <w:p>
            <w:pPr>
              <w:spacing w:after="0"/>
              <w:rPr>
                <w:sz w:val="16"/>
                <w:szCs w:val="16"/>
                <w:color w:val="auto"/>
              </w:rPr>
            </w:pPr>
          </w:p>
        </w:tc>
        <w:tc>
          <w:tcPr>
            <w:tcW w:w="1180" w:type="dxa"/>
            <w:vAlign w:val="bottom"/>
            <w:shd w:val="clear" w:color="auto" w:fill="0171B9"/>
          </w:tcPr>
          <w:p>
            <w:pPr>
              <w:jc w:val="center"/>
              <w:spacing w:after="0"/>
              <w:rPr>
                <w:sz w:val="20"/>
                <w:szCs w:val="20"/>
                <w:color w:val="auto"/>
              </w:rPr>
            </w:pPr>
            <w:r>
              <w:rPr>
                <w:rFonts w:ascii="Arial" w:cs="Arial" w:eastAsia="Arial" w:hAnsi="Arial"/>
                <w:sz w:val="16"/>
                <w:szCs w:val="16"/>
                <w:b w:val="1"/>
                <w:bCs w:val="1"/>
                <w:color w:val="FFFFFF"/>
              </w:rPr>
              <w:t>Governance</w:t>
            </w:r>
          </w:p>
        </w:tc>
        <w:tc>
          <w:tcPr>
            <w:tcW w:w="1020" w:type="dxa"/>
            <w:vAlign w:val="bottom"/>
            <w:shd w:val="clear" w:color="auto" w:fill="0171B9"/>
          </w:tcPr>
          <w:p>
            <w:pPr>
              <w:spacing w:after="0"/>
              <w:rPr>
                <w:sz w:val="16"/>
                <w:szCs w:val="16"/>
                <w:color w:val="auto"/>
              </w:rPr>
            </w:pPr>
          </w:p>
        </w:tc>
        <w:tc>
          <w:tcPr>
            <w:tcW w:w="136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and</w:t>
            </w:r>
          </w:p>
        </w:tc>
        <w:tc>
          <w:tcPr>
            <w:tcW w:w="760" w:type="dxa"/>
            <w:vAlign w:val="bottom"/>
            <w:shd w:val="clear" w:color="auto" w:fill="0171B9"/>
          </w:tcPr>
          <w:p>
            <w:pPr>
              <w:spacing w:after="0"/>
              <w:rPr>
                <w:sz w:val="16"/>
                <w:szCs w:val="16"/>
                <w:color w:val="auto"/>
              </w:rPr>
            </w:pPr>
          </w:p>
        </w:tc>
        <w:tc>
          <w:tcPr>
            <w:tcW w:w="136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Responsibility</w:t>
            </w:r>
          </w:p>
        </w:tc>
      </w:tr>
      <w:tr>
        <w:trPr>
          <w:trHeight w:val="189"/>
        </w:trPr>
        <w:tc>
          <w:tcPr>
            <w:tcW w:w="320" w:type="dxa"/>
            <w:vAlign w:val="bottom"/>
            <w:shd w:val="clear" w:color="auto" w:fill="0171B9"/>
          </w:tcPr>
          <w:p>
            <w:pPr>
              <w:spacing w:after="0"/>
              <w:rPr>
                <w:sz w:val="16"/>
                <w:szCs w:val="16"/>
                <w:color w:val="auto"/>
              </w:rPr>
            </w:pPr>
          </w:p>
        </w:tc>
        <w:tc>
          <w:tcPr>
            <w:tcW w:w="1580" w:type="dxa"/>
            <w:vAlign w:val="bottom"/>
            <w:shd w:val="clear" w:color="auto" w:fill="0171B9"/>
          </w:tcPr>
          <w:p>
            <w:pPr>
              <w:spacing w:after="0"/>
              <w:rPr>
                <w:sz w:val="16"/>
                <w:szCs w:val="16"/>
                <w:color w:val="auto"/>
              </w:rPr>
            </w:pPr>
          </w:p>
        </w:tc>
        <w:tc>
          <w:tcPr>
            <w:tcW w:w="1340" w:type="dxa"/>
            <w:vAlign w:val="bottom"/>
            <w:shd w:val="clear" w:color="auto" w:fill="0171B9"/>
          </w:tcPr>
          <w:p>
            <w:pPr>
              <w:spacing w:after="0"/>
              <w:rPr>
                <w:sz w:val="16"/>
                <w:szCs w:val="16"/>
                <w:color w:val="auto"/>
              </w:rPr>
            </w:pPr>
          </w:p>
        </w:tc>
        <w:tc>
          <w:tcPr>
            <w:tcW w:w="560" w:type="dxa"/>
            <w:vAlign w:val="bottom"/>
            <w:shd w:val="clear" w:color="auto" w:fill="0171B9"/>
          </w:tcPr>
          <w:p>
            <w:pPr>
              <w:spacing w:after="0"/>
              <w:rPr>
                <w:sz w:val="16"/>
                <w:szCs w:val="16"/>
                <w:color w:val="auto"/>
              </w:rPr>
            </w:pPr>
          </w:p>
        </w:tc>
        <w:tc>
          <w:tcPr>
            <w:tcW w:w="88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Director</w:t>
            </w:r>
          </w:p>
        </w:tc>
        <w:tc>
          <w:tcPr>
            <w:tcW w:w="660" w:type="dxa"/>
            <w:vAlign w:val="bottom"/>
            <w:shd w:val="clear" w:color="auto" w:fill="0171B9"/>
          </w:tcPr>
          <w:p>
            <w:pPr>
              <w:spacing w:after="0"/>
              <w:rPr>
                <w:sz w:val="16"/>
                <w:szCs w:val="16"/>
                <w:color w:val="auto"/>
              </w:rPr>
            </w:pPr>
          </w:p>
        </w:tc>
        <w:tc>
          <w:tcPr>
            <w:tcW w:w="1180" w:type="dxa"/>
            <w:vAlign w:val="bottom"/>
            <w:shd w:val="clear" w:color="auto" w:fill="0171B9"/>
          </w:tcPr>
          <w:p>
            <w:pPr>
              <w:ind w:left="760"/>
              <w:spacing w:after="0"/>
              <w:rPr>
                <w:sz w:val="20"/>
                <w:szCs w:val="20"/>
                <w:color w:val="auto"/>
              </w:rPr>
            </w:pPr>
            <w:r>
              <w:rPr>
                <w:rFonts w:ascii="Arial" w:cs="Arial" w:eastAsia="Arial" w:hAnsi="Arial"/>
                <w:sz w:val="16"/>
                <w:szCs w:val="16"/>
                <w:b w:val="1"/>
                <w:bCs w:val="1"/>
                <w:color w:val="FFFFFF"/>
              </w:rPr>
              <w:t>and</w:t>
            </w:r>
          </w:p>
        </w:tc>
        <w:tc>
          <w:tcPr>
            <w:tcW w:w="1020" w:type="dxa"/>
            <w:vAlign w:val="bottom"/>
            <w:shd w:val="clear" w:color="auto" w:fill="0171B9"/>
          </w:tcPr>
          <w:p>
            <w:pPr>
              <w:spacing w:after="0"/>
              <w:rPr>
                <w:sz w:val="16"/>
                <w:szCs w:val="16"/>
                <w:color w:val="auto"/>
              </w:rPr>
            </w:pPr>
          </w:p>
        </w:tc>
        <w:tc>
          <w:tcPr>
            <w:tcW w:w="136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Management</w:t>
            </w:r>
          </w:p>
        </w:tc>
        <w:tc>
          <w:tcPr>
            <w:tcW w:w="760" w:type="dxa"/>
            <w:vAlign w:val="bottom"/>
            <w:shd w:val="clear" w:color="auto" w:fill="0171B9"/>
          </w:tcPr>
          <w:p>
            <w:pPr>
              <w:jc w:val="center"/>
              <w:spacing w:after="0"/>
              <w:rPr>
                <w:sz w:val="20"/>
                <w:szCs w:val="20"/>
                <w:color w:val="auto"/>
              </w:rPr>
            </w:pPr>
            <w:r>
              <w:rPr>
                <w:rFonts w:ascii="Arial" w:cs="Arial" w:eastAsia="Arial" w:hAnsi="Arial"/>
                <w:sz w:val="16"/>
                <w:szCs w:val="16"/>
                <w:b w:val="1"/>
                <w:bCs w:val="1"/>
                <w:color w:val="FFFFFF"/>
              </w:rPr>
              <w:t>Equity</w:t>
            </w:r>
          </w:p>
        </w:tc>
        <w:tc>
          <w:tcPr>
            <w:tcW w:w="136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and</w:t>
            </w:r>
          </w:p>
        </w:tc>
      </w:tr>
      <w:tr>
        <w:trPr>
          <w:trHeight w:val="221"/>
        </w:trPr>
        <w:tc>
          <w:tcPr>
            <w:tcW w:w="1900" w:type="dxa"/>
            <w:vAlign w:val="bottom"/>
            <w:gridSpan w:val="2"/>
            <w:shd w:val="clear" w:color="auto" w:fill="0171B9"/>
          </w:tcPr>
          <w:p>
            <w:pPr>
              <w:ind w:left="140"/>
              <w:spacing w:after="0"/>
              <w:rPr>
                <w:sz w:val="20"/>
                <w:szCs w:val="20"/>
                <w:color w:val="auto"/>
              </w:rPr>
            </w:pPr>
            <w:r>
              <w:rPr>
                <w:rFonts w:ascii="Arial" w:cs="Arial" w:eastAsia="Arial" w:hAnsi="Arial"/>
                <w:sz w:val="16"/>
                <w:szCs w:val="16"/>
                <w:b w:val="1"/>
                <w:bCs w:val="1"/>
                <w:color w:val="FFFFFF"/>
              </w:rPr>
              <w:t>Nominee</w:t>
            </w:r>
          </w:p>
        </w:tc>
        <w:tc>
          <w:tcPr>
            <w:tcW w:w="1340" w:type="dxa"/>
            <w:vAlign w:val="bottom"/>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Independent</w:t>
            </w:r>
          </w:p>
        </w:tc>
        <w:tc>
          <w:tcPr>
            <w:tcW w:w="560" w:type="dxa"/>
            <w:vAlign w:val="bottom"/>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Age</w:t>
            </w:r>
          </w:p>
        </w:tc>
        <w:tc>
          <w:tcPr>
            <w:tcW w:w="88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Since</w:t>
            </w:r>
          </w:p>
        </w:tc>
        <w:tc>
          <w:tcPr>
            <w:tcW w:w="660" w:type="dxa"/>
            <w:vAlign w:val="bottom"/>
            <w:shd w:val="clear" w:color="auto" w:fill="0171B9"/>
          </w:tcPr>
          <w:p>
            <w:pPr>
              <w:jc w:val="center"/>
              <w:spacing w:after="0"/>
              <w:rPr>
                <w:sz w:val="20"/>
                <w:szCs w:val="20"/>
                <w:color w:val="auto"/>
              </w:rPr>
            </w:pPr>
            <w:r>
              <w:rPr>
                <w:rFonts w:ascii="Arial" w:cs="Arial" w:eastAsia="Arial" w:hAnsi="Arial"/>
                <w:sz w:val="16"/>
                <w:szCs w:val="16"/>
                <w:b w:val="1"/>
                <w:bCs w:val="1"/>
                <w:color w:val="FFFFFF"/>
              </w:rPr>
              <w:t>Audit</w:t>
            </w:r>
          </w:p>
        </w:tc>
        <w:tc>
          <w:tcPr>
            <w:tcW w:w="1180" w:type="dxa"/>
            <w:vAlign w:val="bottom"/>
            <w:shd w:val="clear" w:color="auto" w:fill="0171B9"/>
          </w:tcPr>
          <w:p>
            <w:pPr>
              <w:jc w:val="center"/>
              <w:spacing w:after="0"/>
              <w:rPr>
                <w:sz w:val="20"/>
                <w:szCs w:val="20"/>
                <w:color w:val="auto"/>
              </w:rPr>
            </w:pPr>
            <w:r>
              <w:rPr>
                <w:rFonts w:ascii="Arial" w:cs="Arial" w:eastAsia="Arial" w:hAnsi="Arial"/>
                <w:sz w:val="16"/>
                <w:szCs w:val="16"/>
                <w:b w:val="1"/>
                <w:bCs w:val="1"/>
                <w:color w:val="FFFFFF"/>
              </w:rPr>
              <w:t>Nominating</w:t>
            </w:r>
          </w:p>
        </w:tc>
        <w:tc>
          <w:tcPr>
            <w:tcW w:w="1020" w:type="dxa"/>
            <w:vAlign w:val="bottom"/>
            <w:shd w:val="clear" w:color="auto" w:fill="0171B9"/>
          </w:tcPr>
          <w:p>
            <w:pPr>
              <w:jc w:val="center"/>
              <w:spacing w:after="0"/>
              <w:rPr>
                <w:sz w:val="20"/>
                <w:szCs w:val="20"/>
                <w:color w:val="auto"/>
              </w:rPr>
            </w:pPr>
            <w:r>
              <w:rPr>
                <w:rFonts w:ascii="Arial" w:cs="Arial" w:eastAsia="Arial" w:hAnsi="Arial"/>
                <w:sz w:val="16"/>
                <w:szCs w:val="16"/>
                <w:b w:val="1"/>
                <w:bCs w:val="1"/>
                <w:color w:val="FFFFFF"/>
              </w:rPr>
              <w:t>Executive</w:t>
            </w:r>
          </w:p>
        </w:tc>
        <w:tc>
          <w:tcPr>
            <w:tcW w:w="136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Development</w:t>
            </w:r>
          </w:p>
        </w:tc>
        <w:tc>
          <w:tcPr>
            <w:tcW w:w="760" w:type="dxa"/>
            <w:vAlign w:val="bottom"/>
            <w:shd w:val="clear" w:color="auto" w:fill="0171B9"/>
          </w:tcPr>
          <w:p>
            <w:pPr>
              <w:jc w:val="center"/>
              <w:spacing w:after="0"/>
              <w:rPr>
                <w:sz w:val="20"/>
                <w:szCs w:val="20"/>
                <w:color w:val="auto"/>
              </w:rPr>
            </w:pPr>
            <w:r>
              <w:rPr>
                <w:rFonts w:ascii="Arial" w:cs="Arial" w:eastAsia="Arial" w:hAnsi="Arial"/>
                <w:sz w:val="16"/>
                <w:szCs w:val="16"/>
                <w:b w:val="1"/>
                <w:bCs w:val="1"/>
                <w:color w:val="FFFFFF"/>
              </w:rPr>
              <w:t>Award</w:t>
            </w:r>
          </w:p>
        </w:tc>
        <w:tc>
          <w:tcPr>
            <w:tcW w:w="136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Compliance</w:t>
            </w:r>
          </w:p>
        </w:tc>
      </w:tr>
      <w:tr>
        <w:trPr>
          <w:trHeight w:val="277"/>
        </w:trPr>
        <w:tc>
          <w:tcPr>
            <w:tcW w:w="1900" w:type="dxa"/>
            <w:vAlign w:val="bottom"/>
            <w:tcBorders>
              <w:bottom w:val="single" w:sz="8" w:color="CCE2F1"/>
            </w:tcBorders>
            <w:gridSpan w:val="2"/>
            <w:shd w:val="clear" w:color="auto" w:fill="CCE2F1"/>
          </w:tcPr>
          <w:p>
            <w:pPr>
              <w:ind w:left="140"/>
              <w:spacing w:after="0"/>
              <w:rPr>
                <w:sz w:val="20"/>
                <w:szCs w:val="20"/>
                <w:color w:val="auto"/>
              </w:rPr>
            </w:pPr>
            <w:r>
              <w:rPr>
                <w:rFonts w:ascii="Arial" w:cs="Arial" w:eastAsia="Arial" w:hAnsi="Arial"/>
                <w:sz w:val="16"/>
                <w:szCs w:val="16"/>
                <w:color w:val="auto"/>
              </w:rPr>
              <w:t>Wanda M. Austin</w:t>
            </w:r>
          </w:p>
        </w:tc>
        <w:tc>
          <w:tcPr>
            <w:tcW w:w="1340" w:type="dxa"/>
            <w:vAlign w:val="bottom"/>
            <w:tcBorders>
              <w:bottom w:val="single" w:sz="8" w:color="CCE2F1"/>
            </w:tcBorders>
            <w:shd w:val="clear" w:color="auto" w:fill="CCE2F1"/>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68</w:t>
            </w:r>
          </w:p>
        </w:tc>
        <w:tc>
          <w:tcPr>
            <w:tcW w:w="880" w:type="dxa"/>
            <w:vAlign w:val="bottom"/>
            <w:tcBorders>
              <w:bottom w:val="single" w:sz="8" w:color="CCE2F1"/>
            </w:tcBorders>
            <w:shd w:val="clear" w:color="auto" w:fill="CCE2F1"/>
          </w:tcPr>
          <w:p>
            <w:pPr>
              <w:jc w:val="right"/>
              <w:ind w:right="39"/>
              <w:spacing w:after="0"/>
              <w:rPr>
                <w:sz w:val="20"/>
                <w:szCs w:val="20"/>
                <w:color w:val="auto"/>
              </w:rPr>
            </w:pPr>
            <w:r>
              <w:rPr>
                <w:rFonts w:ascii="Arial" w:cs="Arial" w:eastAsia="Arial" w:hAnsi="Arial"/>
                <w:sz w:val="16"/>
                <w:szCs w:val="16"/>
                <w:color w:val="auto"/>
              </w:rPr>
              <w:t>2017</w:t>
            </w:r>
          </w:p>
        </w:tc>
        <w:tc>
          <w:tcPr>
            <w:tcW w:w="660" w:type="dxa"/>
            <w:vAlign w:val="bottom"/>
            <w:tcBorders>
              <w:bottom w:val="single" w:sz="8" w:color="CCE2F1"/>
            </w:tcBorders>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1180" w:type="dxa"/>
            <w:vAlign w:val="bottom"/>
            <w:tcBorders>
              <w:bottom w:val="single" w:sz="8" w:color="CCE2F1"/>
            </w:tcBorders>
            <w:shd w:val="clear" w:color="auto" w:fill="CCE2F1"/>
          </w:tcPr>
          <w:p>
            <w:pPr>
              <w:spacing w:after="0"/>
              <w:rPr>
                <w:sz w:val="24"/>
                <w:szCs w:val="24"/>
                <w:color w:val="auto"/>
              </w:rPr>
            </w:pPr>
          </w:p>
        </w:tc>
        <w:tc>
          <w:tcPr>
            <w:tcW w:w="1020" w:type="dxa"/>
            <w:vAlign w:val="bottom"/>
            <w:tcBorders>
              <w:bottom w:val="single" w:sz="8" w:color="CCE2F1"/>
            </w:tcBorders>
            <w:shd w:val="clear" w:color="auto" w:fill="CCE2F1"/>
          </w:tcPr>
          <w:p>
            <w:pPr>
              <w:spacing w:after="0"/>
              <w:rPr>
                <w:sz w:val="24"/>
                <w:szCs w:val="24"/>
                <w:color w:val="auto"/>
              </w:rPr>
            </w:pPr>
          </w:p>
        </w:tc>
        <w:tc>
          <w:tcPr>
            <w:tcW w:w="1360" w:type="dxa"/>
            <w:vAlign w:val="bottom"/>
            <w:tcBorders>
              <w:bottom w:val="single" w:sz="8" w:color="CCE2F1"/>
            </w:tcBorders>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760" w:type="dxa"/>
            <w:vAlign w:val="bottom"/>
            <w:tcBorders>
              <w:bottom w:val="single" w:sz="8" w:color="CCE2F1"/>
            </w:tcBorders>
            <w:shd w:val="clear" w:color="auto" w:fill="CCE2F1"/>
          </w:tcPr>
          <w:p>
            <w:pPr>
              <w:spacing w:after="0"/>
              <w:rPr>
                <w:sz w:val="24"/>
                <w:szCs w:val="24"/>
                <w:color w:val="auto"/>
              </w:rPr>
            </w:pPr>
          </w:p>
        </w:tc>
        <w:tc>
          <w:tcPr>
            <w:tcW w:w="1360" w:type="dxa"/>
            <w:vAlign w:val="bottom"/>
            <w:tcBorders>
              <w:bottom w:val="single" w:sz="8" w:color="CCE2F1"/>
            </w:tcBorders>
            <w:shd w:val="clear" w:color="auto" w:fill="CCE2F1"/>
          </w:tcPr>
          <w:p>
            <w:pPr>
              <w:spacing w:after="0"/>
              <w:rPr>
                <w:sz w:val="24"/>
                <w:szCs w:val="24"/>
                <w:color w:val="auto"/>
              </w:rPr>
            </w:pPr>
          </w:p>
        </w:tc>
      </w:tr>
      <w:tr>
        <w:trPr>
          <w:trHeight w:val="250"/>
        </w:trPr>
        <w:tc>
          <w:tcPr>
            <w:tcW w:w="1900" w:type="dxa"/>
            <w:vAlign w:val="bottom"/>
            <w:gridSpan w:val="2"/>
          </w:tcPr>
          <w:p>
            <w:pPr>
              <w:ind w:left="140"/>
              <w:spacing w:after="0"/>
              <w:rPr>
                <w:sz w:val="20"/>
                <w:szCs w:val="20"/>
                <w:color w:val="auto"/>
              </w:rPr>
            </w:pPr>
            <w:r>
              <w:rPr>
                <w:rFonts w:ascii="Arial" w:cs="Arial" w:eastAsia="Arial" w:hAnsi="Arial"/>
                <w:sz w:val="16"/>
                <w:szCs w:val="16"/>
                <w:color w:val="auto"/>
              </w:rPr>
              <w:t>Robert A. Bradway</w:t>
            </w:r>
          </w:p>
        </w:tc>
        <w:tc>
          <w:tcPr>
            <w:tcW w:w="1340" w:type="dxa"/>
            <w:vAlign w:val="bottom"/>
          </w:tcPr>
          <w:p>
            <w:pPr>
              <w:spacing w:after="0"/>
              <w:rPr>
                <w:sz w:val="21"/>
                <w:szCs w:val="21"/>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60</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2011</w:t>
            </w:r>
          </w:p>
        </w:tc>
        <w:tc>
          <w:tcPr>
            <w:tcW w:w="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C</w:t>
            </w:r>
          </w:p>
        </w:tc>
        <w:tc>
          <w:tcPr>
            <w:tcW w:w="136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M</w:t>
            </w:r>
          </w:p>
        </w:tc>
        <w:tc>
          <w:tcPr>
            <w:tcW w:w="1360" w:type="dxa"/>
            <w:vAlign w:val="bottom"/>
          </w:tcPr>
          <w:p>
            <w:pPr>
              <w:spacing w:after="0"/>
              <w:rPr>
                <w:sz w:val="21"/>
                <w:szCs w:val="21"/>
                <w:color w:val="auto"/>
              </w:rPr>
            </w:pPr>
          </w:p>
        </w:tc>
      </w:tr>
      <w:tr>
        <w:trPr>
          <w:trHeight w:val="47"/>
        </w:trPr>
        <w:tc>
          <w:tcPr>
            <w:tcW w:w="1900" w:type="dxa"/>
            <w:vAlign w:val="bottom"/>
            <w:gridSpan w:val="2"/>
          </w:tcPr>
          <w:p>
            <w:pPr>
              <w:spacing w:after="0"/>
              <w:rPr>
                <w:sz w:val="4"/>
                <w:szCs w:val="4"/>
                <w:color w:val="auto"/>
              </w:rPr>
            </w:pPr>
          </w:p>
        </w:tc>
        <w:tc>
          <w:tcPr>
            <w:tcW w:w="1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7"/>
        </w:trPr>
        <w:tc>
          <w:tcPr>
            <w:tcW w:w="1900" w:type="dxa"/>
            <w:vAlign w:val="bottom"/>
            <w:tcBorders>
              <w:bottom w:val="single" w:sz="8" w:color="CCE2F1"/>
            </w:tcBorders>
            <w:gridSpan w:val="2"/>
            <w:shd w:val="clear" w:color="auto" w:fill="CCE2F1"/>
          </w:tcPr>
          <w:p>
            <w:pPr>
              <w:ind w:left="140"/>
              <w:spacing w:after="0"/>
              <w:rPr>
                <w:sz w:val="20"/>
                <w:szCs w:val="20"/>
                <w:color w:val="auto"/>
              </w:rPr>
            </w:pPr>
            <w:r>
              <w:rPr>
                <w:rFonts w:ascii="Arial" w:cs="Arial" w:eastAsia="Arial" w:hAnsi="Arial"/>
                <w:sz w:val="16"/>
                <w:szCs w:val="16"/>
                <w:color w:val="auto"/>
              </w:rPr>
              <w:t>Michael V. Drake</w:t>
            </w:r>
          </w:p>
        </w:tc>
        <w:tc>
          <w:tcPr>
            <w:tcW w:w="1340" w:type="dxa"/>
            <w:vAlign w:val="bottom"/>
            <w:tcBorders>
              <w:bottom w:val="single" w:sz="8" w:color="CCE2F1"/>
            </w:tcBorders>
            <w:shd w:val="clear" w:color="auto" w:fill="CCE2F1"/>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72</w:t>
            </w:r>
          </w:p>
        </w:tc>
        <w:tc>
          <w:tcPr>
            <w:tcW w:w="880" w:type="dxa"/>
            <w:vAlign w:val="bottom"/>
            <w:tcBorders>
              <w:bottom w:val="single" w:sz="8" w:color="CCE2F1"/>
            </w:tcBorders>
            <w:shd w:val="clear" w:color="auto" w:fill="CCE2F1"/>
          </w:tcPr>
          <w:p>
            <w:pPr>
              <w:jc w:val="right"/>
              <w:ind w:right="39"/>
              <w:spacing w:after="0"/>
              <w:rPr>
                <w:sz w:val="20"/>
                <w:szCs w:val="20"/>
                <w:color w:val="auto"/>
              </w:rPr>
            </w:pPr>
            <w:r>
              <w:rPr>
                <w:rFonts w:ascii="Arial" w:cs="Arial" w:eastAsia="Arial" w:hAnsi="Arial"/>
                <w:sz w:val="16"/>
                <w:szCs w:val="16"/>
                <w:color w:val="auto"/>
              </w:rPr>
              <w:t>2022</w:t>
            </w:r>
          </w:p>
        </w:tc>
        <w:tc>
          <w:tcPr>
            <w:tcW w:w="660" w:type="dxa"/>
            <w:vAlign w:val="bottom"/>
            <w:tcBorders>
              <w:bottom w:val="single" w:sz="8" w:color="CCE2F1"/>
            </w:tcBorders>
            <w:shd w:val="clear" w:color="auto" w:fill="CCE2F1"/>
          </w:tcPr>
          <w:p>
            <w:pPr>
              <w:spacing w:after="0"/>
              <w:rPr>
                <w:sz w:val="24"/>
                <w:szCs w:val="24"/>
                <w:color w:val="auto"/>
              </w:rPr>
            </w:pPr>
          </w:p>
        </w:tc>
        <w:tc>
          <w:tcPr>
            <w:tcW w:w="1180" w:type="dxa"/>
            <w:vAlign w:val="bottom"/>
            <w:tcBorders>
              <w:bottom w:val="single" w:sz="8" w:color="CCE2F1"/>
            </w:tcBorders>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1020" w:type="dxa"/>
            <w:vAlign w:val="bottom"/>
            <w:tcBorders>
              <w:bottom w:val="single" w:sz="8" w:color="CCE2F1"/>
            </w:tcBorders>
            <w:shd w:val="clear" w:color="auto" w:fill="CCE2F1"/>
          </w:tcPr>
          <w:p>
            <w:pPr>
              <w:spacing w:after="0"/>
              <w:rPr>
                <w:sz w:val="24"/>
                <w:szCs w:val="24"/>
                <w:color w:val="auto"/>
              </w:rPr>
            </w:pPr>
          </w:p>
        </w:tc>
        <w:tc>
          <w:tcPr>
            <w:tcW w:w="1360" w:type="dxa"/>
            <w:vAlign w:val="bottom"/>
            <w:tcBorders>
              <w:bottom w:val="single" w:sz="8" w:color="CCE2F1"/>
            </w:tcBorders>
            <w:shd w:val="clear" w:color="auto" w:fill="CCE2F1"/>
          </w:tcPr>
          <w:p>
            <w:pPr>
              <w:spacing w:after="0"/>
              <w:rPr>
                <w:sz w:val="24"/>
                <w:szCs w:val="24"/>
                <w:color w:val="auto"/>
              </w:rPr>
            </w:pPr>
          </w:p>
        </w:tc>
        <w:tc>
          <w:tcPr>
            <w:tcW w:w="760" w:type="dxa"/>
            <w:vAlign w:val="bottom"/>
            <w:tcBorders>
              <w:bottom w:val="single" w:sz="8" w:color="CCE2F1"/>
            </w:tcBorders>
            <w:shd w:val="clear" w:color="auto" w:fill="CCE2F1"/>
          </w:tcPr>
          <w:p>
            <w:pPr>
              <w:spacing w:after="0"/>
              <w:rPr>
                <w:sz w:val="24"/>
                <w:szCs w:val="24"/>
                <w:color w:val="auto"/>
              </w:rPr>
            </w:pPr>
          </w:p>
        </w:tc>
        <w:tc>
          <w:tcPr>
            <w:tcW w:w="1360" w:type="dxa"/>
            <w:vAlign w:val="bottom"/>
            <w:tcBorders>
              <w:bottom w:val="single" w:sz="8" w:color="CCE2F1"/>
            </w:tcBorders>
            <w:shd w:val="clear" w:color="auto" w:fill="CCE2F1"/>
          </w:tcPr>
          <w:p>
            <w:pPr>
              <w:ind w:left="620"/>
              <w:spacing w:after="0"/>
              <w:rPr>
                <w:sz w:val="20"/>
                <w:szCs w:val="20"/>
                <w:color w:val="auto"/>
              </w:rPr>
            </w:pPr>
            <w:r>
              <w:rPr>
                <w:rFonts w:ascii="Arial" w:cs="Arial" w:eastAsia="Arial" w:hAnsi="Arial"/>
                <w:sz w:val="16"/>
                <w:szCs w:val="16"/>
                <w:color w:val="auto"/>
              </w:rPr>
              <w:t>M</w:t>
            </w:r>
          </w:p>
        </w:tc>
      </w:tr>
      <w:tr>
        <w:trPr>
          <w:trHeight w:val="255"/>
        </w:trPr>
        <w:tc>
          <w:tcPr>
            <w:tcW w:w="1900" w:type="dxa"/>
            <w:vAlign w:val="bottom"/>
            <w:gridSpan w:val="2"/>
          </w:tcPr>
          <w:p>
            <w:pPr>
              <w:ind w:left="140"/>
              <w:spacing w:after="0"/>
              <w:rPr>
                <w:sz w:val="20"/>
                <w:szCs w:val="20"/>
                <w:color w:val="auto"/>
              </w:rPr>
            </w:pPr>
            <w:r>
              <w:rPr>
                <w:rFonts w:ascii="Arial" w:cs="Arial" w:eastAsia="Arial" w:hAnsi="Arial"/>
                <w:sz w:val="16"/>
                <w:szCs w:val="16"/>
                <w:color w:val="auto"/>
              </w:rPr>
              <w:t>Brian J. Druker</w:t>
            </w:r>
          </w:p>
        </w:tc>
        <w:tc>
          <w:tcPr>
            <w:tcW w:w="1340" w:type="dxa"/>
            <w:vAlign w:val="bottom"/>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67</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2018</w:t>
            </w: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M</w:t>
            </w:r>
          </w:p>
        </w:tc>
        <w:tc>
          <w:tcPr>
            <w:tcW w:w="760" w:type="dxa"/>
            <w:vAlign w:val="bottom"/>
          </w:tcPr>
          <w:p>
            <w:pPr>
              <w:spacing w:after="0"/>
              <w:rPr>
                <w:sz w:val="22"/>
                <w:szCs w:val="22"/>
                <w:color w:val="auto"/>
              </w:rPr>
            </w:pPr>
          </w:p>
        </w:tc>
        <w:tc>
          <w:tcPr>
            <w:tcW w:w="1360" w:type="dxa"/>
            <w:vAlign w:val="bottom"/>
          </w:tcPr>
          <w:p>
            <w:pPr>
              <w:ind w:left="620"/>
              <w:spacing w:after="0"/>
              <w:rPr>
                <w:sz w:val="20"/>
                <w:szCs w:val="20"/>
                <w:color w:val="auto"/>
              </w:rPr>
            </w:pPr>
            <w:r>
              <w:rPr>
                <w:rFonts w:ascii="Arial" w:cs="Arial" w:eastAsia="Arial" w:hAnsi="Arial"/>
                <w:sz w:val="16"/>
                <w:szCs w:val="16"/>
                <w:color w:val="auto"/>
              </w:rPr>
              <w:t>M</w:t>
            </w:r>
          </w:p>
        </w:tc>
      </w:tr>
      <w:tr>
        <w:trPr>
          <w:trHeight w:val="42"/>
        </w:trPr>
        <w:tc>
          <w:tcPr>
            <w:tcW w:w="1900" w:type="dxa"/>
            <w:vAlign w:val="bottom"/>
            <w:gridSpan w:val="2"/>
          </w:tcPr>
          <w:p>
            <w:pPr>
              <w:spacing w:after="0"/>
              <w:rPr>
                <w:sz w:val="3"/>
                <w:szCs w:val="3"/>
                <w:color w:val="auto"/>
              </w:rPr>
            </w:pPr>
          </w:p>
        </w:tc>
        <w:tc>
          <w:tcPr>
            <w:tcW w:w="1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1900" w:type="dxa"/>
            <w:vAlign w:val="bottom"/>
            <w:tcBorders>
              <w:bottom w:val="single" w:sz="8" w:color="CCE2F1"/>
            </w:tcBorders>
            <w:gridSpan w:val="2"/>
            <w:shd w:val="clear" w:color="auto" w:fill="CCE2F1"/>
          </w:tcPr>
          <w:p>
            <w:pPr>
              <w:ind w:left="140"/>
              <w:spacing w:after="0"/>
              <w:rPr>
                <w:sz w:val="20"/>
                <w:szCs w:val="20"/>
                <w:color w:val="auto"/>
              </w:rPr>
            </w:pPr>
            <w:r>
              <w:rPr>
                <w:rFonts w:ascii="Arial" w:cs="Arial" w:eastAsia="Arial" w:hAnsi="Arial"/>
                <w:sz w:val="16"/>
                <w:szCs w:val="16"/>
                <w:color w:val="auto"/>
              </w:rPr>
              <w:t>Robert A. Eckert*</w:t>
            </w:r>
          </w:p>
        </w:tc>
        <w:tc>
          <w:tcPr>
            <w:tcW w:w="1340" w:type="dxa"/>
            <w:vAlign w:val="bottom"/>
            <w:tcBorders>
              <w:bottom w:val="single" w:sz="8" w:color="CCE2F1"/>
            </w:tcBorders>
            <w:shd w:val="clear" w:color="auto" w:fill="CCE2F1"/>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68</w:t>
            </w:r>
          </w:p>
        </w:tc>
        <w:tc>
          <w:tcPr>
            <w:tcW w:w="880" w:type="dxa"/>
            <w:vAlign w:val="bottom"/>
            <w:tcBorders>
              <w:bottom w:val="single" w:sz="8" w:color="CCE2F1"/>
            </w:tcBorders>
            <w:shd w:val="clear" w:color="auto" w:fill="CCE2F1"/>
          </w:tcPr>
          <w:p>
            <w:pPr>
              <w:jc w:val="right"/>
              <w:ind w:right="39"/>
              <w:spacing w:after="0"/>
              <w:rPr>
                <w:sz w:val="20"/>
                <w:szCs w:val="20"/>
                <w:color w:val="auto"/>
              </w:rPr>
            </w:pPr>
            <w:r>
              <w:rPr>
                <w:rFonts w:ascii="Arial" w:cs="Arial" w:eastAsia="Arial" w:hAnsi="Arial"/>
                <w:sz w:val="16"/>
                <w:szCs w:val="16"/>
                <w:color w:val="auto"/>
              </w:rPr>
              <w:t>2012</w:t>
            </w:r>
          </w:p>
        </w:tc>
        <w:tc>
          <w:tcPr>
            <w:tcW w:w="660" w:type="dxa"/>
            <w:vAlign w:val="bottom"/>
            <w:tcBorders>
              <w:bottom w:val="single" w:sz="8" w:color="CCE2F1"/>
            </w:tcBorders>
            <w:shd w:val="clear" w:color="auto" w:fill="CCE2F1"/>
          </w:tcPr>
          <w:p>
            <w:pPr>
              <w:spacing w:after="0"/>
              <w:rPr>
                <w:sz w:val="24"/>
                <w:szCs w:val="24"/>
                <w:color w:val="auto"/>
              </w:rPr>
            </w:pPr>
          </w:p>
        </w:tc>
        <w:tc>
          <w:tcPr>
            <w:tcW w:w="1180" w:type="dxa"/>
            <w:vAlign w:val="bottom"/>
            <w:tcBorders>
              <w:bottom w:val="single" w:sz="8" w:color="CCE2F1"/>
            </w:tcBorders>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1020" w:type="dxa"/>
            <w:vAlign w:val="bottom"/>
            <w:tcBorders>
              <w:bottom w:val="single" w:sz="8" w:color="CCE2F1"/>
            </w:tcBorders>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1360" w:type="dxa"/>
            <w:vAlign w:val="bottom"/>
            <w:tcBorders>
              <w:bottom w:val="single" w:sz="8" w:color="CCE2F1"/>
            </w:tcBorders>
            <w:shd w:val="clear" w:color="auto" w:fill="CCE2F1"/>
          </w:tcPr>
          <w:p>
            <w:pPr>
              <w:jc w:val="center"/>
              <w:spacing w:after="0"/>
              <w:rPr>
                <w:sz w:val="20"/>
                <w:szCs w:val="20"/>
                <w:color w:val="auto"/>
              </w:rPr>
            </w:pPr>
            <w:r>
              <w:rPr>
                <w:rFonts w:ascii="Arial" w:cs="Arial" w:eastAsia="Arial" w:hAnsi="Arial"/>
                <w:sz w:val="16"/>
                <w:szCs w:val="16"/>
                <w:color w:val="auto"/>
              </w:rPr>
              <w:t>C</w:t>
            </w:r>
          </w:p>
        </w:tc>
        <w:tc>
          <w:tcPr>
            <w:tcW w:w="760" w:type="dxa"/>
            <w:vAlign w:val="bottom"/>
            <w:tcBorders>
              <w:bottom w:val="single" w:sz="8" w:color="CCE2F1"/>
            </w:tcBorders>
            <w:shd w:val="clear" w:color="auto" w:fill="CCE2F1"/>
          </w:tcPr>
          <w:p>
            <w:pPr>
              <w:spacing w:after="0"/>
              <w:rPr>
                <w:sz w:val="24"/>
                <w:szCs w:val="24"/>
                <w:color w:val="auto"/>
              </w:rPr>
            </w:pPr>
          </w:p>
        </w:tc>
        <w:tc>
          <w:tcPr>
            <w:tcW w:w="1360" w:type="dxa"/>
            <w:vAlign w:val="bottom"/>
            <w:tcBorders>
              <w:bottom w:val="single" w:sz="8" w:color="CCE2F1"/>
            </w:tcBorders>
            <w:shd w:val="clear" w:color="auto" w:fill="CCE2F1"/>
          </w:tcPr>
          <w:p>
            <w:pPr>
              <w:spacing w:after="0"/>
              <w:rPr>
                <w:sz w:val="24"/>
                <w:szCs w:val="24"/>
                <w:color w:val="auto"/>
              </w:rPr>
            </w:pPr>
          </w:p>
        </w:tc>
      </w:tr>
      <w:tr>
        <w:trPr>
          <w:trHeight w:val="255"/>
        </w:trPr>
        <w:tc>
          <w:tcPr>
            <w:tcW w:w="1900" w:type="dxa"/>
            <w:vAlign w:val="bottom"/>
            <w:gridSpan w:val="2"/>
          </w:tcPr>
          <w:p>
            <w:pPr>
              <w:ind w:left="140"/>
              <w:spacing w:after="0"/>
              <w:rPr>
                <w:sz w:val="20"/>
                <w:szCs w:val="20"/>
                <w:color w:val="auto"/>
              </w:rPr>
            </w:pPr>
            <w:r>
              <w:rPr>
                <w:rFonts w:ascii="Arial" w:cs="Arial" w:eastAsia="Arial" w:hAnsi="Arial"/>
                <w:sz w:val="16"/>
                <w:szCs w:val="16"/>
                <w:color w:val="auto"/>
              </w:rPr>
              <w:t>Greg C. Garland</w:t>
            </w:r>
          </w:p>
        </w:tc>
        <w:tc>
          <w:tcPr>
            <w:tcW w:w="1340" w:type="dxa"/>
            <w:vAlign w:val="bottom"/>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65</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2013</w:t>
            </w:r>
          </w:p>
        </w:tc>
        <w:tc>
          <w:tcPr>
            <w:tcW w:w="66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C</w:t>
            </w:r>
          </w:p>
        </w:tc>
        <w:tc>
          <w:tcPr>
            <w:tcW w:w="1020" w:type="dxa"/>
            <w:vAlign w:val="bottom"/>
          </w:tcPr>
          <w:p>
            <w:pPr>
              <w:jc w:val="center"/>
              <w:spacing w:after="0"/>
              <w:rPr>
                <w:sz w:val="20"/>
                <w:szCs w:val="20"/>
                <w:color w:val="auto"/>
              </w:rPr>
            </w:pPr>
            <w:r>
              <w:rPr>
                <w:rFonts w:ascii="Arial" w:cs="Arial" w:eastAsia="Arial" w:hAnsi="Arial"/>
                <w:sz w:val="16"/>
                <w:szCs w:val="16"/>
                <w:color w:val="auto"/>
              </w:rPr>
              <w:t>M</w:t>
            </w:r>
          </w:p>
        </w:tc>
        <w:tc>
          <w:tcPr>
            <w:tcW w:w="1360" w:type="dxa"/>
            <w:vAlign w:val="bottom"/>
          </w:tcPr>
          <w:p>
            <w:pPr>
              <w:jc w:val="center"/>
              <w:spacing w:after="0"/>
              <w:rPr>
                <w:sz w:val="20"/>
                <w:szCs w:val="20"/>
                <w:color w:val="auto"/>
              </w:rPr>
            </w:pPr>
            <w:r>
              <w:rPr>
                <w:rFonts w:ascii="Arial" w:cs="Arial" w:eastAsia="Arial" w:hAnsi="Arial"/>
                <w:sz w:val="16"/>
                <w:szCs w:val="16"/>
                <w:color w:val="auto"/>
              </w:rPr>
              <w:t>M</w:t>
            </w:r>
          </w:p>
        </w:tc>
        <w:tc>
          <w:tcPr>
            <w:tcW w:w="7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42"/>
        </w:trPr>
        <w:tc>
          <w:tcPr>
            <w:tcW w:w="1900" w:type="dxa"/>
            <w:vAlign w:val="bottom"/>
            <w:gridSpan w:val="2"/>
          </w:tcPr>
          <w:p>
            <w:pPr>
              <w:spacing w:after="0"/>
              <w:rPr>
                <w:sz w:val="3"/>
                <w:szCs w:val="3"/>
                <w:color w:val="auto"/>
              </w:rPr>
            </w:pPr>
          </w:p>
        </w:tc>
        <w:tc>
          <w:tcPr>
            <w:tcW w:w="1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1900" w:type="dxa"/>
            <w:vAlign w:val="bottom"/>
            <w:tcBorders>
              <w:bottom w:val="single" w:sz="8" w:color="CCE2F1"/>
            </w:tcBorders>
            <w:gridSpan w:val="2"/>
            <w:shd w:val="clear" w:color="auto" w:fill="CCE2F1"/>
          </w:tcPr>
          <w:p>
            <w:pPr>
              <w:ind w:left="140"/>
              <w:spacing w:after="0"/>
              <w:rPr>
                <w:sz w:val="20"/>
                <w:szCs w:val="20"/>
                <w:color w:val="auto"/>
              </w:rPr>
            </w:pPr>
            <w:r>
              <w:rPr>
                <w:rFonts w:ascii="Arial" w:cs="Arial" w:eastAsia="Arial" w:hAnsi="Arial"/>
                <w:sz w:val="16"/>
                <w:szCs w:val="16"/>
                <w:color w:val="auto"/>
              </w:rPr>
              <w:t>Charles M. Holley, Jr.</w:t>
            </w:r>
          </w:p>
        </w:tc>
        <w:tc>
          <w:tcPr>
            <w:tcW w:w="1340" w:type="dxa"/>
            <w:vAlign w:val="bottom"/>
            <w:tcBorders>
              <w:bottom w:val="single" w:sz="8" w:color="CCE2F1"/>
            </w:tcBorders>
            <w:shd w:val="clear" w:color="auto" w:fill="CCE2F1"/>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66</w:t>
            </w:r>
          </w:p>
        </w:tc>
        <w:tc>
          <w:tcPr>
            <w:tcW w:w="880" w:type="dxa"/>
            <w:vAlign w:val="bottom"/>
            <w:tcBorders>
              <w:bottom w:val="single" w:sz="8" w:color="CCE2F1"/>
            </w:tcBorders>
            <w:shd w:val="clear" w:color="auto" w:fill="CCE2F1"/>
          </w:tcPr>
          <w:p>
            <w:pPr>
              <w:jc w:val="right"/>
              <w:ind w:right="39"/>
              <w:spacing w:after="0"/>
              <w:rPr>
                <w:sz w:val="20"/>
                <w:szCs w:val="20"/>
                <w:color w:val="auto"/>
              </w:rPr>
            </w:pPr>
            <w:r>
              <w:rPr>
                <w:rFonts w:ascii="Arial" w:cs="Arial" w:eastAsia="Arial" w:hAnsi="Arial"/>
                <w:sz w:val="16"/>
                <w:szCs w:val="16"/>
                <w:color w:val="auto"/>
              </w:rPr>
              <w:t>2017</w:t>
            </w:r>
          </w:p>
        </w:tc>
        <w:tc>
          <w:tcPr>
            <w:tcW w:w="660" w:type="dxa"/>
            <w:vAlign w:val="bottom"/>
            <w:tcBorders>
              <w:bottom w:val="single" w:sz="8" w:color="CCE2F1"/>
            </w:tcBorders>
            <w:shd w:val="clear" w:color="auto" w:fill="CCE2F1"/>
          </w:tcPr>
          <w:p>
            <w:pPr>
              <w:jc w:val="center"/>
              <w:spacing w:after="0"/>
              <w:rPr>
                <w:sz w:val="20"/>
                <w:szCs w:val="20"/>
                <w:color w:val="auto"/>
              </w:rPr>
            </w:pPr>
            <w:r>
              <w:rPr>
                <w:rFonts w:ascii="Arial" w:cs="Arial" w:eastAsia="Arial" w:hAnsi="Arial"/>
                <w:sz w:val="16"/>
                <w:szCs w:val="16"/>
                <w:color w:val="auto"/>
              </w:rPr>
              <w:t>C</w:t>
            </w:r>
          </w:p>
        </w:tc>
        <w:tc>
          <w:tcPr>
            <w:tcW w:w="1180" w:type="dxa"/>
            <w:vAlign w:val="bottom"/>
            <w:tcBorders>
              <w:bottom w:val="single" w:sz="8" w:color="CCE2F1"/>
            </w:tcBorders>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1020" w:type="dxa"/>
            <w:vAlign w:val="bottom"/>
            <w:tcBorders>
              <w:bottom w:val="single" w:sz="8" w:color="CCE2F1"/>
            </w:tcBorders>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1360" w:type="dxa"/>
            <w:vAlign w:val="bottom"/>
            <w:tcBorders>
              <w:bottom w:val="single" w:sz="8" w:color="CCE2F1"/>
            </w:tcBorders>
            <w:shd w:val="clear" w:color="auto" w:fill="CCE2F1"/>
          </w:tcPr>
          <w:p>
            <w:pPr>
              <w:spacing w:after="0"/>
              <w:rPr>
                <w:sz w:val="24"/>
                <w:szCs w:val="24"/>
                <w:color w:val="auto"/>
              </w:rPr>
            </w:pPr>
          </w:p>
        </w:tc>
        <w:tc>
          <w:tcPr>
            <w:tcW w:w="760" w:type="dxa"/>
            <w:vAlign w:val="bottom"/>
            <w:tcBorders>
              <w:bottom w:val="single" w:sz="8" w:color="CCE2F1"/>
            </w:tcBorders>
            <w:shd w:val="clear" w:color="auto" w:fill="CCE2F1"/>
          </w:tcPr>
          <w:p>
            <w:pPr>
              <w:spacing w:after="0"/>
              <w:rPr>
                <w:sz w:val="24"/>
                <w:szCs w:val="24"/>
                <w:color w:val="auto"/>
              </w:rPr>
            </w:pPr>
          </w:p>
        </w:tc>
        <w:tc>
          <w:tcPr>
            <w:tcW w:w="1360" w:type="dxa"/>
            <w:vAlign w:val="bottom"/>
            <w:tcBorders>
              <w:bottom w:val="single" w:sz="8" w:color="CCE2F1"/>
            </w:tcBorders>
            <w:shd w:val="clear" w:color="auto" w:fill="CCE2F1"/>
          </w:tcPr>
          <w:p>
            <w:pPr>
              <w:spacing w:after="0"/>
              <w:rPr>
                <w:sz w:val="24"/>
                <w:szCs w:val="24"/>
                <w:color w:val="auto"/>
              </w:rPr>
            </w:pPr>
          </w:p>
        </w:tc>
      </w:tr>
      <w:tr>
        <w:trPr>
          <w:trHeight w:val="255"/>
        </w:trPr>
        <w:tc>
          <w:tcPr>
            <w:tcW w:w="1900" w:type="dxa"/>
            <w:vAlign w:val="bottom"/>
            <w:gridSpan w:val="2"/>
          </w:tcPr>
          <w:p>
            <w:pPr>
              <w:ind w:left="140"/>
              <w:spacing w:after="0"/>
              <w:rPr>
                <w:sz w:val="20"/>
                <w:szCs w:val="20"/>
                <w:color w:val="auto"/>
              </w:rPr>
            </w:pPr>
            <w:r>
              <w:rPr>
                <w:rFonts w:ascii="Arial" w:cs="Arial" w:eastAsia="Arial" w:hAnsi="Arial"/>
                <w:sz w:val="16"/>
                <w:szCs w:val="16"/>
                <w:color w:val="auto"/>
              </w:rPr>
              <w:t>S. Omar Ishrak</w:t>
            </w:r>
          </w:p>
        </w:tc>
        <w:tc>
          <w:tcPr>
            <w:tcW w:w="1340" w:type="dxa"/>
            <w:vAlign w:val="bottom"/>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67</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2021</w:t>
            </w: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M</w:t>
            </w:r>
          </w:p>
        </w:tc>
        <w:tc>
          <w:tcPr>
            <w:tcW w:w="760" w:type="dxa"/>
            <w:vAlign w:val="bottom"/>
          </w:tcPr>
          <w:p>
            <w:pPr>
              <w:spacing w:after="0"/>
              <w:rPr>
                <w:sz w:val="22"/>
                <w:szCs w:val="22"/>
                <w:color w:val="auto"/>
              </w:rPr>
            </w:pPr>
          </w:p>
        </w:tc>
        <w:tc>
          <w:tcPr>
            <w:tcW w:w="1360" w:type="dxa"/>
            <w:vAlign w:val="bottom"/>
          </w:tcPr>
          <w:p>
            <w:pPr>
              <w:ind w:left="620"/>
              <w:spacing w:after="0"/>
              <w:rPr>
                <w:sz w:val="20"/>
                <w:szCs w:val="20"/>
                <w:color w:val="auto"/>
              </w:rPr>
            </w:pPr>
            <w:r>
              <w:rPr>
                <w:rFonts w:ascii="Arial" w:cs="Arial" w:eastAsia="Arial" w:hAnsi="Arial"/>
                <w:sz w:val="16"/>
                <w:szCs w:val="16"/>
                <w:color w:val="auto"/>
              </w:rPr>
              <w:t>M</w:t>
            </w:r>
          </w:p>
        </w:tc>
      </w:tr>
      <w:tr>
        <w:trPr>
          <w:trHeight w:val="42"/>
        </w:trPr>
        <w:tc>
          <w:tcPr>
            <w:tcW w:w="1900" w:type="dxa"/>
            <w:vAlign w:val="bottom"/>
            <w:gridSpan w:val="2"/>
          </w:tcPr>
          <w:p>
            <w:pPr>
              <w:spacing w:after="0"/>
              <w:rPr>
                <w:sz w:val="3"/>
                <w:szCs w:val="3"/>
                <w:color w:val="auto"/>
              </w:rPr>
            </w:pPr>
          </w:p>
        </w:tc>
        <w:tc>
          <w:tcPr>
            <w:tcW w:w="1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1900" w:type="dxa"/>
            <w:vAlign w:val="bottom"/>
            <w:tcBorders>
              <w:bottom w:val="single" w:sz="8" w:color="CCE2F1"/>
            </w:tcBorders>
            <w:gridSpan w:val="2"/>
            <w:shd w:val="clear" w:color="auto" w:fill="CCE2F1"/>
          </w:tcPr>
          <w:p>
            <w:pPr>
              <w:ind w:left="140"/>
              <w:spacing w:after="0"/>
              <w:rPr>
                <w:sz w:val="20"/>
                <w:szCs w:val="20"/>
                <w:color w:val="auto"/>
              </w:rPr>
            </w:pPr>
            <w:r>
              <w:rPr>
                <w:rFonts w:ascii="Arial" w:cs="Arial" w:eastAsia="Arial" w:hAnsi="Arial"/>
                <w:sz w:val="16"/>
                <w:szCs w:val="16"/>
                <w:color w:val="auto"/>
              </w:rPr>
              <w:t>Tyler Jacks</w:t>
            </w:r>
          </w:p>
        </w:tc>
        <w:tc>
          <w:tcPr>
            <w:tcW w:w="1340" w:type="dxa"/>
            <w:vAlign w:val="bottom"/>
            <w:tcBorders>
              <w:bottom w:val="single" w:sz="8" w:color="CCE2F1"/>
            </w:tcBorders>
            <w:shd w:val="clear" w:color="auto" w:fill="CCE2F1"/>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62</w:t>
            </w:r>
          </w:p>
        </w:tc>
        <w:tc>
          <w:tcPr>
            <w:tcW w:w="880" w:type="dxa"/>
            <w:vAlign w:val="bottom"/>
            <w:tcBorders>
              <w:bottom w:val="single" w:sz="8" w:color="CCE2F1"/>
            </w:tcBorders>
            <w:shd w:val="clear" w:color="auto" w:fill="CCE2F1"/>
          </w:tcPr>
          <w:p>
            <w:pPr>
              <w:jc w:val="right"/>
              <w:ind w:right="39"/>
              <w:spacing w:after="0"/>
              <w:rPr>
                <w:sz w:val="20"/>
                <w:szCs w:val="20"/>
                <w:color w:val="auto"/>
              </w:rPr>
            </w:pPr>
            <w:r>
              <w:rPr>
                <w:rFonts w:ascii="Arial" w:cs="Arial" w:eastAsia="Arial" w:hAnsi="Arial"/>
                <w:sz w:val="16"/>
                <w:szCs w:val="16"/>
                <w:color w:val="auto"/>
              </w:rPr>
              <w:t>2012</w:t>
            </w:r>
          </w:p>
        </w:tc>
        <w:tc>
          <w:tcPr>
            <w:tcW w:w="660" w:type="dxa"/>
            <w:vAlign w:val="bottom"/>
            <w:tcBorders>
              <w:bottom w:val="single" w:sz="8" w:color="CCE2F1"/>
            </w:tcBorders>
            <w:shd w:val="clear" w:color="auto" w:fill="CCE2F1"/>
          </w:tcPr>
          <w:p>
            <w:pPr>
              <w:spacing w:after="0"/>
              <w:rPr>
                <w:sz w:val="24"/>
                <w:szCs w:val="24"/>
                <w:color w:val="auto"/>
              </w:rPr>
            </w:pPr>
          </w:p>
        </w:tc>
        <w:tc>
          <w:tcPr>
            <w:tcW w:w="1180" w:type="dxa"/>
            <w:vAlign w:val="bottom"/>
            <w:tcBorders>
              <w:bottom w:val="single" w:sz="8" w:color="CCE2F1"/>
            </w:tcBorders>
            <w:shd w:val="clear" w:color="auto" w:fill="CCE2F1"/>
          </w:tcPr>
          <w:p>
            <w:pPr>
              <w:spacing w:after="0"/>
              <w:rPr>
                <w:sz w:val="24"/>
                <w:szCs w:val="24"/>
                <w:color w:val="auto"/>
              </w:rPr>
            </w:pPr>
          </w:p>
        </w:tc>
        <w:tc>
          <w:tcPr>
            <w:tcW w:w="1020" w:type="dxa"/>
            <w:vAlign w:val="bottom"/>
            <w:tcBorders>
              <w:bottom w:val="single" w:sz="8" w:color="CCE2F1"/>
            </w:tcBorders>
            <w:shd w:val="clear" w:color="auto" w:fill="CCE2F1"/>
          </w:tcPr>
          <w:p>
            <w:pPr>
              <w:spacing w:after="0"/>
              <w:rPr>
                <w:sz w:val="24"/>
                <w:szCs w:val="24"/>
                <w:color w:val="auto"/>
              </w:rPr>
            </w:pPr>
          </w:p>
        </w:tc>
        <w:tc>
          <w:tcPr>
            <w:tcW w:w="1360" w:type="dxa"/>
            <w:vAlign w:val="bottom"/>
            <w:tcBorders>
              <w:bottom w:val="single" w:sz="8" w:color="CCE2F1"/>
            </w:tcBorders>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760" w:type="dxa"/>
            <w:vAlign w:val="bottom"/>
            <w:tcBorders>
              <w:bottom w:val="single" w:sz="8" w:color="CCE2F1"/>
            </w:tcBorders>
            <w:shd w:val="clear" w:color="auto" w:fill="CCE2F1"/>
          </w:tcPr>
          <w:p>
            <w:pPr>
              <w:spacing w:after="0"/>
              <w:rPr>
                <w:sz w:val="24"/>
                <w:szCs w:val="24"/>
                <w:color w:val="auto"/>
              </w:rPr>
            </w:pPr>
          </w:p>
        </w:tc>
        <w:tc>
          <w:tcPr>
            <w:tcW w:w="1360" w:type="dxa"/>
            <w:vAlign w:val="bottom"/>
            <w:tcBorders>
              <w:bottom w:val="single" w:sz="8" w:color="CCE2F1"/>
            </w:tcBorders>
            <w:shd w:val="clear" w:color="auto" w:fill="CCE2F1"/>
          </w:tcPr>
          <w:p>
            <w:pPr>
              <w:ind w:left="620"/>
              <w:spacing w:after="0"/>
              <w:rPr>
                <w:sz w:val="20"/>
                <w:szCs w:val="20"/>
                <w:color w:val="auto"/>
              </w:rPr>
            </w:pPr>
            <w:r>
              <w:rPr>
                <w:rFonts w:ascii="Arial" w:cs="Arial" w:eastAsia="Arial" w:hAnsi="Arial"/>
                <w:sz w:val="16"/>
                <w:szCs w:val="16"/>
                <w:color w:val="auto"/>
              </w:rPr>
              <w:t>M</w:t>
            </w:r>
          </w:p>
        </w:tc>
      </w:tr>
      <w:tr>
        <w:trPr>
          <w:trHeight w:val="255"/>
        </w:trPr>
        <w:tc>
          <w:tcPr>
            <w:tcW w:w="1900" w:type="dxa"/>
            <w:vAlign w:val="bottom"/>
            <w:gridSpan w:val="2"/>
          </w:tcPr>
          <w:p>
            <w:pPr>
              <w:ind w:left="140"/>
              <w:spacing w:after="0"/>
              <w:rPr>
                <w:sz w:val="20"/>
                <w:szCs w:val="20"/>
                <w:color w:val="auto"/>
              </w:rPr>
            </w:pPr>
            <w:r>
              <w:rPr>
                <w:rFonts w:ascii="Arial" w:cs="Arial" w:eastAsia="Arial" w:hAnsi="Arial"/>
                <w:sz w:val="16"/>
                <w:szCs w:val="16"/>
                <w:color w:val="auto"/>
              </w:rPr>
              <w:t>Ellen J. Kullman</w:t>
            </w:r>
          </w:p>
        </w:tc>
        <w:tc>
          <w:tcPr>
            <w:tcW w:w="1340" w:type="dxa"/>
            <w:vAlign w:val="bottom"/>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67</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2016</w:t>
            </w:r>
          </w:p>
        </w:tc>
        <w:tc>
          <w:tcPr>
            <w:tcW w:w="660" w:type="dxa"/>
            <w:vAlign w:val="bottom"/>
          </w:tcPr>
          <w:p>
            <w:pPr>
              <w:jc w:val="center"/>
              <w:spacing w:after="0"/>
              <w:rPr>
                <w:sz w:val="20"/>
                <w:szCs w:val="20"/>
                <w:color w:val="auto"/>
              </w:rPr>
            </w:pPr>
            <w:r>
              <w:rPr>
                <w:rFonts w:ascii="Arial" w:cs="Arial" w:eastAsia="Arial" w:hAnsi="Arial"/>
                <w:sz w:val="16"/>
                <w:szCs w:val="16"/>
                <w:color w:val="auto"/>
              </w:rPr>
              <w:t>M</w:t>
            </w:r>
          </w:p>
        </w:tc>
        <w:tc>
          <w:tcPr>
            <w:tcW w:w="1180" w:type="dxa"/>
            <w:vAlign w:val="bottom"/>
          </w:tcPr>
          <w:p>
            <w:pPr>
              <w:jc w:val="center"/>
              <w:spacing w:after="0"/>
              <w:rPr>
                <w:sz w:val="20"/>
                <w:szCs w:val="20"/>
                <w:color w:val="auto"/>
              </w:rPr>
            </w:pPr>
            <w:r>
              <w:rPr>
                <w:rFonts w:ascii="Arial" w:cs="Arial" w:eastAsia="Arial" w:hAnsi="Arial"/>
                <w:sz w:val="16"/>
                <w:szCs w:val="16"/>
                <w:color w:val="auto"/>
              </w:rPr>
              <w:t>M</w:t>
            </w:r>
          </w:p>
        </w:tc>
        <w:tc>
          <w:tcPr>
            <w:tcW w:w="10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42"/>
        </w:trPr>
        <w:tc>
          <w:tcPr>
            <w:tcW w:w="1900" w:type="dxa"/>
            <w:vAlign w:val="bottom"/>
            <w:gridSpan w:val="2"/>
          </w:tcPr>
          <w:p>
            <w:pPr>
              <w:spacing w:after="0"/>
              <w:rPr>
                <w:sz w:val="3"/>
                <w:szCs w:val="3"/>
                <w:color w:val="auto"/>
              </w:rPr>
            </w:pPr>
          </w:p>
        </w:tc>
        <w:tc>
          <w:tcPr>
            <w:tcW w:w="1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7"/>
        </w:trPr>
        <w:tc>
          <w:tcPr>
            <w:tcW w:w="1900" w:type="dxa"/>
            <w:vAlign w:val="bottom"/>
            <w:tcBorders>
              <w:bottom w:val="single" w:sz="8" w:color="CCE2F1"/>
            </w:tcBorders>
            <w:gridSpan w:val="2"/>
            <w:shd w:val="clear" w:color="auto" w:fill="CCE2F1"/>
          </w:tcPr>
          <w:p>
            <w:pPr>
              <w:ind w:left="120"/>
              <w:spacing w:after="0"/>
              <w:rPr>
                <w:sz w:val="20"/>
                <w:szCs w:val="20"/>
                <w:color w:val="auto"/>
              </w:rPr>
            </w:pPr>
            <w:r>
              <w:rPr>
                <w:rFonts w:ascii="Arial" w:cs="Arial" w:eastAsia="Arial" w:hAnsi="Arial"/>
                <w:sz w:val="16"/>
                <w:szCs w:val="16"/>
                <w:color w:val="auto"/>
              </w:rPr>
              <w:t>Amy E. Miles</w:t>
            </w:r>
          </w:p>
        </w:tc>
        <w:tc>
          <w:tcPr>
            <w:tcW w:w="1340" w:type="dxa"/>
            <w:vAlign w:val="bottom"/>
            <w:tcBorders>
              <w:bottom w:val="single" w:sz="8" w:color="CCE2F1"/>
            </w:tcBorders>
            <w:shd w:val="clear" w:color="auto" w:fill="CCE2F1"/>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56</w:t>
            </w:r>
          </w:p>
        </w:tc>
        <w:tc>
          <w:tcPr>
            <w:tcW w:w="880" w:type="dxa"/>
            <w:vAlign w:val="bottom"/>
            <w:tcBorders>
              <w:bottom w:val="single" w:sz="8" w:color="CCE2F1"/>
            </w:tcBorders>
            <w:shd w:val="clear" w:color="auto" w:fill="CCE2F1"/>
          </w:tcPr>
          <w:p>
            <w:pPr>
              <w:jc w:val="right"/>
              <w:ind w:right="39"/>
              <w:spacing w:after="0"/>
              <w:rPr>
                <w:sz w:val="20"/>
                <w:szCs w:val="20"/>
                <w:color w:val="auto"/>
              </w:rPr>
            </w:pPr>
            <w:r>
              <w:rPr>
                <w:rFonts w:ascii="Arial" w:cs="Arial" w:eastAsia="Arial" w:hAnsi="Arial"/>
                <w:sz w:val="16"/>
                <w:szCs w:val="16"/>
                <w:color w:val="auto"/>
              </w:rPr>
              <w:t>2020</w:t>
            </w:r>
          </w:p>
        </w:tc>
        <w:tc>
          <w:tcPr>
            <w:tcW w:w="660" w:type="dxa"/>
            <w:vAlign w:val="bottom"/>
            <w:tcBorders>
              <w:bottom w:val="single" w:sz="8" w:color="CCE2F1"/>
            </w:tcBorders>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1180" w:type="dxa"/>
            <w:vAlign w:val="bottom"/>
            <w:tcBorders>
              <w:bottom w:val="single" w:sz="8" w:color="CCE2F1"/>
            </w:tcBorders>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1020" w:type="dxa"/>
            <w:vAlign w:val="bottom"/>
            <w:tcBorders>
              <w:bottom w:val="single" w:sz="8" w:color="CCE2F1"/>
            </w:tcBorders>
            <w:shd w:val="clear" w:color="auto" w:fill="CCE2F1"/>
          </w:tcPr>
          <w:p>
            <w:pPr>
              <w:spacing w:after="0"/>
              <w:rPr>
                <w:sz w:val="24"/>
                <w:szCs w:val="24"/>
                <w:color w:val="auto"/>
              </w:rPr>
            </w:pPr>
          </w:p>
        </w:tc>
        <w:tc>
          <w:tcPr>
            <w:tcW w:w="1360" w:type="dxa"/>
            <w:vAlign w:val="bottom"/>
            <w:tcBorders>
              <w:bottom w:val="single" w:sz="8" w:color="CCE2F1"/>
            </w:tcBorders>
            <w:shd w:val="clear" w:color="auto" w:fill="CCE2F1"/>
          </w:tcPr>
          <w:p>
            <w:pPr>
              <w:spacing w:after="0"/>
              <w:rPr>
                <w:sz w:val="24"/>
                <w:szCs w:val="24"/>
                <w:color w:val="auto"/>
              </w:rPr>
            </w:pPr>
          </w:p>
        </w:tc>
        <w:tc>
          <w:tcPr>
            <w:tcW w:w="760" w:type="dxa"/>
            <w:vAlign w:val="bottom"/>
            <w:tcBorders>
              <w:bottom w:val="single" w:sz="8" w:color="CCE2F1"/>
            </w:tcBorders>
            <w:shd w:val="clear" w:color="auto" w:fill="CCE2F1"/>
          </w:tcPr>
          <w:p>
            <w:pPr>
              <w:spacing w:after="0"/>
              <w:rPr>
                <w:sz w:val="24"/>
                <w:szCs w:val="24"/>
                <w:color w:val="auto"/>
              </w:rPr>
            </w:pPr>
          </w:p>
        </w:tc>
        <w:tc>
          <w:tcPr>
            <w:tcW w:w="1360" w:type="dxa"/>
            <w:vAlign w:val="bottom"/>
            <w:tcBorders>
              <w:bottom w:val="single" w:sz="8" w:color="CCE2F1"/>
            </w:tcBorders>
            <w:shd w:val="clear" w:color="auto" w:fill="CCE2F1"/>
          </w:tcPr>
          <w:p>
            <w:pPr>
              <w:spacing w:after="0"/>
              <w:rPr>
                <w:sz w:val="24"/>
                <w:szCs w:val="24"/>
                <w:color w:val="auto"/>
              </w:rPr>
            </w:pPr>
          </w:p>
        </w:tc>
      </w:tr>
      <w:tr>
        <w:trPr>
          <w:trHeight w:val="255"/>
        </w:trPr>
        <w:tc>
          <w:tcPr>
            <w:tcW w:w="1900" w:type="dxa"/>
            <w:vAlign w:val="bottom"/>
            <w:gridSpan w:val="2"/>
          </w:tcPr>
          <w:p>
            <w:pPr>
              <w:ind w:left="140"/>
              <w:spacing w:after="0"/>
              <w:rPr>
                <w:sz w:val="20"/>
                <w:szCs w:val="20"/>
                <w:color w:val="auto"/>
              </w:rPr>
            </w:pPr>
            <w:r>
              <w:rPr>
                <w:rFonts w:ascii="Arial" w:cs="Arial" w:eastAsia="Arial" w:hAnsi="Arial"/>
                <w:sz w:val="16"/>
                <w:szCs w:val="16"/>
                <w:color w:val="auto"/>
              </w:rPr>
              <w:t>Ronald D. Sugar</w:t>
            </w:r>
          </w:p>
        </w:tc>
        <w:tc>
          <w:tcPr>
            <w:tcW w:w="1340" w:type="dxa"/>
            <w:vAlign w:val="bottom"/>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74</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2010</w:t>
            </w:r>
          </w:p>
        </w:tc>
        <w:tc>
          <w:tcPr>
            <w:tcW w:w="66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M</w:t>
            </w:r>
          </w:p>
        </w:tc>
        <w:tc>
          <w:tcPr>
            <w:tcW w:w="1020" w:type="dxa"/>
            <w:vAlign w:val="bottom"/>
          </w:tcPr>
          <w:p>
            <w:pPr>
              <w:jc w:val="center"/>
              <w:spacing w:after="0"/>
              <w:rPr>
                <w:sz w:val="20"/>
                <w:szCs w:val="20"/>
                <w:color w:val="auto"/>
              </w:rPr>
            </w:pPr>
            <w:r>
              <w:rPr>
                <w:rFonts w:ascii="Arial" w:cs="Arial" w:eastAsia="Arial" w:hAnsi="Arial"/>
                <w:sz w:val="16"/>
                <w:szCs w:val="16"/>
                <w:color w:val="auto"/>
              </w:rPr>
              <w:t>M</w:t>
            </w:r>
          </w:p>
        </w:tc>
        <w:tc>
          <w:tcPr>
            <w:tcW w:w="1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60" w:type="dxa"/>
            <w:vAlign w:val="bottom"/>
          </w:tcPr>
          <w:p>
            <w:pPr>
              <w:ind w:left="640"/>
              <w:spacing w:after="0"/>
              <w:rPr>
                <w:sz w:val="20"/>
                <w:szCs w:val="20"/>
                <w:color w:val="auto"/>
              </w:rPr>
            </w:pPr>
            <w:r>
              <w:rPr>
                <w:rFonts w:ascii="Arial" w:cs="Arial" w:eastAsia="Arial" w:hAnsi="Arial"/>
                <w:sz w:val="16"/>
                <w:szCs w:val="16"/>
                <w:color w:val="auto"/>
              </w:rPr>
              <w:t>C</w:t>
            </w:r>
          </w:p>
        </w:tc>
      </w:tr>
      <w:tr>
        <w:trPr>
          <w:trHeight w:val="42"/>
        </w:trPr>
        <w:tc>
          <w:tcPr>
            <w:tcW w:w="1900" w:type="dxa"/>
            <w:vAlign w:val="bottom"/>
            <w:gridSpan w:val="2"/>
          </w:tcPr>
          <w:p>
            <w:pPr>
              <w:spacing w:after="0"/>
              <w:rPr>
                <w:sz w:val="3"/>
                <w:szCs w:val="3"/>
                <w:color w:val="auto"/>
              </w:rPr>
            </w:pPr>
          </w:p>
        </w:tc>
        <w:tc>
          <w:tcPr>
            <w:tcW w:w="1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302"/>
        </w:trPr>
        <w:tc>
          <w:tcPr>
            <w:tcW w:w="1900" w:type="dxa"/>
            <w:vAlign w:val="bottom"/>
            <w:tcBorders>
              <w:bottom w:val="single" w:sz="8" w:color="CCE2F1"/>
            </w:tcBorders>
            <w:gridSpan w:val="2"/>
            <w:shd w:val="clear" w:color="auto" w:fill="CCE2F1"/>
          </w:tcPr>
          <w:p>
            <w:pPr>
              <w:ind w:left="140"/>
              <w:spacing w:after="0"/>
              <w:rPr>
                <w:sz w:val="20"/>
                <w:szCs w:val="20"/>
                <w:color w:val="auto"/>
              </w:rPr>
            </w:pPr>
            <w:r>
              <w:rPr>
                <w:rFonts w:ascii="Arial" w:cs="Arial" w:eastAsia="Arial" w:hAnsi="Arial"/>
                <w:sz w:val="16"/>
                <w:szCs w:val="16"/>
                <w:color w:val="auto"/>
              </w:rPr>
              <w:t>R. Sanders Williams</w:t>
            </w:r>
          </w:p>
        </w:tc>
        <w:tc>
          <w:tcPr>
            <w:tcW w:w="1340" w:type="dxa"/>
            <w:vAlign w:val="bottom"/>
            <w:tcBorders>
              <w:bottom w:val="single" w:sz="8" w:color="CCE2F1"/>
            </w:tcBorders>
            <w:shd w:val="clear" w:color="auto" w:fill="CCE2F1"/>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74</w:t>
            </w:r>
          </w:p>
        </w:tc>
        <w:tc>
          <w:tcPr>
            <w:tcW w:w="880" w:type="dxa"/>
            <w:vAlign w:val="bottom"/>
            <w:tcBorders>
              <w:bottom w:val="single" w:sz="8" w:color="CCE2F1"/>
            </w:tcBorders>
            <w:shd w:val="clear" w:color="auto" w:fill="CCE2F1"/>
          </w:tcPr>
          <w:p>
            <w:pPr>
              <w:jc w:val="right"/>
              <w:ind w:right="39"/>
              <w:spacing w:after="0"/>
              <w:rPr>
                <w:sz w:val="20"/>
                <w:szCs w:val="20"/>
                <w:color w:val="auto"/>
              </w:rPr>
            </w:pPr>
            <w:r>
              <w:rPr>
                <w:rFonts w:ascii="Arial" w:cs="Arial" w:eastAsia="Arial" w:hAnsi="Arial"/>
                <w:sz w:val="16"/>
                <w:szCs w:val="16"/>
                <w:color w:val="auto"/>
              </w:rPr>
              <w:t>2014</w:t>
            </w:r>
          </w:p>
        </w:tc>
        <w:tc>
          <w:tcPr>
            <w:tcW w:w="660" w:type="dxa"/>
            <w:vAlign w:val="bottom"/>
            <w:tcBorders>
              <w:bottom w:val="single" w:sz="8" w:color="CCE2F1"/>
            </w:tcBorders>
            <w:shd w:val="clear" w:color="auto" w:fill="CCE2F1"/>
          </w:tcPr>
          <w:p>
            <w:pPr>
              <w:spacing w:after="0"/>
              <w:rPr>
                <w:sz w:val="24"/>
                <w:szCs w:val="24"/>
                <w:color w:val="auto"/>
              </w:rPr>
            </w:pPr>
          </w:p>
        </w:tc>
        <w:tc>
          <w:tcPr>
            <w:tcW w:w="1180" w:type="dxa"/>
            <w:vAlign w:val="bottom"/>
            <w:tcBorders>
              <w:bottom w:val="single" w:sz="8" w:color="CCE2F1"/>
            </w:tcBorders>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1020" w:type="dxa"/>
            <w:vAlign w:val="bottom"/>
            <w:tcBorders>
              <w:bottom w:val="single" w:sz="8" w:color="CCE2F1"/>
            </w:tcBorders>
            <w:shd w:val="clear" w:color="auto" w:fill="CCE2F1"/>
          </w:tcPr>
          <w:p>
            <w:pPr>
              <w:spacing w:after="0"/>
              <w:rPr>
                <w:sz w:val="24"/>
                <w:szCs w:val="24"/>
                <w:color w:val="auto"/>
              </w:rPr>
            </w:pPr>
          </w:p>
        </w:tc>
        <w:tc>
          <w:tcPr>
            <w:tcW w:w="1360" w:type="dxa"/>
            <w:vAlign w:val="bottom"/>
            <w:tcBorders>
              <w:bottom w:val="single" w:sz="8" w:color="CCE2F1"/>
            </w:tcBorders>
            <w:shd w:val="clear" w:color="auto" w:fill="CCE2F1"/>
          </w:tcPr>
          <w:p>
            <w:pPr>
              <w:spacing w:after="0"/>
              <w:rPr>
                <w:sz w:val="24"/>
                <w:szCs w:val="24"/>
                <w:color w:val="auto"/>
              </w:rPr>
            </w:pPr>
          </w:p>
        </w:tc>
        <w:tc>
          <w:tcPr>
            <w:tcW w:w="760" w:type="dxa"/>
            <w:vAlign w:val="bottom"/>
            <w:tcBorders>
              <w:bottom w:val="single" w:sz="8" w:color="CCE2F1"/>
            </w:tcBorders>
            <w:shd w:val="clear" w:color="auto" w:fill="CCE2F1"/>
          </w:tcPr>
          <w:p>
            <w:pPr>
              <w:spacing w:after="0"/>
              <w:rPr>
                <w:sz w:val="24"/>
                <w:szCs w:val="24"/>
                <w:color w:val="auto"/>
              </w:rPr>
            </w:pPr>
          </w:p>
        </w:tc>
        <w:tc>
          <w:tcPr>
            <w:tcW w:w="1360" w:type="dxa"/>
            <w:vAlign w:val="bottom"/>
            <w:tcBorders>
              <w:bottom w:val="single" w:sz="8" w:color="CCE2F1"/>
            </w:tcBorders>
            <w:shd w:val="clear" w:color="auto" w:fill="CCE2F1"/>
          </w:tcPr>
          <w:p>
            <w:pPr>
              <w:ind w:left="620"/>
              <w:spacing w:after="0"/>
              <w:rPr>
                <w:sz w:val="20"/>
                <w:szCs w:val="20"/>
                <w:color w:val="auto"/>
              </w:rPr>
            </w:pPr>
            <w:r>
              <w:rPr>
                <w:rFonts w:ascii="Arial" w:cs="Arial" w:eastAsia="Arial" w:hAnsi="Arial"/>
                <w:sz w:val="16"/>
                <w:szCs w:val="16"/>
                <w:color w:val="auto"/>
              </w:rPr>
              <w:t>M</w:t>
            </w:r>
          </w:p>
        </w:tc>
      </w:tr>
      <w:tr>
        <w:trPr>
          <w:trHeight w:val="282"/>
        </w:trPr>
        <w:tc>
          <w:tcPr>
            <w:tcW w:w="320" w:type="dxa"/>
            <w:vAlign w:val="bottom"/>
            <w:tcBorders>
              <w:top w:val="single" w:sz="8" w:color="0171B9"/>
            </w:tcBorders>
          </w:tcPr>
          <w:p>
            <w:pPr>
              <w:spacing w:after="0"/>
              <w:rPr>
                <w:sz w:val="20"/>
                <w:szCs w:val="20"/>
                <w:color w:val="auto"/>
              </w:rPr>
            </w:pPr>
            <w:r>
              <w:rPr>
                <w:rFonts w:ascii="Arial" w:cs="Arial" w:eastAsia="Arial" w:hAnsi="Arial"/>
                <w:sz w:val="14"/>
                <w:szCs w:val="14"/>
                <w:color w:val="auto"/>
              </w:rPr>
              <w:t>“*”</w:t>
            </w:r>
          </w:p>
        </w:tc>
        <w:tc>
          <w:tcPr>
            <w:tcW w:w="2920" w:type="dxa"/>
            <w:vAlign w:val="bottom"/>
            <w:tcBorders>
              <w:top w:val="single" w:sz="8" w:color="0171B9"/>
            </w:tcBorders>
            <w:gridSpan w:val="2"/>
          </w:tcPr>
          <w:p>
            <w:pPr>
              <w:ind w:left="100"/>
              <w:spacing w:after="0"/>
              <w:rPr>
                <w:sz w:val="20"/>
                <w:szCs w:val="20"/>
                <w:color w:val="auto"/>
              </w:rPr>
            </w:pPr>
            <w:r>
              <w:rPr>
                <w:rFonts w:ascii="Arial" w:cs="Arial" w:eastAsia="Arial" w:hAnsi="Arial"/>
                <w:sz w:val="14"/>
                <w:szCs w:val="14"/>
                <w:color w:val="auto"/>
              </w:rPr>
              <w:t>indicates Lead Independent Director.</w:t>
            </w:r>
          </w:p>
        </w:tc>
        <w:tc>
          <w:tcPr>
            <w:tcW w:w="560" w:type="dxa"/>
            <w:vAlign w:val="bottom"/>
            <w:tcBorders>
              <w:top w:val="single" w:sz="8" w:color="0171B9"/>
            </w:tcBorders>
          </w:tcPr>
          <w:p>
            <w:pPr>
              <w:spacing w:after="0"/>
              <w:rPr>
                <w:sz w:val="24"/>
                <w:szCs w:val="24"/>
                <w:color w:val="auto"/>
              </w:rPr>
            </w:pPr>
          </w:p>
        </w:tc>
        <w:tc>
          <w:tcPr>
            <w:tcW w:w="880" w:type="dxa"/>
            <w:vAlign w:val="bottom"/>
            <w:tcBorders>
              <w:top w:val="single" w:sz="8" w:color="0171B9"/>
            </w:tcBorders>
          </w:tcPr>
          <w:p>
            <w:pPr>
              <w:spacing w:after="0"/>
              <w:rPr>
                <w:sz w:val="24"/>
                <w:szCs w:val="24"/>
                <w:color w:val="auto"/>
              </w:rPr>
            </w:pPr>
          </w:p>
        </w:tc>
        <w:tc>
          <w:tcPr>
            <w:tcW w:w="660" w:type="dxa"/>
            <w:vAlign w:val="bottom"/>
            <w:tcBorders>
              <w:top w:val="single" w:sz="8" w:color="0171B9"/>
            </w:tcBorders>
          </w:tcPr>
          <w:p>
            <w:pPr>
              <w:spacing w:after="0"/>
              <w:rPr>
                <w:sz w:val="24"/>
                <w:szCs w:val="24"/>
                <w:color w:val="auto"/>
              </w:rPr>
            </w:pPr>
          </w:p>
        </w:tc>
        <w:tc>
          <w:tcPr>
            <w:tcW w:w="1180" w:type="dxa"/>
            <w:vAlign w:val="bottom"/>
            <w:tcBorders>
              <w:top w:val="single" w:sz="8" w:color="0171B9"/>
            </w:tcBorders>
          </w:tcPr>
          <w:p>
            <w:pPr>
              <w:spacing w:after="0"/>
              <w:rPr>
                <w:sz w:val="24"/>
                <w:szCs w:val="24"/>
                <w:color w:val="auto"/>
              </w:rPr>
            </w:pPr>
          </w:p>
        </w:tc>
        <w:tc>
          <w:tcPr>
            <w:tcW w:w="1020" w:type="dxa"/>
            <w:vAlign w:val="bottom"/>
            <w:tcBorders>
              <w:top w:val="single" w:sz="8" w:color="0171B9"/>
            </w:tcBorders>
          </w:tcPr>
          <w:p>
            <w:pPr>
              <w:spacing w:after="0"/>
              <w:rPr>
                <w:sz w:val="24"/>
                <w:szCs w:val="24"/>
                <w:color w:val="auto"/>
              </w:rPr>
            </w:pPr>
          </w:p>
        </w:tc>
        <w:tc>
          <w:tcPr>
            <w:tcW w:w="1360" w:type="dxa"/>
            <w:vAlign w:val="bottom"/>
            <w:tcBorders>
              <w:top w:val="single" w:sz="8" w:color="0171B9"/>
            </w:tcBorders>
          </w:tcPr>
          <w:p>
            <w:pPr>
              <w:spacing w:after="0"/>
              <w:rPr>
                <w:sz w:val="24"/>
                <w:szCs w:val="24"/>
                <w:color w:val="auto"/>
              </w:rPr>
            </w:pPr>
          </w:p>
        </w:tc>
        <w:tc>
          <w:tcPr>
            <w:tcW w:w="760" w:type="dxa"/>
            <w:vAlign w:val="bottom"/>
            <w:tcBorders>
              <w:top w:val="single" w:sz="8" w:color="0171B9"/>
            </w:tcBorders>
          </w:tcPr>
          <w:p>
            <w:pPr>
              <w:spacing w:after="0"/>
              <w:rPr>
                <w:sz w:val="24"/>
                <w:szCs w:val="24"/>
                <w:color w:val="auto"/>
              </w:rPr>
            </w:pPr>
          </w:p>
        </w:tc>
        <w:tc>
          <w:tcPr>
            <w:tcW w:w="1360" w:type="dxa"/>
            <w:vAlign w:val="bottom"/>
            <w:tcBorders>
              <w:top w:val="single" w:sz="8" w:color="0171B9"/>
            </w:tcBorders>
          </w:tcPr>
          <w:p>
            <w:pPr>
              <w:spacing w:after="0"/>
              <w:rPr>
                <w:sz w:val="24"/>
                <w:szCs w:val="24"/>
                <w:color w:val="auto"/>
              </w:rPr>
            </w:pPr>
          </w:p>
        </w:tc>
      </w:tr>
      <w:tr>
        <w:trPr>
          <w:trHeight w:val="162"/>
        </w:trPr>
        <w:tc>
          <w:tcPr>
            <w:tcW w:w="320" w:type="dxa"/>
            <w:vAlign w:val="bottom"/>
          </w:tcPr>
          <w:p>
            <w:pPr>
              <w:spacing w:after="0"/>
              <w:rPr>
                <w:sz w:val="20"/>
                <w:szCs w:val="20"/>
                <w:color w:val="auto"/>
              </w:rPr>
            </w:pPr>
            <w:r>
              <w:rPr>
                <w:rFonts w:ascii="Arial" w:cs="Arial" w:eastAsia="Arial" w:hAnsi="Arial"/>
                <w:sz w:val="14"/>
                <w:szCs w:val="14"/>
                <w:color w:val="auto"/>
              </w:rPr>
              <w:t>“C”</w:t>
            </w:r>
          </w:p>
        </w:tc>
        <w:tc>
          <w:tcPr>
            <w:tcW w:w="2920" w:type="dxa"/>
            <w:vAlign w:val="bottom"/>
            <w:gridSpan w:val="2"/>
          </w:tcPr>
          <w:p>
            <w:pPr>
              <w:ind w:left="100"/>
              <w:spacing w:after="0"/>
              <w:rPr>
                <w:sz w:val="20"/>
                <w:szCs w:val="20"/>
                <w:color w:val="auto"/>
              </w:rPr>
            </w:pPr>
            <w:r>
              <w:rPr>
                <w:rFonts w:ascii="Arial" w:cs="Arial" w:eastAsia="Arial" w:hAnsi="Arial"/>
                <w:sz w:val="14"/>
                <w:szCs w:val="14"/>
                <w:color w:val="auto"/>
              </w:rPr>
              <w:t>indicates Chair of the committee.</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320" w:type="dxa"/>
            <w:vAlign w:val="bottom"/>
          </w:tcPr>
          <w:p>
            <w:pPr>
              <w:spacing w:after="0"/>
              <w:rPr>
                <w:sz w:val="20"/>
                <w:szCs w:val="20"/>
                <w:color w:val="auto"/>
              </w:rPr>
            </w:pPr>
            <w:r>
              <w:rPr>
                <w:rFonts w:ascii="Arial" w:cs="Arial" w:eastAsia="Arial" w:hAnsi="Arial"/>
                <w:sz w:val="14"/>
                <w:szCs w:val="14"/>
                <w:color w:val="auto"/>
              </w:rPr>
              <w:t>“M”</w:t>
            </w:r>
          </w:p>
        </w:tc>
        <w:tc>
          <w:tcPr>
            <w:tcW w:w="2920" w:type="dxa"/>
            <w:vAlign w:val="bottom"/>
            <w:gridSpan w:val="2"/>
          </w:tcPr>
          <w:p>
            <w:pPr>
              <w:ind w:left="100"/>
              <w:spacing w:after="0"/>
              <w:rPr>
                <w:sz w:val="20"/>
                <w:szCs w:val="20"/>
                <w:color w:val="auto"/>
              </w:rPr>
            </w:pPr>
            <w:r>
              <w:rPr>
                <w:rFonts w:ascii="Arial" w:cs="Arial" w:eastAsia="Arial" w:hAnsi="Arial"/>
                <w:sz w:val="14"/>
                <w:szCs w:val="14"/>
                <w:color w:val="auto"/>
              </w:rPr>
              <w:t>indicates member of the committee.</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-2854960</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117" w:lineRule="exact"/>
        <w:rPr>
          <w:sz w:val="20"/>
          <w:szCs w:val="20"/>
          <w:color w:val="auto"/>
        </w:rPr>
      </w:pPr>
    </w:p>
    <w:p>
      <w:pPr>
        <w:ind w:left="120"/>
        <w:spacing w:after="0"/>
        <w:tabs>
          <w:tab w:leader="none" w:pos="487" w:val="left"/>
        </w:tabs>
        <w:rPr>
          <w:sz w:val="20"/>
          <w:szCs w:val="20"/>
          <w:color w:val="auto"/>
        </w:rPr>
      </w:pPr>
      <w:r>
        <w:rPr>
          <w:rFonts w:ascii="Arial" w:cs="Arial" w:eastAsia="Arial" w:hAnsi="Arial"/>
          <w:sz w:val="20"/>
          <w:szCs w:val="20"/>
          <w:b w:val="1"/>
          <w:bCs w:val="1"/>
          <w:color w:val="474747"/>
        </w:rPr>
        <w:t>2</w:t>
      </w:r>
      <w:r>
        <w:rPr>
          <w:sz w:val="20"/>
          <w:szCs w:val="20"/>
          <w:color w:val="auto"/>
        </w:rPr>
        <w:tab/>
      </w:r>
      <w:r>
        <w:rPr>
          <w:sz w:val="1"/>
          <w:szCs w:val="1"/>
          <w:color w:val="auto"/>
        </w:rPr>
        <w:drawing>
          <wp:inline distT="0" distB="0" distL="0" distR="0">
            <wp:extent cx="582930" cy="1371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205740</wp:posOffset>
            </wp:positionV>
            <wp:extent cx="1877060" cy="214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77060" cy="214630"/>
                    </a:xfrm>
                    <a:prstGeom prst="rect">
                      <a:avLst/>
                    </a:prstGeom>
                    <a:noFill/>
                  </pic:spPr>
                </pic:pic>
              </a:graphicData>
            </a:graphic>
          </wp:anchor>
        </w:drawing>
      </w:r>
    </w:p>
    <w:p>
      <w:pPr>
        <w:spacing w:after="0" w:line="312" w:lineRule="exact"/>
        <w:rPr>
          <w:sz w:val="20"/>
          <w:szCs w:val="20"/>
          <w:color w:val="auto"/>
        </w:rPr>
      </w:pPr>
    </w:p>
    <w:p>
      <w:pPr>
        <w:ind w:left="8320"/>
        <w:spacing w:after="0"/>
        <w:rPr>
          <w:sz w:val="20"/>
          <w:szCs w:val="20"/>
          <w:color w:val="auto"/>
        </w:rPr>
      </w:pPr>
      <w:r>
        <w:rPr>
          <w:rFonts w:ascii="Arial" w:cs="Arial" w:eastAsia="Arial" w:hAnsi="Arial"/>
          <w:sz w:val="21"/>
          <w:szCs w:val="21"/>
          <w:b w:val="1"/>
          <w:bCs w:val="1"/>
          <w:color w:val="FFFFFF"/>
        </w:rPr>
        <w:t>Proxy Statement Summary</w:t>
      </w:r>
    </w:p>
    <w:p>
      <w:pPr>
        <w:spacing w:after="0" w:line="35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We Have Implemented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We continuously monitor developments and best practices in corporate governance and consider stockholder feedback when enhancing our governance structures. Below are highlights of our key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926580" cy="6257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6580" cy="6257925"/>
                    </a:xfrm>
                    <a:prstGeom prst="rect">
                      <a:avLst/>
                    </a:prstGeom>
                    <a:noFill/>
                  </pic:spPr>
                </pic:pic>
              </a:graphicData>
            </a:graphic>
          </wp:anchor>
        </w:drawing>
      </w:r>
    </w:p>
    <w:p>
      <w:pPr>
        <w:sectPr>
          <w:pgSz w:w="11900" w:h="16838" w:orient="portrait"/>
          <w:cols w:equalWidth="0" w:num="1">
            <w:col w:w="11140"/>
          </w:cols>
          <w:pgMar w:left="320" w:top="486" w:right="439" w:bottom="8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left="320"/>
        <w:spacing w:after="0" w:line="244" w:lineRule="auto"/>
        <w:rPr>
          <w:sz w:val="20"/>
          <w:szCs w:val="20"/>
          <w:color w:val="auto"/>
        </w:rPr>
      </w:pPr>
      <w:r>
        <w:rPr>
          <w:rFonts w:ascii="Arial" w:cs="Arial" w:eastAsia="Arial" w:hAnsi="Arial"/>
          <w:sz w:val="17"/>
          <w:szCs w:val="17"/>
          <w:b w:val="1"/>
          <w:bCs w:val="1"/>
          <w:color w:val="FFFFFF"/>
        </w:rPr>
        <w:t>Effective Board Leadership and Independent Oversight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FFFFFF"/>
        </w:rPr>
        <w:t>Focus on</w:t>
      </w:r>
    </w:p>
    <w:p>
      <w:pPr>
        <w:spacing w:after="0" w:line="14"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FFFFFF"/>
        </w:rPr>
        <w:t>Stockholder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320"/>
        <w:spacing w:after="0" w:line="249" w:lineRule="auto"/>
        <w:rPr>
          <w:sz w:val="20"/>
          <w:szCs w:val="20"/>
          <w:color w:val="auto"/>
        </w:rPr>
      </w:pPr>
      <w:r>
        <w:rPr>
          <w:rFonts w:ascii="Arial" w:cs="Arial" w:eastAsia="Arial" w:hAnsi="Arial"/>
          <w:sz w:val="17"/>
          <w:szCs w:val="17"/>
          <w:b w:val="1"/>
          <w:bCs w:val="1"/>
          <w:color w:val="FFFFFF"/>
        </w:rPr>
        <w:t>History of Transparency and Accountability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150" w:hanging="150"/>
        <w:spacing w:after="0"/>
        <w:tabs>
          <w:tab w:leader="none" w:pos="150" w:val="left"/>
        </w:tabs>
        <w:numPr>
          <w:ilvl w:val="0"/>
          <w:numId w:val="9"/>
        </w:numPr>
        <w:rPr>
          <w:rFonts w:ascii="MS PGothic" w:cs="MS PGothic" w:eastAsia="MS PGothic" w:hAnsi="MS PGothic"/>
          <w:sz w:val="14"/>
          <w:szCs w:val="14"/>
          <w:color w:val="0171B9"/>
        </w:rPr>
      </w:pPr>
      <w:r>
        <w:rPr>
          <w:rFonts w:ascii="Arial" w:cs="Arial" w:eastAsia="Arial" w:hAnsi="Arial"/>
          <w:sz w:val="14"/>
          <w:szCs w:val="14"/>
          <w:color w:val="auto"/>
        </w:rPr>
        <w:t xml:space="preserve">  Highly Independent Board – 12 of our 13 director nominees </w:t>
      </w:r>
      <w:r>
        <w:rPr>
          <w:rFonts w:ascii="Arial" w:cs="Arial" w:eastAsia="Arial" w:hAnsi="Arial"/>
          <w:sz w:val="14"/>
          <w:szCs w:val="14"/>
          <w:i w:val="1"/>
          <w:iCs w:val="1"/>
          <w:color w:val="auto"/>
        </w:rPr>
        <w:t>(page 28)</w:t>
      </w:r>
    </w:p>
    <w:p>
      <w:pPr>
        <w:spacing w:after="0" w:line="176" w:lineRule="exact"/>
        <w:rPr>
          <w:rFonts w:ascii="MS PGothic" w:cs="MS PGothic" w:eastAsia="MS PGothic" w:hAnsi="MS PGothic"/>
          <w:sz w:val="14"/>
          <w:szCs w:val="14"/>
          <w:color w:val="0171B9"/>
        </w:rPr>
      </w:pPr>
    </w:p>
    <w:p>
      <w:pPr>
        <w:ind w:left="150" w:hanging="150"/>
        <w:spacing w:after="0"/>
        <w:tabs>
          <w:tab w:leader="none" w:pos="150" w:val="left"/>
        </w:tabs>
        <w:numPr>
          <w:ilvl w:val="0"/>
          <w:numId w:val="9"/>
        </w:numPr>
        <w:rPr>
          <w:rFonts w:ascii="MS PGothic" w:cs="MS PGothic" w:eastAsia="MS PGothic" w:hAnsi="MS PGothic"/>
          <w:sz w:val="14"/>
          <w:szCs w:val="14"/>
          <w:color w:val="0171B9"/>
        </w:rPr>
      </w:pPr>
      <w:r>
        <w:rPr>
          <w:rFonts w:ascii="Arial" w:cs="Arial" w:eastAsia="Arial" w:hAnsi="Arial"/>
          <w:sz w:val="14"/>
          <w:szCs w:val="14"/>
          <w:color w:val="auto"/>
        </w:rPr>
        <w:t xml:space="preserve">  Regular Executive Sessions of Independent Directors and Access to Management </w:t>
      </w:r>
      <w:r>
        <w:rPr>
          <w:rFonts w:ascii="Arial" w:cs="Arial" w:eastAsia="Arial" w:hAnsi="Arial"/>
          <w:sz w:val="14"/>
          <w:szCs w:val="14"/>
          <w:i w:val="1"/>
          <w:iCs w:val="1"/>
          <w:color w:val="auto"/>
        </w:rPr>
        <w:t>(pages 17, 19, and 27 )</w:t>
      </w:r>
    </w:p>
    <w:p>
      <w:pPr>
        <w:spacing w:after="0" w:line="176" w:lineRule="exact"/>
        <w:rPr>
          <w:rFonts w:ascii="MS PGothic" w:cs="MS PGothic" w:eastAsia="MS PGothic" w:hAnsi="MS PGothic"/>
          <w:sz w:val="14"/>
          <w:szCs w:val="14"/>
          <w:color w:val="0171B9"/>
        </w:rPr>
      </w:pPr>
    </w:p>
    <w:p>
      <w:pPr>
        <w:ind w:left="150" w:hanging="150"/>
        <w:spacing w:after="0"/>
        <w:tabs>
          <w:tab w:leader="none" w:pos="150" w:val="left"/>
        </w:tabs>
        <w:numPr>
          <w:ilvl w:val="0"/>
          <w:numId w:val="9"/>
        </w:numPr>
        <w:rPr>
          <w:rFonts w:ascii="MS PGothic" w:cs="MS PGothic" w:eastAsia="MS PGothic" w:hAnsi="MS PGothic"/>
          <w:sz w:val="14"/>
          <w:szCs w:val="14"/>
          <w:color w:val="0171B9"/>
        </w:rPr>
      </w:pPr>
      <w:r>
        <w:rPr>
          <w:rFonts w:ascii="Arial" w:cs="Arial" w:eastAsia="Arial" w:hAnsi="Arial"/>
          <w:sz w:val="14"/>
          <w:szCs w:val="14"/>
          <w:color w:val="auto"/>
        </w:rPr>
        <w:t xml:space="preserve">  Continuous Refreshment Practices </w:t>
      </w:r>
      <w:r>
        <w:rPr>
          <w:rFonts w:ascii="Arial" w:cs="Arial" w:eastAsia="Arial" w:hAnsi="Arial"/>
          <w:sz w:val="14"/>
          <w:szCs w:val="14"/>
          <w:i w:val="1"/>
          <w:iCs w:val="1"/>
          <w:color w:val="auto"/>
        </w:rPr>
        <w:t>(pages 18, 24-26)</w:t>
      </w:r>
    </w:p>
    <w:p>
      <w:pPr>
        <w:spacing w:after="0" w:line="181" w:lineRule="exact"/>
        <w:rPr>
          <w:sz w:val="20"/>
          <w:szCs w:val="20"/>
          <w:color w:val="auto"/>
        </w:rPr>
      </w:pPr>
    </w:p>
    <w:p>
      <w:pPr>
        <w:ind w:left="21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8 New Directors Since 2015</w:t>
      </w:r>
    </w:p>
    <w:p>
      <w:pPr>
        <w:spacing w:after="0" w:line="115" w:lineRule="exact"/>
        <w:rPr>
          <w:sz w:val="20"/>
          <w:szCs w:val="20"/>
          <w:color w:val="auto"/>
        </w:rPr>
      </w:pPr>
    </w:p>
    <w:p>
      <w:pPr>
        <w:ind w:left="21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3 Women and 3 Racially/Ethnically Diverse Directors</w:t>
      </w:r>
    </w:p>
    <w:p>
      <w:pPr>
        <w:spacing w:after="0" w:line="115" w:lineRule="exact"/>
        <w:rPr>
          <w:sz w:val="20"/>
          <w:szCs w:val="20"/>
          <w:color w:val="auto"/>
        </w:rPr>
      </w:pPr>
    </w:p>
    <w:p>
      <w:pPr>
        <w:jc w:val="both"/>
        <w:ind w:left="430" w:right="320" w:hanging="214"/>
        <w:spacing w:after="0" w:line="238"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Commitment to Gender Diversity — the Governance Committee and Board currently intend that the next</w:t>
      </w:r>
      <w:r>
        <w:rPr>
          <w:rFonts w:ascii="Arial" w:cs="Arial" w:eastAsia="Arial" w:hAnsi="Arial"/>
          <w:sz w:val="17"/>
          <w:szCs w:val="17"/>
          <w:color w:val="0171B9"/>
        </w:rPr>
        <w:t xml:space="preserve"> </w:t>
      </w:r>
      <w:r>
        <w:rPr>
          <w:rFonts w:ascii="Arial" w:cs="Arial" w:eastAsia="Arial" w:hAnsi="Arial"/>
          <w:sz w:val="17"/>
          <w:szCs w:val="17"/>
          <w:color w:val="000000"/>
        </w:rPr>
        <w:t>vacancy resulting from a director retirement be filled by a person who meets our Director qualifications and enhances the Board’s gender diversity</w:t>
      </w:r>
    </w:p>
    <w:p>
      <w:pPr>
        <w:spacing w:after="0" w:line="107" w:lineRule="exact"/>
        <w:rPr>
          <w:sz w:val="20"/>
          <w:szCs w:val="20"/>
          <w:color w:val="auto"/>
        </w:rPr>
      </w:pPr>
    </w:p>
    <w:p>
      <w:pPr>
        <w:ind w:left="210"/>
        <w:spacing w:after="0"/>
        <w:rPr>
          <w:sz w:val="20"/>
          <w:szCs w:val="20"/>
          <w:color w:val="auto"/>
        </w:rPr>
      </w:pPr>
      <w:r>
        <w:rPr>
          <w:rFonts w:ascii="Arial" w:cs="Arial" w:eastAsia="Arial" w:hAnsi="Arial"/>
          <w:sz w:val="17"/>
          <w:szCs w:val="17"/>
          <w:color w:val="0171B9"/>
        </w:rPr>
        <w:t xml:space="preserve">–   </w:t>
      </w:r>
      <w:r>
        <w:rPr>
          <w:rFonts w:ascii="Arial" w:cs="Arial" w:eastAsia="Arial" w:hAnsi="Arial"/>
          <w:sz w:val="17"/>
          <w:szCs w:val="17"/>
          <w:color w:val="000000"/>
        </w:rPr>
        <w:t>Average Board Tenure of Approximately 6.5 Years for Our Directors</w:t>
      </w:r>
    </w:p>
    <w:p>
      <w:pPr>
        <w:spacing w:after="0" w:line="111" w:lineRule="exact"/>
        <w:rPr>
          <w:sz w:val="20"/>
          <w:szCs w:val="20"/>
          <w:color w:val="auto"/>
        </w:rPr>
      </w:pPr>
    </w:p>
    <w:p>
      <w:pPr>
        <w:ind w:left="150" w:hanging="150"/>
        <w:spacing w:after="0"/>
        <w:tabs>
          <w:tab w:leader="none" w:pos="150" w:val="left"/>
        </w:tabs>
        <w:numPr>
          <w:ilvl w:val="0"/>
          <w:numId w:val="10"/>
        </w:numPr>
        <w:rPr>
          <w:rFonts w:ascii="MS PGothic" w:cs="MS PGothic" w:eastAsia="MS PGothic" w:hAnsi="MS PGothic"/>
          <w:sz w:val="14"/>
          <w:szCs w:val="14"/>
          <w:color w:val="0171B9"/>
        </w:rPr>
      </w:pPr>
      <w:r>
        <w:rPr>
          <w:rFonts w:ascii="Arial" w:cs="Arial" w:eastAsia="Arial" w:hAnsi="Arial"/>
          <w:sz w:val="14"/>
          <w:szCs w:val="14"/>
          <w:color w:val="auto"/>
        </w:rPr>
        <w:t xml:space="preserve">  Annual Anonymous Board and Committee Evaluation Process </w:t>
      </w:r>
      <w:r>
        <w:rPr>
          <w:rFonts w:ascii="Arial" w:cs="Arial" w:eastAsia="Arial" w:hAnsi="Arial"/>
          <w:sz w:val="14"/>
          <w:szCs w:val="14"/>
          <w:i w:val="1"/>
          <w:iCs w:val="1"/>
          <w:color w:val="auto"/>
        </w:rPr>
        <w:t>(pages 17 and 27)</w:t>
      </w:r>
    </w:p>
    <w:p>
      <w:pPr>
        <w:spacing w:after="0" w:line="194" w:lineRule="exact"/>
        <w:rPr>
          <w:rFonts w:ascii="MS PGothic" w:cs="MS PGothic" w:eastAsia="MS PGothic" w:hAnsi="MS PGothic"/>
          <w:sz w:val="14"/>
          <w:szCs w:val="14"/>
          <w:color w:val="0171B9"/>
        </w:rPr>
      </w:pPr>
    </w:p>
    <w:p>
      <w:pPr>
        <w:ind w:left="210" w:right="340" w:hanging="210"/>
        <w:spacing w:after="0" w:line="259" w:lineRule="auto"/>
        <w:tabs>
          <w:tab w:leader="none" w:pos="210" w:val="left"/>
        </w:tabs>
        <w:numPr>
          <w:ilvl w:val="0"/>
          <w:numId w:val="10"/>
        </w:numPr>
        <w:rPr>
          <w:rFonts w:ascii="MS PGothic" w:cs="MS PGothic" w:eastAsia="MS PGothic" w:hAnsi="MS PGothic"/>
          <w:sz w:val="17"/>
          <w:szCs w:val="17"/>
          <w:color w:val="0171B9"/>
        </w:rPr>
      </w:pPr>
      <w:r>
        <w:rPr>
          <w:rFonts w:ascii="Arial" w:cs="Arial" w:eastAsia="Arial" w:hAnsi="Arial"/>
          <w:sz w:val="17"/>
          <w:szCs w:val="17"/>
          <w:color w:val="auto"/>
        </w:rPr>
        <w:t xml:space="preserve">  All Directors Meet Our Board of Directors Guidelines for Director Qualifications and Evaluations </w:t>
      </w:r>
      <w:r>
        <w:rPr>
          <w:rFonts w:ascii="Arial" w:cs="Arial" w:eastAsia="Arial" w:hAnsi="Arial"/>
          <w:sz w:val="17"/>
          <w:szCs w:val="17"/>
          <w:i w:val="1"/>
          <w:iCs w:val="1"/>
          <w:color w:val="auto"/>
        </w:rPr>
        <w:t>(Appendix A)</w:t>
      </w:r>
    </w:p>
    <w:p>
      <w:pPr>
        <w:spacing w:after="0" w:line="86" w:lineRule="exact"/>
        <w:rPr>
          <w:rFonts w:ascii="MS PGothic" w:cs="MS PGothic" w:eastAsia="MS PGothic" w:hAnsi="MS PGothic"/>
          <w:sz w:val="17"/>
          <w:szCs w:val="17"/>
          <w:color w:val="0171B9"/>
        </w:rPr>
      </w:pPr>
    </w:p>
    <w:p>
      <w:pPr>
        <w:ind w:left="150" w:hanging="150"/>
        <w:spacing w:after="0"/>
        <w:tabs>
          <w:tab w:leader="none" w:pos="150" w:val="left"/>
        </w:tabs>
        <w:numPr>
          <w:ilvl w:val="0"/>
          <w:numId w:val="10"/>
        </w:numPr>
        <w:rPr>
          <w:rFonts w:ascii="MS PGothic" w:cs="MS PGothic" w:eastAsia="MS PGothic" w:hAnsi="MS PGothic"/>
          <w:sz w:val="14"/>
          <w:szCs w:val="14"/>
          <w:color w:val="0171B9"/>
        </w:rPr>
      </w:pPr>
      <w:r>
        <w:rPr>
          <w:rFonts w:ascii="Arial" w:cs="Arial" w:eastAsia="Arial" w:hAnsi="Arial"/>
          <w:sz w:val="14"/>
          <w:szCs w:val="14"/>
          <w:color w:val="auto"/>
        </w:rPr>
        <w:t xml:space="preserve">  Robust Lead Independent Director Role </w:t>
      </w:r>
      <w:r>
        <w:rPr>
          <w:rFonts w:ascii="Arial" w:cs="Arial" w:eastAsia="Arial" w:hAnsi="Arial"/>
          <w:sz w:val="14"/>
          <w:szCs w:val="14"/>
          <w:i w:val="1"/>
          <w:iCs w:val="1"/>
          <w:color w:val="auto"/>
        </w:rPr>
        <w:t>(pages 17-20)</w:t>
      </w:r>
    </w:p>
    <w:p>
      <w:pPr>
        <w:spacing w:after="0" w:line="176" w:lineRule="exact"/>
        <w:rPr>
          <w:rFonts w:ascii="MS PGothic" w:cs="MS PGothic" w:eastAsia="MS PGothic" w:hAnsi="MS PGothic"/>
          <w:sz w:val="14"/>
          <w:szCs w:val="14"/>
          <w:color w:val="0171B9"/>
        </w:rPr>
      </w:pPr>
    </w:p>
    <w:p>
      <w:pPr>
        <w:ind w:left="150" w:hanging="150"/>
        <w:spacing w:after="0"/>
        <w:tabs>
          <w:tab w:leader="none" w:pos="150" w:val="left"/>
        </w:tabs>
        <w:numPr>
          <w:ilvl w:val="0"/>
          <w:numId w:val="10"/>
        </w:numPr>
        <w:rPr>
          <w:rFonts w:ascii="MS PGothic" w:cs="MS PGothic" w:eastAsia="MS PGothic" w:hAnsi="MS PGothic"/>
          <w:sz w:val="14"/>
          <w:szCs w:val="14"/>
          <w:color w:val="0171B9"/>
        </w:rPr>
      </w:pPr>
      <w:r>
        <w:rPr>
          <w:rFonts w:ascii="Arial" w:cs="Arial" w:eastAsia="Arial" w:hAnsi="Arial"/>
          <w:sz w:val="14"/>
          <w:szCs w:val="14"/>
          <w:color w:val="auto"/>
        </w:rPr>
        <w:t xml:space="preserve">  Limitation on Number of Other Boards </w:t>
      </w:r>
      <w:r>
        <w:rPr>
          <w:rFonts w:ascii="Arial" w:cs="Arial" w:eastAsia="Arial" w:hAnsi="Arial"/>
          <w:sz w:val="14"/>
          <w:szCs w:val="14"/>
          <w:i w:val="1"/>
          <w:iCs w:val="1"/>
          <w:color w:val="auto"/>
        </w:rPr>
        <w:t>(page 17)</w:t>
      </w:r>
    </w:p>
    <w:p>
      <w:pPr>
        <w:spacing w:after="0" w:line="176" w:lineRule="exact"/>
        <w:rPr>
          <w:rFonts w:ascii="MS PGothic" w:cs="MS PGothic" w:eastAsia="MS PGothic" w:hAnsi="MS PGothic"/>
          <w:sz w:val="14"/>
          <w:szCs w:val="14"/>
          <w:color w:val="0171B9"/>
        </w:rPr>
      </w:pPr>
    </w:p>
    <w:p>
      <w:pPr>
        <w:ind w:left="150" w:hanging="150"/>
        <w:spacing w:after="0"/>
        <w:tabs>
          <w:tab w:leader="none" w:pos="150" w:val="left"/>
        </w:tabs>
        <w:numPr>
          <w:ilvl w:val="0"/>
          <w:numId w:val="10"/>
        </w:numPr>
        <w:rPr>
          <w:rFonts w:ascii="MS PGothic" w:cs="MS PGothic" w:eastAsia="MS PGothic" w:hAnsi="MS PGothic"/>
          <w:sz w:val="14"/>
          <w:szCs w:val="14"/>
          <w:color w:val="0171B9"/>
        </w:rPr>
      </w:pPr>
      <w:r>
        <w:rPr>
          <w:rFonts w:ascii="Arial" w:cs="Arial" w:eastAsia="Arial" w:hAnsi="Arial"/>
          <w:sz w:val="14"/>
          <w:szCs w:val="14"/>
          <w:color w:val="auto"/>
        </w:rPr>
        <w:t xml:space="preserve">  Corporate Responsibility and Compliance Committee </w:t>
      </w:r>
      <w:r>
        <w:rPr>
          <w:rFonts w:ascii="Arial" w:cs="Arial" w:eastAsia="Arial" w:hAnsi="Arial"/>
          <w:sz w:val="14"/>
          <w:szCs w:val="14"/>
          <w:i w:val="1"/>
          <w:iCs w:val="1"/>
          <w:color w:val="auto"/>
        </w:rPr>
        <w:t>(page 30)</w:t>
      </w:r>
    </w:p>
    <w:p>
      <w:pPr>
        <w:spacing w:after="0" w:line="194" w:lineRule="exact"/>
        <w:rPr>
          <w:rFonts w:ascii="MS PGothic" w:cs="MS PGothic" w:eastAsia="MS PGothic" w:hAnsi="MS PGothic"/>
          <w:sz w:val="14"/>
          <w:szCs w:val="14"/>
          <w:color w:val="0171B9"/>
        </w:rPr>
      </w:pPr>
    </w:p>
    <w:p>
      <w:pPr>
        <w:ind w:left="210" w:right="320" w:hanging="210"/>
        <w:spacing w:after="0" w:line="326" w:lineRule="auto"/>
        <w:tabs>
          <w:tab w:leader="none" w:pos="156" w:val="left"/>
        </w:tabs>
        <w:numPr>
          <w:ilvl w:val="0"/>
          <w:numId w:val="10"/>
        </w:numPr>
        <w:rPr>
          <w:rFonts w:ascii="MS PGothic" w:cs="MS PGothic" w:eastAsia="MS PGothic" w:hAnsi="MS PGothic"/>
          <w:sz w:val="15"/>
          <w:szCs w:val="15"/>
          <w:color w:val="0171B9"/>
        </w:rPr>
      </w:pPr>
      <w:r>
        <w:rPr>
          <w:rFonts w:ascii="Arial" w:cs="Arial" w:eastAsia="Arial" w:hAnsi="Arial"/>
          <w:sz w:val="15"/>
          <w:szCs w:val="15"/>
          <w:color w:val="auto"/>
        </w:rPr>
        <w:t xml:space="preserve">  Enterprise Risk Management Program and Annual Compensation Risk Analysis – overseen by Board and Compensation and Management Development Committee, respectively </w:t>
      </w:r>
      <w:r>
        <w:rPr>
          <w:rFonts w:ascii="Arial" w:cs="Arial" w:eastAsia="Arial" w:hAnsi="Arial"/>
          <w:sz w:val="15"/>
          <w:szCs w:val="15"/>
          <w:i w:val="1"/>
          <w:iCs w:val="1"/>
          <w:color w:val="auto"/>
        </w:rPr>
        <w:t>(pages 20-21 and 37-38)</w:t>
      </w:r>
    </w:p>
    <w:p>
      <w:pPr>
        <w:spacing w:after="0" w:line="215" w:lineRule="exact"/>
        <w:rPr>
          <w:rFonts w:ascii="MS PGothic" w:cs="MS PGothic" w:eastAsia="MS PGothic" w:hAnsi="MS PGothic"/>
          <w:sz w:val="15"/>
          <w:szCs w:val="15"/>
          <w:color w:val="0171B9"/>
        </w:rPr>
      </w:pPr>
    </w:p>
    <w:p>
      <w:pPr>
        <w:ind w:left="150" w:hanging="150"/>
        <w:spacing w:after="0"/>
        <w:tabs>
          <w:tab w:leader="none" w:pos="150" w:val="left"/>
        </w:tabs>
        <w:numPr>
          <w:ilvl w:val="0"/>
          <w:numId w:val="10"/>
        </w:numPr>
        <w:rPr>
          <w:rFonts w:ascii="MS PGothic" w:cs="MS PGothic" w:eastAsia="MS PGothic" w:hAnsi="MS PGothic"/>
          <w:sz w:val="14"/>
          <w:szCs w:val="14"/>
          <w:color w:val="0171B9"/>
        </w:rPr>
      </w:pPr>
      <w:r>
        <w:rPr>
          <w:rFonts w:ascii="Arial" w:cs="Arial" w:eastAsia="Arial" w:hAnsi="Arial"/>
          <w:sz w:val="14"/>
          <w:szCs w:val="14"/>
          <w:color w:val="auto"/>
        </w:rPr>
        <w:t xml:space="preserve">  Single Class of Shares – One share equals one vote </w:t>
      </w:r>
      <w:r>
        <w:rPr>
          <w:rFonts w:ascii="Arial" w:cs="Arial" w:eastAsia="Arial" w:hAnsi="Arial"/>
          <w:sz w:val="14"/>
          <w:szCs w:val="14"/>
          <w:i w:val="1"/>
          <w:iCs w:val="1"/>
          <w:color w:val="auto"/>
        </w:rPr>
        <w:t>(page 18)</w:t>
      </w:r>
    </w:p>
    <w:p>
      <w:pPr>
        <w:spacing w:after="0" w:line="150" w:lineRule="exact"/>
        <w:rPr>
          <w:rFonts w:ascii="MS PGothic" w:cs="MS PGothic" w:eastAsia="MS PGothic" w:hAnsi="MS PGothic"/>
          <w:sz w:val="14"/>
          <w:szCs w:val="14"/>
          <w:color w:val="0171B9"/>
        </w:rPr>
      </w:pPr>
    </w:p>
    <w:p>
      <w:pPr>
        <w:ind w:left="210" w:right="320" w:hanging="215"/>
        <w:spacing w:after="0" w:line="213" w:lineRule="exact"/>
        <w:rPr>
          <w:rFonts w:ascii="MS PGothic" w:cs="MS PGothic" w:eastAsia="MS PGothic" w:hAnsi="MS PGothic"/>
          <w:sz w:val="14"/>
          <w:szCs w:val="14"/>
          <w:color w:val="0171B9"/>
        </w:rPr>
      </w:pPr>
      <w:r>
        <w:rPr>
          <w:rFonts w:ascii="MS PGothic" w:cs="MS PGothic" w:eastAsia="MS PGothic" w:hAnsi="MS PGothic"/>
          <w:sz w:val="17"/>
          <w:szCs w:val="17"/>
          <w:color w:val="0171B9"/>
        </w:rPr>
        <w:t>✓</w:t>
      </w:r>
      <w:r>
        <w:rPr>
          <w:rFonts w:ascii="Arial" w:cs="Arial" w:eastAsia="Arial" w:hAnsi="Arial"/>
          <w:sz w:val="17"/>
          <w:szCs w:val="17"/>
          <w:color w:val="auto"/>
        </w:rPr>
        <w:t xml:space="preserve">  Proxy Access – Up to 20 eligible stockholders who own 3% of shares for 3 years who meet the requirements set forth in our Bylaws may have their director nominees constituting up to the greater of 20% of the total directors or two nominees included in our proxy materials </w:t>
      </w:r>
      <w:r>
        <w:rPr>
          <w:rFonts w:ascii="Arial" w:cs="Arial" w:eastAsia="Arial" w:hAnsi="Arial"/>
          <w:sz w:val="17"/>
          <w:szCs w:val="17"/>
          <w:i w:val="1"/>
          <w:iCs w:val="1"/>
          <w:color w:val="auto"/>
        </w:rPr>
        <w:t>(pages 18 and 107)</w:t>
      </w:r>
    </w:p>
    <w:p>
      <w:pPr>
        <w:spacing w:after="0" w:line="103" w:lineRule="exact"/>
        <w:rPr>
          <w:rFonts w:ascii="MS PGothic" w:cs="MS PGothic" w:eastAsia="MS PGothic" w:hAnsi="MS PGothic"/>
          <w:sz w:val="14"/>
          <w:szCs w:val="14"/>
          <w:color w:val="0171B9"/>
        </w:rPr>
      </w:pPr>
    </w:p>
    <w:p>
      <w:pPr>
        <w:ind w:left="150" w:hanging="150"/>
        <w:spacing w:after="0"/>
        <w:tabs>
          <w:tab w:leader="none" w:pos="150" w:val="left"/>
        </w:tabs>
        <w:numPr>
          <w:ilvl w:val="0"/>
          <w:numId w:val="10"/>
        </w:numPr>
        <w:rPr>
          <w:rFonts w:ascii="MS PGothic" w:cs="MS PGothic" w:eastAsia="MS PGothic" w:hAnsi="MS PGothic"/>
          <w:sz w:val="14"/>
          <w:szCs w:val="14"/>
          <w:color w:val="0171B9"/>
        </w:rPr>
      </w:pPr>
      <w:r>
        <w:rPr>
          <w:rFonts w:ascii="Arial" w:cs="Arial" w:eastAsia="Arial" w:hAnsi="Arial"/>
          <w:sz w:val="14"/>
          <w:szCs w:val="14"/>
          <w:color w:val="auto"/>
        </w:rPr>
        <w:t xml:space="preserve">  Majority Voting Standard for Director Elections </w:t>
      </w:r>
      <w:r>
        <w:rPr>
          <w:rFonts w:ascii="Arial" w:cs="Arial" w:eastAsia="Arial" w:hAnsi="Arial"/>
          <w:sz w:val="14"/>
          <w:szCs w:val="14"/>
          <w:i w:val="1"/>
          <w:iCs w:val="1"/>
          <w:color w:val="auto"/>
        </w:rPr>
        <w:t>(pages 17 and 105-106)</w:t>
      </w:r>
    </w:p>
    <w:p>
      <w:pPr>
        <w:spacing w:after="0" w:line="176" w:lineRule="exact"/>
        <w:rPr>
          <w:rFonts w:ascii="MS PGothic" w:cs="MS PGothic" w:eastAsia="MS PGothic" w:hAnsi="MS PGothic"/>
          <w:sz w:val="14"/>
          <w:szCs w:val="14"/>
          <w:color w:val="0171B9"/>
        </w:rPr>
      </w:pPr>
    </w:p>
    <w:p>
      <w:pPr>
        <w:ind w:left="150" w:hanging="150"/>
        <w:spacing w:after="0"/>
        <w:tabs>
          <w:tab w:leader="none" w:pos="150" w:val="left"/>
        </w:tabs>
        <w:numPr>
          <w:ilvl w:val="0"/>
          <w:numId w:val="10"/>
        </w:numPr>
        <w:rPr>
          <w:rFonts w:ascii="MS PGothic" w:cs="MS PGothic" w:eastAsia="MS PGothic" w:hAnsi="MS PGothic"/>
          <w:sz w:val="14"/>
          <w:szCs w:val="14"/>
          <w:color w:val="0171B9"/>
        </w:rPr>
      </w:pPr>
      <w:r>
        <w:rPr>
          <w:rFonts w:ascii="Arial" w:cs="Arial" w:eastAsia="Arial" w:hAnsi="Arial"/>
          <w:sz w:val="14"/>
          <w:szCs w:val="14"/>
          <w:color w:val="auto"/>
        </w:rPr>
        <w:t>  Stockholders</w:t>
      </w:r>
      <w:r>
        <w:rPr>
          <w:rFonts w:ascii="Arial" w:cs="Arial" w:eastAsia="Arial" w:hAnsi="Arial"/>
          <w:sz w:val="20"/>
          <w:szCs w:val="20"/>
          <w:color w:val="auto"/>
          <w:vertAlign w:val="superscript"/>
        </w:rPr>
        <w:t>(1)</w:t>
      </w:r>
      <w:r>
        <w:rPr>
          <w:rFonts w:ascii="Arial" w:cs="Arial" w:eastAsia="Arial" w:hAnsi="Arial"/>
          <w:sz w:val="14"/>
          <w:szCs w:val="14"/>
          <w:color w:val="auto"/>
        </w:rPr>
        <w:t xml:space="preserve"> May Act By Written Consent </w:t>
      </w:r>
      <w:r>
        <w:rPr>
          <w:rFonts w:ascii="Arial" w:cs="Arial" w:eastAsia="Arial" w:hAnsi="Arial"/>
          <w:sz w:val="14"/>
          <w:szCs w:val="14"/>
          <w:i w:val="1"/>
          <w:iCs w:val="1"/>
          <w:color w:val="auto"/>
        </w:rPr>
        <w:t>(page 18)</w:t>
      </w:r>
    </w:p>
    <w:p>
      <w:pPr>
        <w:spacing w:after="0" w:line="71" w:lineRule="exact"/>
        <w:rPr>
          <w:rFonts w:ascii="MS PGothic" w:cs="MS PGothic" w:eastAsia="MS PGothic" w:hAnsi="MS PGothic"/>
          <w:sz w:val="14"/>
          <w:szCs w:val="14"/>
          <w:color w:val="0171B9"/>
        </w:rPr>
      </w:pPr>
    </w:p>
    <w:p>
      <w:pPr>
        <w:ind w:left="150" w:hanging="150"/>
        <w:spacing w:after="0"/>
        <w:tabs>
          <w:tab w:leader="none" w:pos="150" w:val="left"/>
        </w:tabs>
        <w:numPr>
          <w:ilvl w:val="0"/>
          <w:numId w:val="10"/>
        </w:numPr>
        <w:rPr>
          <w:rFonts w:ascii="MS PGothic" w:cs="MS PGothic" w:eastAsia="MS PGothic" w:hAnsi="MS PGothic"/>
          <w:sz w:val="14"/>
          <w:szCs w:val="14"/>
          <w:color w:val="0171B9"/>
        </w:rPr>
      </w:pPr>
      <w:r>
        <w:rPr>
          <w:rFonts w:ascii="Arial" w:cs="Arial" w:eastAsia="Arial" w:hAnsi="Arial"/>
          <w:sz w:val="14"/>
          <w:szCs w:val="14"/>
          <w:color w:val="auto"/>
        </w:rPr>
        <w:t>  Stockholders</w:t>
      </w:r>
      <w:r>
        <w:rPr>
          <w:rFonts w:ascii="Arial" w:cs="Arial" w:eastAsia="Arial" w:hAnsi="Arial"/>
          <w:sz w:val="20"/>
          <w:szCs w:val="20"/>
          <w:color w:val="auto"/>
          <w:vertAlign w:val="superscript"/>
        </w:rPr>
        <w:t>(1)</w:t>
      </w:r>
      <w:r>
        <w:rPr>
          <w:rFonts w:ascii="Arial" w:cs="Arial" w:eastAsia="Arial" w:hAnsi="Arial"/>
          <w:sz w:val="14"/>
          <w:szCs w:val="14"/>
          <w:color w:val="auto"/>
        </w:rPr>
        <w:t xml:space="preserve"> Have a Right to Call Special Meetings (15% threshold requirement) </w:t>
      </w:r>
      <w:r>
        <w:rPr>
          <w:rFonts w:ascii="Arial" w:cs="Arial" w:eastAsia="Arial" w:hAnsi="Arial"/>
          <w:sz w:val="14"/>
          <w:szCs w:val="14"/>
          <w:i w:val="1"/>
          <w:iCs w:val="1"/>
          <w:color w:val="auto"/>
        </w:rPr>
        <w:t>(page 18)</w:t>
      </w:r>
    </w:p>
    <w:p>
      <w:pPr>
        <w:spacing w:after="0" w:line="53" w:lineRule="exact"/>
        <w:rPr>
          <w:rFonts w:ascii="MS PGothic" w:cs="MS PGothic" w:eastAsia="MS PGothic" w:hAnsi="MS PGothic"/>
          <w:sz w:val="14"/>
          <w:szCs w:val="14"/>
          <w:color w:val="0171B9"/>
        </w:rPr>
      </w:pPr>
    </w:p>
    <w:p>
      <w:pPr>
        <w:ind w:left="150" w:hanging="150"/>
        <w:spacing w:after="0"/>
        <w:tabs>
          <w:tab w:leader="none" w:pos="150" w:val="left"/>
        </w:tabs>
        <w:numPr>
          <w:ilvl w:val="0"/>
          <w:numId w:val="10"/>
        </w:numPr>
        <w:rPr>
          <w:rFonts w:ascii="MS PGothic" w:cs="MS PGothic" w:eastAsia="MS PGothic" w:hAnsi="MS PGothic"/>
          <w:sz w:val="14"/>
          <w:szCs w:val="14"/>
          <w:color w:val="0171B9"/>
        </w:rPr>
      </w:pPr>
      <w:r>
        <w:rPr>
          <w:rFonts w:ascii="Arial" w:cs="Arial" w:eastAsia="Arial" w:hAnsi="Arial"/>
          <w:sz w:val="14"/>
          <w:szCs w:val="14"/>
          <w:color w:val="auto"/>
        </w:rPr>
        <w:t xml:space="preserve">  No Supermajority Vote Provisions in Certificate of Incorporation or Bylaws </w:t>
      </w:r>
      <w:r>
        <w:rPr>
          <w:rFonts w:ascii="Arial" w:cs="Arial" w:eastAsia="Arial" w:hAnsi="Arial"/>
          <w:sz w:val="14"/>
          <w:szCs w:val="14"/>
          <w:i w:val="1"/>
          <w:iCs w:val="1"/>
          <w:color w:val="auto"/>
        </w:rPr>
        <w:t>(page 18)</w:t>
      </w:r>
    </w:p>
    <w:p>
      <w:pPr>
        <w:spacing w:after="0" w:line="104" w:lineRule="exact"/>
        <w:rPr>
          <w:rFonts w:ascii="MS PGothic" w:cs="MS PGothic" w:eastAsia="MS PGothic" w:hAnsi="MS PGothic"/>
          <w:sz w:val="14"/>
          <w:szCs w:val="14"/>
          <w:color w:val="0171B9"/>
        </w:rPr>
      </w:pPr>
    </w:p>
    <w:p>
      <w:pPr>
        <w:ind w:left="150" w:hanging="150"/>
        <w:spacing w:after="0"/>
        <w:tabs>
          <w:tab w:leader="none" w:pos="150" w:val="left"/>
        </w:tabs>
        <w:numPr>
          <w:ilvl w:val="0"/>
          <w:numId w:val="10"/>
        </w:numPr>
        <w:rPr>
          <w:rFonts w:ascii="MS PGothic" w:cs="MS PGothic" w:eastAsia="MS PGothic" w:hAnsi="MS PGothic"/>
          <w:sz w:val="14"/>
          <w:szCs w:val="14"/>
          <w:color w:val="0171B9"/>
        </w:rPr>
      </w:pPr>
      <w:r>
        <w:rPr>
          <w:rFonts w:ascii="Arial" w:cs="Arial" w:eastAsia="Arial" w:hAnsi="Arial"/>
          <w:sz w:val="14"/>
          <w:szCs w:val="14"/>
          <w:color w:val="auto"/>
        </w:rPr>
        <w:t xml:space="preserve">  No Poison Pill </w:t>
      </w:r>
      <w:r>
        <w:rPr>
          <w:rFonts w:ascii="Arial" w:cs="Arial" w:eastAsia="Arial" w:hAnsi="Arial"/>
          <w:sz w:val="14"/>
          <w:szCs w:val="14"/>
          <w:i w:val="1"/>
          <w:iCs w:val="1"/>
          <w:color w:val="auto"/>
        </w:rPr>
        <w:t>(page 18)</w:t>
      </w:r>
    </w:p>
    <w:p>
      <w:pPr>
        <w:spacing w:after="0" w:line="352" w:lineRule="exact"/>
        <w:rPr>
          <w:rFonts w:ascii="MS PGothic" w:cs="MS PGothic" w:eastAsia="MS PGothic" w:hAnsi="MS PGothic"/>
          <w:sz w:val="14"/>
          <w:szCs w:val="14"/>
          <w:color w:val="0171B9"/>
        </w:rPr>
      </w:pPr>
    </w:p>
    <w:p>
      <w:pPr>
        <w:ind w:left="150" w:hanging="150"/>
        <w:spacing w:after="0"/>
        <w:tabs>
          <w:tab w:leader="none" w:pos="150" w:val="left"/>
        </w:tabs>
        <w:numPr>
          <w:ilvl w:val="0"/>
          <w:numId w:val="10"/>
        </w:numPr>
        <w:rPr>
          <w:rFonts w:ascii="MS PGothic" w:cs="MS PGothic" w:eastAsia="MS PGothic" w:hAnsi="MS PGothic"/>
          <w:sz w:val="14"/>
          <w:szCs w:val="14"/>
          <w:color w:val="0171B9"/>
        </w:rPr>
      </w:pPr>
      <w:r>
        <w:rPr>
          <w:rFonts w:ascii="Arial" w:cs="Arial" w:eastAsia="Arial" w:hAnsi="Arial"/>
          <w:sz w:val="14"/>
          <w:szCs w:val="14"/>
          <w:color w:val="auto"/>
        </w:rPr>
        <w:t xml:space="preserve">  Regular Engagement With Stockholders to Seek Feedback </w:t>
      </w:r>
      <w:r>
        <w:rPr>
          <w:rFonts w:ascii="Arial" w:cs="Arial" w:eastAsia="Arial" w:hAnsi="Arial"/>
          <w:sz w:val="14"/>
          <w:szCs w:val="14"/>
          <w:i w:val="1"/>
          <w:iCs w:val="1"/>
          <w:color w:val="auto"/>
        </w:rPr>
        <w:t>(pages 17 and 53-54)</w:t>
      </w:r>
    </w:p>
    <w:p>
      <w:pPr>
        <w:spacing w:after="0" w:line="150" w:lineRule="exact"/>
        <w:rPr>
          <w:rFonts w:ascii="MS PGothic" w:cs="MS PGothic" w:eastAsia="MS PGothic" w:hAnsi="MS PGothic"/>
          <w:sz w:val="14"/>
          <w:szCs w:val="14"/>
          <w:color w:val="0171B9"/>
        </w:rPr>
      </w:pPr>
    </w:p>
    <w:p>
      <w:pPr>
        <w:ind w:left="210" w:right="320" w:hanging="215"/>
        <w:spacing w:after="0" w:line="207" w:lineRule="exact"/>
        <w:rPr>
          <w:rFonts w:ascii="MS PGothic" w:cs="MS PGothic" w:eastAsia="MS PGothic" w:hAnsi="MS PGothic"/>
          <w:sz w:val="14"/>
          <w:szCs w:val="14"/>
          <w:color w:val="0171B9"/>
        </w:rPr>
      </w:pPr>
      <w:r>
        <w:rPr>
          <w:rFonts w:ascii="MS PGothic" w:cs="MS PGothic" w:eastAsia="MS PGothic" w:hAnsi="MS PGothic"/>
          <w:sz w:val="17"/>
          <w:szCs w:val="17"/>
          <w:color w:val="0171B9"/>
        </w:rPr>
        <w:t>✓</w:t>
      </w:r>
      <w:r>
        <w:rPr>
          <w:rFonts w:ascii="Arial" w:cs="Arial" w:eastAsia="Arial" w:hAnsi="Arial"/>
          <w:sz w:val="17"/>
          <w:szCs w:val="17"/>
          <w:color w:val="auto"/>
        </w:rPr>
        <w:t xml:space="preserve">  Our Approach to Environmental Sustainability, Social Responsibility, and Corporate Governance (ESG), Has Delivered Environmentally Responsible Operations, Improved Patient Access to Medicines, Provided High Quality, Free Science Education Resources, and Benefited the Communities Where We Live and Work </w:t>
      </w:r>
      <w:r>
        <w:rPr>
          <w:rFonts w:ascii="Arial" w:cs="Arial" w:eastAsia="Arial" w:hAnsi="Arial"/>
          <w:sz w:val="17"/>
          <w:szCs w:val="17"/>
          <w:i w:val="1"/>
          <w:iCs w:val="1"/>
          <w:color w:val="auto"/>
        </w:rPr>
        <w:t>(pages 31-36)</w:t>
      </w:r>
    </w:p>
    <w:p>
      <w:pPr>
        <w:spacing w:after="0" w:line="102" w:lineRule="exact"/>
        <w:rPr>
          <w:rFonts w:ascii="MS PGothic" w:cs="MS PGothic" w:eastAsia="MS PGothic" w:hAnsi="MS PGothic"/>
          <w:sz w:val="14"/>
          <w:szCs w:val="14"/>
          <w:color w:val="0171B9"/>
        </w:rPr>
      </w:pPr>
    </w:p>
    <w:p>
      <w:pPr>
        <w:ind w:left="150" w:hanging="150"/>
        <w:spacing w:after="0"/>
        <w:tabs>
          <w:tab w:leader="none" w:pos="150" w:val="left"/>
        </w:tabs>
        <w:numPr>
          <w:ilvl w:val="0"/>
          <w:numId w:val="10"/>
        </w:numPr>
        <w:rPr>
          <w:rFonts w:ascii="MS PGothic" w:cs="MS PGothic" w:eastAsia="MS PGothic" w:hAnsi="MS PGothic"/>
          <w:sz w:val="14"/>
          <w:szCs w:val="14"/>
          <w:color w:val="0171B9"/>
        </w:rPr>
      </w:pPr>
      <w:r>
        <w:rPr>
          <w:rFonts w:ascii="Arial" w:cs="Arial" w:eastAsia="Arial" w:hAnsi="Arial"/>
          <w:sz w:val="14"/>
          <w:szCs w:val="14"/>
          <w:color w:val="auto"/>
        </w:rPr>
        <w:t xml:space="preserve">  Significant Stock Ownership Requirements for Officers and Directors </w:t>
      </w:r>
      <w:r>
        <w:rPr>
          <w:rFonts w:ascii="Arial" w:cs="Arial" w:eastAsia="Arial" w:hAnsi="Arial"/>
          <w:sz w:val="14"/>
          <w:szCs w:val="14"/>
          <w:i w:val="1"/>
          <w:iCs w:val="1"/>
          <w:color w:val="auto"/>
        </w:rPr>
        <w:t>(pages 38, 46, 70-71, and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659130</wp:posOffset>
            </wp:positionV>
            <wp:extent cx="55892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892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490"/>
            <w:col w:w="8770"/>
          </w:cols>
          <w:pgMar w:left="320" w:top="486" w:right="439" w:bottom="89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19"/>
        <w:spacing w:after="0"/>
        <w:rPr>
          <w:sz w:val="20"/>
          <w:szCs w:val="20"/>
          <w:color w:val="auto"/>
        </w:rPr>
      </w:pPr>
      <w:r>
        <w:rPr>
          <w:rFonts w:ascii="Arial" w:cs="Arial" w:eastAsia="Arial" w:hAnsi="Arial"/>
          <w:sz w:val="20"/>
          <w:szCs w:val="20"/>
          <w:b w:val="1"/>
          <w:bCs w:val="1"/>
          <w:i w:val="1"/>
          <w:iCs w:val="1"/>
          <w:color w:val="0171B9"/>
        </w:rPr>
        <w:t>THE BOARD OF DIRECTORS RECOMMENDS A VOTE “FOR” EACH OF</w:t>
      </w:r>
    </w:p>
    <w:p>
      <w:pPr>
        <w:spacing w:after="0" w:line="37"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i w:val="1"/>
          <w:iCs w:val="1"/>
          <w:color w:val="0171B9"/>
        </w:rPr>
        <w:t>THE 13 NAMED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128270</wp:posOffset>
            </wp:positionV>
            <wp:extent cx="55892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892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454025</wp:posOffset>
            </wp:positionV>
            <wp:extent cx="77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Who meet the requirements set forth in our Restated Certificate of Incorporation or our Amended and Restated Bylaws, as applicable.</w:t>
      </w:r>
    </w:p>
    <w:p>
      <w:pPr>
        <w:sectPr>
          <w:pgSz w:w="11900" w:h="16838" w:orient="portrait"/>
          <w:cols w:equalWidth="0" w:num="1">
            <w:col w:w="11140"/>
          </w:cols>
          <w:pgMar w:left="320" w:top="486" w:right="439" w:bottom="892" w:gutter="0" w:footer="0" w:header="0"/>
          <w:type w:val="continuous"/>
        </w:sectPr>
      </w:pPr>
    </w:p>
    <w:p>
      <w:pPr>
        <w:spacing w:after="0" w:line="117" w:lineRule="exact"/>
        <w:rPr>
          <w:sz w:val="20"/>
          <w:szCs w:val="20"/>
          <w:color w:val="auto"/>
        </w:rPr>
      </w:pPr>
    </w:p>
    <w:p>
      <w:pPr>
        <w:ind w:left="8720"/>
        <w:spacing w:after="0"/>
        <w:tabs>
          <w:tab w:leader="none" w:pos="110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20"/>
          <w:szCs w:val="20"/>
          <w:b w:val="1"/>
          <w:bCs w:val="1"/>
          <w:color w:val="474747"/>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-162560</wp:posOffset>
            </wp:positionV>
            <wp:extent cx="58293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892"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205740</wp:posOffset>
            </wp:positionV>
            <wp:extent cx="1877060" cy="213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77060" cy="213995"/>
                    </a:xfrm>
                    <a:prstGeom prst="rect">
                      <a:avLst/>
                    </a:prstGeom>
                    <a:noFill/>
                  </pic:spPr>
                </pic:pic>
              </a:graphicData>
            </a:graphic>
          </wp:anchor>
        </w:drawing>
      </w: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rPr>
        <w:t>Proxy Statement Summary</w:t>
      </w:r>
    </w:p>
    <w:p>
      <w:pPr>
        <w:spacing w:after="0" w:line="326" w:lineRule="exact"/>
        <w:rPr>
          <w:sz w:val="20"/>
          <w:szCs w:val="20"/>
          <w:color w:val="auto"/>
        </w:rPr>
      </w:pPr>
    </w:p>
    <w:p>
      <w:pPr>
        <w:jc w:val="both"/>
        <w:ind w:left="120" w:right="360"/>
        <w:spacing w:after="0" w:line="295" w:lineRule="auto"/>
        <w:rPr>
          <w:sz w:val="20"/>
          <w:szCs w:val="20"/>
          <w:color w:val="auto"/>
        </w:rPr>
      </w:pPr>
      <w:r>
        <w:rPr>
          <w:rFonts w:ascii="Arial" w:cs="Arial" w:eastAsia="Arial" w:hAnsi="Arial"/>
          <w:sz w:val="35"/>
          <w:szCs w:val="35"/>
          <w:b w:val="1"/>
          <w:bCs w:val="1"/>
          <w:color w:val="0171B9"/>
        </w:rPr>
        <w:t>Item 2: Advisory Vote on the Frequency of Future Stockholder Advisory Votes to Approve Executive Compensation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9" w:lineRule="exact"/>
        <w:rPr>
          <w:sz w:val="20"/>
          <w:szCs w:val="20"/>
          <w:color w:val="auto"/>
        </w:rPr>
      </w:pPr>
    </w:p>
    <w:p>
      <w:pPr>
        <w:ind w:left="440" w:hanging="324"/>
        <w:spacing w:after="0"/>
        <w:tabs>
          <w:tab w:leader="none" w:pos="440" w:val="left"/>
        </w:tabs>
        <w:numPr>
          <w:ilvl w:val="0"/>
          <w:numId w:val="12"/>
        </w:numPr>
        <w:rPr>
          <w:rFonts w:ascii="Arial" w:cs="Arial" w:eastAsia="Arial" w:hAnsi="Arial"/>
          <w:sz w:val="17"/>
          <w:szCs w:val="17"/>
          <w:color w:val="0171B9"/>
        </w:rPr>
      </w:pPr>
      <w:r>
        <w:rPr>
          <w:rFonts w:ascii="Arial" w:cs="Arial" w:eastAsia="Arial" w:hAnsi="Arial"/>
          <w:sz w:val="17"/>
          <w:szCs w:val="17"/>
          <w:color w:val="auto"/>
        </w:rPr>
        <w:t>Stockholders are being asked to vote on the frequency of future stockholder advisory votes to approve executive compensation.</w:t>
      </w:r>
    </w:p>
    <w:p>
      <w:pPr>
        <w:spacing w:after="0" w:line="115" w:lineRule="exact"/>
        <w:rPr>
          <w:rFonts w:ascii="Arial" w:cs="Arial" w:eastAsia="Arial" w:hAnsi="Arial"/>
          <w:sz w:val="17"/>
          <w:szCs w:val="17"/>
          <w:color w:val="0171B9"/>
        </w:rPr>
      </w:pPr>
    </w:p>
    <w:p>
      <w:pPr>
        <w:ind w:left="440" w:hanging="324"/>
        <w:spacing w:after="0"/>
        <w:tabs>
          <w:tab w:leader="none" w:pos="440" w:val="left"/>
        </w:tabs>
        <w:numPr>
          <w:ilvl w:val="0"/>
          <w:numId w:val="12"/>
        </w:numPr>
        <w:rPr>
          <w:rFonts w:ascii="Arial" w:cs="Arial" w:eastAsia="Arial" w:hAnsi="Arial"/>
          <w:sz w:val="17"/>
          <w:szCs w:val="17"/>
          <w:color w:val="0171B9"/>
        </w:rPr>
      </w:pPr>
      <w:r>
        <w:rPr>
          <w:rFonts w:ascii="Arial" w:cs="Arial" w:eastAsia="Arial" w:hAnsi="Arial"/>
          <w:sz w:val="17"/>
          <w:szCs w:val="17"/>
          <w:color w:val="auto"/>
        </w:rPr>
        <w:t>The Board believes that annual votes facilitate the highest level of accountability to, and communication with,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385445</wp:posOffset>
            </wp:positionV>
            <wp:extent cx="55892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540" w:right="1160" w:hanging="65"/>
        <w:spacing w:after="0" w:line="298" w:lineRule="auto"/>
        <w:rPr>
          <w:sz w:val="20"/>
          <w:szCs w:val="20"/>
          <w:color w:val="auto"/>
        </w:rPr>
      </w:pPr>
      <w:r>
        <w:rPr>
          <w:rFonts w:ascii="Arial" w:cs="Arial" w:eastAsia="Arial" w:hAnsi="Arial"/>
          <w:sz w:val="20"/>
          <w:szCs w:val="20"/>
          <w:b w:val="1"/>
          <w:bCs w:val="1"/>
          <w:i w:val="1"/>
          <w:iCs w:val="1"/>
          <w:color w:val="0171B9"/>
        </w:rPr>
        <w:t>THE BOARD OF DIRECTORS RECOMMENDS THAT STOCKHOLDERS ELECT TO HAVE ADVISORY VOTES TO APPROVE EXECUTIVE COMPENSATION EVERY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80010</wp:posOffset>
            </wp:positionV>
            <wp:extent cx="55892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right="260"/>
        <w:spacing w:after="0" w:line="280" w:lineRule="auto"/>
        <w:rPr>
          <w:sz w:val="20"/>
          <w:szCs w:val="20"/>
          <w:color w:val="auto"/>
        </w:rPr>
      </w:pPr>
      <w:r>
        <w:rPr>
          <w:rFonts w:ascii="Arial" w:cs="Arial" w:eastAsia="Arial" w:hAnsi="Arial"/>
          <w:sz w:val="36"/>
          <w:szCs w:val="36"/>
          <w:b w:val="1"/>
          <w:bCs w:val="1"/>
          <w:color w:val="0171B9"/>
        </w:rPr>
        <w:t>Item 3: Advisory Vote to Approve Our Executive Compensation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executive compensation program is designed to reward and drive long-term performance in support of our strategy.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2022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973" w:gutter="0" w:footer="0" w:header="0"/>
        </w:sectPr>
      </w:pPr>
    </w:p>
    <w:p>
      <w:pPr>
        <w:spacing w:after="0" w:line="317"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Our strategy includes integrated activities intended to strengthen our competitive position in the industry. We delivered strong performance in 2022, advanced our innovative pipeline, entered into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234950</wp:posOffset>
            </wp:positionV>
            <wp:extent cx="6858000" cy="13887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00" cy="13887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transactions to augment our pipeline and our commercial portfolio, and continued to provide uninterrupted supply of our medicines globally.</w:t>
      </w:r>
    </w:p>
    <w:p>
      <w:pPr>
        <w:spacing w:after="0" w:line="385" w:lineRule="exact"/>
        <w:rPr>
          <w:sz w:val="20"/>
          <w:szCs w:val="20"/>
          <w:color w:val="auto"/>
        </w:rPr>
      </w:pPr>
    </w:p>
    <w:p>
      <w:pPr>
        <w:sectPr>
          <w:pgSz w:w="11900" w:h="16838" w:orient="portrait"/>
          <w:cols w:equalWidth="0" w:num="2">
            <w:col w:w="5400" w:space="340"/>
            <w:col w:w="5400"/>
          </w:cols>
          <w:pgMar w:left="320" w:top="486" w:right="439" w:bottom="973" w:gutter="0" w:footer="0" w:header="0"/>
          <w:type w:val="continuous"/>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0171B9"/>
        </w:rPr>
        <w:t>Key Strategic Business Transactions That Complement Our Internal Innovation</w:t>
      </w:r>
    </w:p>
    <w:p>
      <w:pPr>
        <w:sectPr>
          <w:pgSz w:w="11900" w:h="16838" w:orient="portrait"/>
          <w:cols w:equalWidth="0" w:num="1">
            <w:col w:w="11140"/>
          </w:cols>
          <w:pgMar w:left="320" w:top="486" w:right="439" w:bottom="973" w:gutter="0" w:footer="0" w:header="0"/>
          <w:type w:val="continuous"/>
        </w:sectPr>
      </w:pPr>
    </w:p>
    <w:p>
      <w:pPr>
        <w:spacing w:after="0" w:line="100" w:lineRule="exact"/>
        <w:rPr>
          <w:sz w:val="20"/>
          <w:szCs w:val="20"/>
          <w:color w:val="auto"/>
        </w:rPr>
      </w:pPr>
    </w:p>
    <w:p>
      <w:pPr>
        <w:jc w:val="both"/>
        <w:ind w:left="2080" w:right="1320"/>
        <w:spacing w:after="0" w:line="234" w:lineRule="auto"/>
        <w:rPr>
          <w:sz w:val="20"/>
          <w:szCs w:val="20"/>
          <w:color w:val="auto"/>
        </w:rPr>
      </w:pPr>
      <w:r>
        <w:rPr>
          <w:rFonts w:ascii="Arial" w:cs="Arial" w:eastAsia="Arial" w:hAnsi="Arial"/>
          <w:sz w:val="17"/>
          <w:szCs w:val="17"/>
          <w:color w:val="auto"/>
        </w:rPr>
        <w:t xml:space="preserve">We strengthened our portfolio with our </w:t>
      </w:r>
      <w:r>
        <w:rPr>
          <w:rFonts w:ascii="Arial" w:cs="Arial" w:eastAsia="Arial" w:hAnsi="Arial"/>
          <w:sz w:val="17"/>
          <w:szCs w:val="17"/>
          <w:b w:val="1"/>
          <w:bCs w:val="1"/>
          <w:color w:val="0171B9"/>
        </w:rPr>
        <w:t xml:space="preserve">acquisition of ChemoCentryx, Inc. </w:t>
      </w:r>
      <w:r>
        <w:rPr>
          <w:rFonts w:ascii="Arial" w:cs="Arial" w:eastAsia="Arial" w:hAnsi="Arial"/>
          <w:sz w:val="17"/>
          <w:szCs w:val="17"/>
          <w:color w:val="000000"/>
        </w:rPr>
        <w:t>and</w:t>
      </w:r>
      <w:r>
        <w:rPr>
          <w:rFonts w:ascii="Arial" w:cs="Arial" w:eastAsia="Arial" w:hAnsi="Arial"/>
          <w:sz w:val="17"/>
          <w:szCs w:val="17"/>
          <w:b w:val="1"/>
          <w:bCs w:val="1"/>
          <w:color w:val="0171B9"/>
        </w:rPr>
        <w:t xml:space="preserve"> </w:t>
      </w:r>
      <w:r>
        <w:rPr>
          <w:rFonts w:ascii="Arial" w:cs="Arial" w:eastAsia="Arial" w:hAnsi="Arial"/>
          <w:sz w:val="17"/>
          <w:szCs w:val="17"/>
          <w:color w:val="000000"/>
        </w:rPr>
        <w:t xml:space="preserve">obtained the medicine </w:t>
      </w:r>
      <w:r>
        <w:rPr>
          <w:rFonts w:ascii="Arial" w:cs="Arial" w:eastAsia="Arial" w:hAnsi="Arial"/>
          <w:sz w:val="17"/>
          <w:szCs w:val="17"/>
          <w:b w:val="1"/>
          <w:bCs w:val="1"/>
          <w:color w:val="0171B9"/>
        </w:rPr>
        <w:t>TAVNEOS</w:t>
      </w:r>
      <w:r>
        <w:rPr>
          <w:rFonts w:ascii="Arial" w:cs="Arial" w:eastAsia="Arial" w:hAnsi="Arial"/>
          <w:sz w:val="12"/>
          <w:szCs w:val="12"/>
          <w:b w:val="1"/>
          <w:bCs w:val="1"/>
          <w:color w:val="0171B9"/>
        </w:rPr>
        <w:t>®</w:t>
      </w:r>
      <w:r>
        <w:rPr>
          <w:rFonts w:ascii="Arial" w:cs="Arial" w:eastAsia="Arial" w:hAnsi="Arial"/>
          <w:sz w:val="17"/>
          <w:szCs w:val="17"/>
          <w:color w:val="000000"/>
        </w:rPr>
        <w:t>, the first approved orally-administered treatment for adult patients with severe active anti-neutrophil cytoplasmic autoantibody (ANCA) vasculitis, an autoimmune disease that leads to inflammation and eventual destruction of small blood vessels.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We entered into an agreement to acquire</w:t>
      </w:r>
    </w:p>
    <w:p>
      <w:pPr>
        <w:jc w:val="both"/>
        <w:ind w:right="280"/>
        <w:spacing w:after="0" w:line="232" w:lineRule="auto"/>
        <w:rPr>
          <w:sz w:val="20"/>
          <w:szCs w:val="20"/>
          <w:color w:val="auto"/>
        </w:rPr>
      </w:pPr>
      <w:r>
        <w:rPr>
          <w:rFonts w:ascii="Arial" w:cs="Arial" w:eastAsia="Arial" w:hAnsi="Arial"/>
          <w:sz w:val="17"/>
          <w:szCs w:val="17"/>
          <w:b w:val="1"/>
          <w:bCs w:val="1"/>
          <w:color w:val="0171B9"/>
        </w:rPr>
        <w:t>Horizon Therapeutics plc</w:t>
      </w:r>
      <w:r>
        <w:rPr>
          <w:rFonts w:ascii="Arial" w:cs="Arial" w:eastAsia="Arial" w:hAnsi="Arial"/>
          <w:sz w:val="17"/>
          <w:szCs w:val="17"/>
          <w:color w:val="000000"/>
        </w:rPr>
        <w:t>, a</w:t>
      </w:r>
      <w:r>
        <w:rPr>
          <w:rFonts w:ascii="Arial" w:cs="Arial" w:eastAsia="Arial" w:hAnsi="Arial"/>
          <w:sz w:val="17"/>
          <w:szCs w:val="17"/>
          <w:b w:val="1"/>
          <w:bCs w:val="1"/>
          <w:color w:val="0171B9"/>
        </w:rPr>
        <w:t xml:space="preserve"> </w:t>
      </w:r>
      <w:r>
        <w:rPr>
          <w:rFonts w:ascii="Arial" w:cs="Arial" w:eastAsia="Arial" w:hAnsi="Arial"/>
          <w:sz w:val="17"/>
          <w:szCs w:val="17"/>
          <w:color w:val="000000"/>
        </w:rPr>
        <w:t>biotechnology company focused on first-in-class or best-in-class innovative medicines that address rare autoimmune</w:t>
      </w:r>
    </w:p>
    <w:p>
      <w:pPr>
        <w:jc w:val="both"/>
        <w:ind w:right="280"/>
        <w:spacing w:after="0" w:line="243" w:lineRule="auto"/>
        <w:rPr>
          <w:sz w:val="20"/>
          <w:szCs w:val="20"/>
          <w:color w:val="auto"/>
        </w:rPr>
      </w:pPr>
      <w:r>
        <w:rPr>
          <w:rFonts w:ascii="Arial" w:cs="Arial" w:eastAsia="Arial" w:hAnsi="Arial"/>
          <w:sz w:val="17"/>
          <w:szCs w:val="17"/>
          <w:color w:val="auto"/>
        </w:rPr>
        <w:t>diseases, including TEPEZZA</w:t>
      </w:r>
      <w:r>
        <w:rPr>
          <w:rFonts w:ascii="Arial" w:cs="Arial" w:eastAsia="Arial" w:hAnsi="Arial"/>
          <w:sz w:val="12"/>
          <w:szCs w:val="12"/>
          <w:color w:val="auto"/>
        </w:rPr>
        <w:t>®</w:t>
      </w:r>
      <w:r>
        <w:rPr>
          <w:rFonts w:ascii="Arial" w:cs="Arial" w:eastAsia="Arial" w:hAnsi="Arial"/>
          <w:sz w:val="17"/>
          <w:szCs w:val="17"/>
          <w:color w:val="auto"/>
        </w:rPr>
        <w:t>, KRYSTEXXA</w:t>
      </w:r>
      <w:r>
        <w:rPr>
          <w:rFonts w:ascii="Arial" w:cs="Arial" w:eastAsia="Arial" w:hAnsi="Arial"/>
          <w:sz w:val="12"/>
          <w:szCs w:val="12"/>
          <w:color w:val="auto"/>
        </w:rPr>
        <w:t>®</w:t>
      </w:r>
      <w:r>
        <w:rPr>
          <w:rFonts w:ascii="Arial" w:cs="Arial" w:eastAsia="Arial" w:hAnsi="Arial"/>
          <w:sz w:val="17"/>
          <w:szCs w:val="17"/>
          <w:color w:val="auto"/>
        </w:rPr>
        <w:t>, and UPLIZNA</w:t>
      </w:r>
      <w:r>
        <w:rPr>
          <w:rFonts w:ascii="Arial" w:cs="Arial" w:eastAsia="Arial" w:hAnsi="Arial"/>
          <w:sz w:val="12"/>
          <w:szCs w:val="12"/>
          <w:color w:val="auto"/>
        </w:rPr>
        <w:t>®</w:t>
      </w:r>
      <w:r>
        <w:rPr>
          <w:rFonts w:ascii="Arial" w:cs="Arial" w:eastAsia="Arial" w:hAnsi="Arial"/>
          <w:sz w:val="17"/>
          <w:szCs w:val="17"/>
          <w:color w:val="auto"/>
        </w:rPr>
        <w:t>.</w:t>
      </w:r>
    </w:p>
    <w:p>
      <w:pPr>
        <w:spacing w:after="0" w:line="574" w:lineRule="exact"/>
        <w:rPr>
          <w:sz w:val="20"/>
          <w:szCs w:val="20"/>
          <w:color w:val="auto"/>
        </w:rPr>
      </w:pPr>
    </w:p>
    <w:p>
      <w:pPr>
        <w:sectPr>
          <w:pgSz w:w="11900" w:h="16838" w:orient="portrait"/>
          <w:cols w:equalWidth="0" w:num="2">
            <w:col w:w="6840" w:space="720"/>
            <w:col w:w="3580"/>
          </w:cols>
          <w:pgMar w:left="320" w:top="486" w:right="439" w:bottom="973" w:gutter="0" w:footer="0" w:header="0"/>
          <w:type w:val="continuous"/>
        </w:sectPr>
      </w:pPr>
    </w:p>
    <w:p>
      <w:pPr>
        <w:spacing w:after="0" w:line="6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171B9"/>
        </w:rPr>
        <w:t>Executed Key Clinical Studies and Advanced Innovative First-in-Class Pipeline</w:t>
      </w:r>
    </w:p>
    <w:p>
      <w:pPr>
        <w:spacing w:after="0" w:line="129" w:lineRule="exact"/>
        <w:rPr>
          <w:sz w:val="20"/>
          <w:szCs w:val="20"/>
          <w:color w:val="auto"/>
        </w:rPr>
      </w:pPr>
    </w:p>
    <w:p>
      <w:pPr>
        <w:jc w:val="both"/>
        <w:ind w:left="440" w:right="20" w:hanging="324"/>
        <w:spacing w:after="0" w:line="238" w:lineRule="auto"/>
        <w:tabs>
          <w:tab w:leader="none" w:pos="440" w:val="left"/>
        </w:tabs>
        <w:numPr>
          <w:ilvl w:val="0"/>
          <w:numId w:val="13"/>
        </w:numPr>
        <w:rPr>
          <w:rFonts w:ascii="Arial" w:cs="Arial" w:eastAsia="Arial" w:hAnsi="Arial"/>
          <w:sz w:val="17"/>
          <w:szCs w:val="17"/>
          <w:color w:val="0171B9"/>
        </w:rPr>
      </w:pPr>
      <w:r>
        <w:rPr>
          <w:rFonts w:ascii="Arial" w:cs="Arial" w:eastAsia="Arial" w:hAnsi="Arial"/>
          <w:sz w:val="17"/>
          <w:szCs w:val="17"/>
          <w:color w:val="auto"/>
        </w:rPr>
        <w:t xml:space="preserve">We executed key clinical studies and moved six first-in-class molecules into Phase 3 or potentially registration-enabling trials, including </w:t>
      </w:r>
      <w:r>
        <w:rPr>
          <w:rFonts w:ascii="Arial" w:cs="Arial" w:eastAsia="Arial" w:hAnsi="Arial"/>
          <w:sz w:val="17"/>
          <w:szCs w:val="17"/>
          <w:b w:val="1"/>
          <w:bCs w:val="1"/>
          <w:color w:val="0171B9"/>
        </w:rPr>
        <w:t>TEZSPIRE</w:t>
      </w:r>
      <w:r>
        <w:rPr>
          <w:rFonts w:ascii="Arial" w:cs="Arial" w:eastAsia="Arial" w:hAnsi="Arial"/>
          <w:sz w:val="12"/>
          <w:szCs w:val="12"/>
          <w:b w:val="1"/>
          <w:bCs w:val="1"/>
          <w:color w:val="0171B9"/>
        </w:rPr>
        <w:t>®</w:t>
      </w:r>
      <w:r>
        <w:rPr>
          <w:rFonts w:ascii="Arial" w:cs="Arial" w:eastAsia="Arial" w:hAnsi="Arial"/>
          <w:sz w:val="12"/>
          <w:szCs w:val="12"/>
          <w:color w:val="000000"/>
        </w:rPr>
        <w:t>(1)</w:t>
      </w:r>
      <w:r>
        <w:rPr>
          <w:rFonts w:ascii="Arial" w:cs="Arial" w:eastAsia="Arial" w:hAnsi="Arial"/>
          <w:sz w:val="17"/>
          <w:szCs w:val="17"/>
          <w:b w:val="1"/>
          <w:bCs w:val="1"/>
          <w:color w:val="0171B9"/>
        </w:rPr>
        <w:t xml:space="preserve"> </w:t>
      </w:r>
      <w:r>
        <w:rPr>
          <w:rFonts w:ascii="Arial" w:cs="Arial" w:eastAsia="Arial" w:hAnsi="Arial"/>
          <w:sz w:val="17"/>
          <w:szCs w:val="17"/>
          <w:color w:val="000000"/>
        </w:rPr>
        <w:t>(in eosinophilic esophagitis),</w:t>
      </w:r>
      <w:r>
        <w:rPr>
          <w:rFonts w:ascii="Arial" w:cs="Arial" w:eastAsia="Arial" w:hAnsi="Arial"/>
          <w:sz w:val="17"/>
          <w:szCs w:val="17"/>
          <w:b w:val="1"/>
          <w:bCs w:val="1"/>
          <w:color w:val="0171B9"/>
        </w:rPr>
        <w:t xml:space="preserve"> rocatinlimab</w:t>
      </w:r>
      <w:r>
        <w:rPr>
          <w:rFonts w:ascii="Arial" w:cs="Arial" w:eastAsia="Arial" w:hAnsi="Arial"/>
          <w:sz w:val="12"/>
          <w:szCs w:val="12"/>
          <w:color w:val="000000"/>
        </w:rPr>
        <w:t>(2)</w:t>
      </w:r>
      <w:r>
        <w:rPr>
          <w:rFonts w:ascii="Arial" w:cs="Arial" w:eastAsia="Arial" w:hAnsi="Arial"/>
          <w:sz w:val="17"/>
          <w:szCs w:val="17"/>
          <w:b w:val="1"/>
          <w:bCs w:val="1"/>
          <w:color w:val="0171B9"/>
        </w:rPr>
        <w:t xml:space="preserve"> </w:t>
      </w:r>
      <w:r>
        <w:rPr>
          <w:rFonts w:ascii="Arial" w:cs="Arial" w:eastAsia="Arial" w:hAnsi="Arial"/>
          <w:sz w:val="17"/>
          <w:szCs w:val="17"/>
          <w:color w:val="000000"/>
        </w:rPr>
        <w:t>(for moderate to severe atopic dermatitis),</w:t>
      </w:r>
      <w:r>
        <w:rPr>
          <w:rFonts w:ascii="Arial" w:cs="Arial" w:eastAsia="Arial" w:hAnsi="Arial"/>
          <w:sz w:val="17"/>
          <w:szCs w:val="17"/>
          <w:b w:val="1"/>
          <w:bCs w:val="1"/>
          <w:color w:val="0171B9"/>
        </w:rPr>
        <w:t xml:space="preserve"> olpasiran </w:t>
      </w:r>
      <w:r>
        <w:rPr>
          <w:rFonts w:ascii="Arial" w:cs="Arial" w:eastAsia="Arial" w:hAnsi="Arial"/>
          <w:sz w:val="17"/>
          <w:szCs w:val="17"/>
          <w:color w:val="000000"/>
        </w:rPr>
        <w:t>(for patients with elevated</w:t>
      </w:r>
      <w:r>
        <w:rPr>
          <w:rFonts w:ascii="Arial" w:cs="Arial" w:eastAsia="Arial" w:hAnsi="Arial"/>
          <w:sz w:val="17"/>
          <w:szCs w:val="17"/>
          <w:b w:val="1"/>
          <w:bCs w:val="1"/>
          <w:color w:val="0171B9"/>
        </w:rPr>
        <w:t xml:space="preserve"> </w:t>
      </w:r>
      <w:r>
        <w:rPr>
          <w:rFonts w:ascii="Arial" w:cs="Arial" w:eastAsia="Arial" w:hAnsi="Arial"/>
          <w:sz w:val="17"/>
          <w:szCs w:val="17"/>
          <w:color w:val="000000"/>
        </w:rPr>
        <w:t xml:space="preserve">lipoprotein(a)), and </w:t>
      </w:r>
      <w:r>
        <w:rPr>
          <w:rFonts w:ascii="Arial" w:cs="Arial" w:eastAsia="Arial" w:hAnsi="Arial"/>
          <w:sz w:val="17"/>
          <w:szCs w:val="17"/>
          <w:b w:val="1"/>
          <w:bCs w:val="1"/>
          <w:color w:val="0171B9"/>
        </w:rPr>
        <w:t>bemarituzumab</w:t>
      </w:r>
      <w:r>
        <w:rPr>
          <w:rFonts w:ascii="Arial" w:cs="Arial" w:eastAsia="Arial" w:hAnsi="Arial"/>
          <w:sz w:val="17"/>
          <w:szCs w:val="17"/>
          <w:color w:val="000000"/>
        </w:rPr>
        <w:t xml:space="preserve">, </w:t>
      </w:r>
      <w:r>
        <w:rPr>
          <w:rFonts w:ascii="Arial" w:cs="Arial" w:eastAsia="Arial" w:hAnsi="Arial"/>
          <w:sz w:val="17"/>
          <w:szCs w:val="17"/>
          <w:b w:val="1"/>
          <w:bCs w:val="1"/>
          <w:color w:val="0171B9"/>
        </w:rPr>
        <w:t>tarlatamab</w:t>
      </w:r>
      <w:r>
        <w:rPr>
          <w:rFonts w:ascii="Arial" w:cs="Arial" w:eastAsia="Arial" w:hAnsi="Arial"/>
          <w:sz w:val="17"/>
          <w:szCs w:val="17"/>
          <w:color w:val="000000"/>
        </w:rPr>
        <w:t xml:space="preserve">, and </w:t>
      </w:r>
      <w:r>
        <w:rPr>
          <w:rFonts w:ascii="Arial" w:cs="Arial" w:eastAsia="Arial" w:hAnsi="Arial"/>
          <w:sz w:val="17"/>
          <w:szCs w:val="17"/>
          <w:b w:val="1"/>
          <w:bCs w:val="1"/>
          <w:color w:val="0171B9"/>
        </w:rPr>
        <w:t>LUMAKRAS</w:t>
      </w:r>
      <w:r>
        <w:rPr>
          <w:rFonts w:ascii="Arial" w:cs="Arial" w:eastAsia="Arial" w:hAnsi="Arial"/>
          <w:sz w:val="12"/>
          <w:szCs w:val="12"/>
          <w:b w:val="1"/>
          <w:bCs w:val="1"/>
          <w:color w:val="0171B9"/>
        </w:rPr>
        <w:t>®</w:t>
      </w:r>
      <w:r>
        <w:rPr>
          <w:rFonts w:ascii="Arial" w:cs="Arial" w:eastAsia="Arial" w:hAnsi="Arial"/>
          <w:sz w:val="17"/>
          <w:szCs w:val="17"/>
          <w:color w:val="000000"/>
        </w:rPr>
        <w:t xml:space="preserve"> for cancer.</w:t>
      </w:r>
    </w:p>
    <w:p>
      <w:pPr>
        <w:spacing w:after="0" w:line="106" w:lineRule="exact"/>
        <w:rPr>
          <w:rFonts w:ascii="Arial" w:cs="Arial" w:eastAsia="Arial" w:hAnsi="Arial"/>
          <w:sz w:val="17"/>
          <w:szCs w:val="17"/>
          <w:color w:val="0171B9"/>
        </w:rPr>
      </w:pPr>
    </w:p>
    <w:p>
      <w:pPr>
        <w:ind w:left="440" w:hanging="324"/>
        <w:spacing w:after="0"/>
        <w:tabs>
          <w:tab w:leader="none" w:pos="440" w:val="left"/>
        </w:tabs>
        <w:numPr>
          <w:ilvl w:val="0"/>
          <w:numId w:val="13"/>
        </w:numPr>
        <w:rPr>
          <w:rFonts w:ascii="Arial" w:cs="Arial" w:eastAsia="Arial" w:hAnsi="Arial"/>
          <w:sz w:val="17"/>
          <w:szCs w:val="17"/>
          <w:color w:val="0171B9"/>
        </w:rPr>
      </w:pPr>
      <w:r>
        <w:rPr>
          <w:rFonts w:ascii="Arial" w:cs="Arial" w:eastAsia="Arial" w:hAnsi="Arial"/>
          <w:sz w:val="17"/>
          <w:szCs w:val="17"/>
          <w:color w:val="auto"/>
        </w:rPr>
        <w:t>We have continued to advance our biosimilar programs (with 11 biosimilars in our current portfolio).</w:t>
      </w:r>
    </w:p>
    <w:p>
      <w:pPr>
        <w:spacing w:after="0" w:line="115" w:lineRule="exact"/>
        <w:rPr>
          <w:rFonts w:ascii="Arial" w:cs="Arial" w:eastAsia="Arial" w:hAnsi="Arial"/>
          <w:sz w:val="17"/>
          <w:szCs w:val="17"/>
          <w:color w:val="0171B9"/>
        </w:rPr>
      </w:pPr>
    </w:p>
    <w:p>
      <w:pPr>
        <w:jc w:val="both"/>
        <w:ind w:left="440" w:hanging="324"/>
        <w:spacing w:after="0" w:line="238" w:lineRule="auto"/>
        <w:tabs>
          <w:tab w:leader="none" w:pos="440" w:val="left"/>
        </w:tabs>
        <w:numPr>
          <w:ilvl w:val="0"/>
          <w:numId w:val="13"/>
        </w:numPr>
        <w:rPr>
          <w:rFonts w:ascii="Arial" w:cs="Arial" w:eastAsia="Arial" w:hAnsi="Arial"/>
          <w:sz w:val="17"/>
          <w:szCs w:val="17"/>
          <w:color w:val="0171B9"/>
        </w:rPr>
      </w:pPr>
      <w:r>
        <w:rPr>
          <w:rFonts w:ascii="Arial" w:cs="Arial" w:eastAsia="Arial" w:hAnsi="Arial"/>
          <w:sz w:val="17"/>
          <w:szCs w:val="17"/>
          <w:color w:val="auto"/>
        </w:rPr>
        <w:t>We generated six new product teams (formed when a molecule has been judged to have the potential to be safe and effective in humans), initiated five first-in-human studies, and we advanced two clinical-stage programs (</w:t>
      </w:r>
      <w:r>
        <w:rPr>
          <w:rFonts w:ascii="Arial" w:cs="Arial" w:eastAsia="Arial" w:hAnsi="Arial"/>
          <w:sz w:val="17"/>
          <w:szCs w:val="17"/>
          <w:b w:val="1"/>
          <w:bCs w:val="1"/>
          <w:color w:val="0171B9"/>
        </w:rPr>
        <w:t>AMG 133</w:t>
      </w:r>
      <w:r>
        <w:rPr>
          <w:rFonts w:ascii="Arial" w:cs="Arial" w:eastAsia="Arial" w:hAnsi="Arial"/>
          <w:sz w:val="17"/>
          <w:szCs w:val="17"/>
          <w:color w:val="auto"/>
        </w:rPr>
        <w:t xml:space="preserve"> (for obesity) and </w:t>
      </w:r>
      <w:r>
        <w:rPr>
          <w:rFonts w:ascii="Arial" w:cs="Arial" w:eastAsia="Arial" w:hAnsi="Arial"/>
          <w:sz w:val="17"/>
          <w:szCs w:val="17"/>
          <w:b w:val="1"/>
          <w:bCs w:val="1"/>
          <w:color w:val="0171B9"/>
        </w:rPr>
        <w:t>TAVNEOS</w:t>
      </w:r>
      <w:r>
        <w:rPr>
          <w:rFonts w:ascii="Arial" w:cs="Arial" w:eastAsia="Arial" w:hAnsi="Arial"/>
          <w:sz w:val="17"/>
          <w:szCs w:val="17"/>
          <w:color w:val="auto"/>
        </w:rPr>
        <w:t xml:space="preserve"> (following our acquisition of ChemoCentryx)).</w:t>
      </w:r>
    </w:p>
    <w:p>
      <w:pPr>
        <w:spacing w:after="0" w:line="201"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We accomplished these objectives while maintaining a disciplined approach to capital allocation, investing in our business to drive long-term growth while also returning capital to our stockholders through a growing dividend and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146685</wp:posOffset>
            </wp:positionV>
            <wp:extent cx="6926580" cy="4718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6580" cy="471805"/>
                    </a:xfrm>
                    <a:prstGeom prst="rect">
                      <a:avLst/>
                    </a:prstGeom>
                    <a:noFill/>
                  </pic:spPr>
                </pic:pic>
              </a:graphicData>
            </a:graphic>
          </wp:anchor>
        </w:drawing>
      </w:r>
    </w:p>
    <w:p>
      <w:pPr>
        <w:spacing w:after="0" w:line="266" w:lineRule="exact"/>
        <w:rPr>
          <w:sz w:val="20"/>
          <w:szCs w:val="20"/>
          <w:color w:val="auto"/>
        </w:rPr>
      </w:pPr>
    </w:p>
    <w:p>
      <w:pPr>
        <w:jc w:val="center"/>
        <w:ind w:left="116" w:right="16"/>
        <w:spacing w:after="0" w:line="249" w:lineRule="auto"/>
        <w:rPr>
          <w:sz w:val="20"/>
          <w:szCs w:val="20"/>
          <w:color w:val="auto"/>
        </w:rPr>
      </w:pPr>
      <w:r>
        <w:rPr>
          <w:rFonts w:ascii="Arial" w:cs="Arial" w:eastAsia="Arial" w:hAnsi="Arial"/>
          <w:sz w:val="17"/>
          <w:szCs w:val="17"/>
          <w:b w:val="1"/>
          <w:bCs w:val="1"/>
          <w:color w:val="0171B9"/>
        </w:rPr>
        <w:t>In 2022, while investing $4.4 billion in research and development, $3.8 billion in strategic business acquisitions, and $0.9 billion in capital projects, we also returned $10.5 billion of capital to our stockholders ($4.2 billion of dividends and $6.3 billion in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299085</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TEZSPIRE is being developed in collaboration with AstraZeneca.</w:t>
      </w:r>
    </w:p>
    <w:p>
      <w:pPr>
        <w:ind w:left="540" w:hanging="424"/>
        <w:spacing w:after="0" w:line="189" w:lineRule="auto"/>
        <w:tabs>
          <w:tab w:leader="none" w:pos="540" w:val="left"/>
        </w:tabs>
        <w:numPr>
          <w:ilvl w:val="0"/>
          <w:numId w:val="14"/>
        </w:numPr>
        <w:rPr>
          <w:rFonts w:ascii="Arial" w:cs="Arial" w:eastAsia="Arial" w:hAnsi="Arial"/>
          <w:sz w:val="19"/>
          <w:szCs w:val="19"/>
          <w:color w:val="auto"/>
          <w:vertAlign w:val="superscript"/>
        </w:rPr>
      </w:pPr>
      <w:r>
        <w:rPr>
          <w:rFonts w:ascii="Arial" w:cs="Arial" w:eastAsia="Arial" w:hAnsi="Arial"/>
          <w:sz w:val="13"/>
          <w:szCs w:val="13"/>
          <w:color w:val="auto"/>
        </w:rPr>
        <w:t>Rocatinlimab is being developed in collaboration with Kyowa Kirin Co., Ltd.</w:t>
      </w:r>
    </w:p>
    <w:p>
      <w:pPr>
        <w:sectPr>
          <w:pgSz w:w="11900" w:h="16838" w:orient="portrait"/>
          <w:cols w:equalWidth="0" w:num="1">
            <w:col w:w="11140"/>
          </w:cols>
          <w:pgMar w:left="320" w:top="486" w:right="439" w:bottom="973" w:gutter="0" w:footer="0" w:header="0"/>
          <w:type w:val="continuous"/>
        </w:sectPr>
      </w:pPr>
    </w:p>
    <w:p>
      <w:pPr>
        <w:spacing w:after="0" w:line="117" w:lineRule="exact"/>
        <w:rPr>
          <w:sz w:val="20"/>
          <w:szCs w:val="20"/>
          <w:color w:val="auto"/>
        </w:rPr>
      </w:pPr>
    </w:p>
    <w:p>
      <w:pPr>
        <w:ind w:left="120"/>
        <w:spacing w:after="0"/>
        <w:tabs>
          <w:tab w:leader="none" w:pos="487" w:val="left"/>
        </w:tabs>
        <w:rPr>
          <w:sz w:val="20"/>
          <w:szCs w:val="20"/>
          <w:color w:val="auto"/>
        </w:rPr>
      </w:pPr>
      <w:r>
        <w:rPr>
          <w:rFonts w:ascii="Arial" w:cs="Arial" w:eastAsia="Arial" w:hAnsi="Arial"/>
          <w:sz w:val="20"/>
          <w:szCs w:val="20"/>
          <w:b w:val="1"/>
          <w:bCs w:val="1"/>
          <w:color w:val="474747"/>
        </w:rPr>
        <w:t>4</w:t>
      </w:r>
      <w:r>
        <w:rPr>
          <w:sz w:val="20"/>
          <w:szCs w:val="20"/>
          <w:color w:val="auto"/>
        </w:rPr>
        <w:tab/>
      </w:r>
      <w:r>
        <w:rPr>
          <w:sz w:val="1"/>
          <w:szCs w:val="1"/>
          <w:color w:val="auto"/>
        </w:rPr>
        <w:drawing>
          <wp:inline distT="0" distB="0" distL="0" distR="0">
            <wp:extent cx="582930" cy="1371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973"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205740</wp:posOffset>
            </wp:positionV>
            <wp:extent cx="1877060" cy="2146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77060" cy="214630"/>
                    </a:xfrm>
                    <a:prstGeom prst="rect">
                      <a:avLst/>
                    </a:prstGeom>
                    <a:noFill/>
                  </pic:spPr>
                </pic:pic>
              </a:graphicData>
            </a:graphic>
          </wp:anchor>
        </w:drawing>
      </w:r>
    </w:p>
    <w:p>
      <w:pPr>
        <w:spacing w:after="0" w:line="312" w:lineRule="exact"/>
        <w:rPr>
          <w:sz w:val="20"/>
          <w:szCs w:val="20"/>
          <w:color w:val="auto"/>
        </w:rPr>
      </w:pPr>
    </w:p>
    <w:p>
      <w:pPr>
        <w:ind w:left="8320"/>
        <w:spacing w:after="0"/>
        <w:rPr>
          <w:sz w:val="20"/>
          <w:szCs w:val="20"/>
          <w:color w:val="auto"/>
        </w:rPr>
      </w:pPr>
      <w:r>
        <w:rPr>
          <w:rFonts w:ascii="Arial" w:cs="Arial" w:eastAsia="Arial" w:hAnsi="Arial"/>
          <w:sz w:val="21"/>
          <w:szCs w:val="21"/>
          <w:b w:val="1"/>
          <w:bCs w:val="1"/>
          <w:color w:val="FFFFFF"/>
        </w:rPr>
        <w:t>Proxy Statement Summary</w:t>
      </w:r>
    </w:p>
    <w:p>
      <w:pPr>
        <w:spacing w:after="0" w:line="35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NEO Compensation Is Dependent on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A significant amount of each Named Executive Officer’s, or NEOs, compensation is at risk and dependent on our performance and execution of our strategic priorities.</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171B9"/>
        </w:rPr>
        <w:t>2022 Total Target Direct Compensation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0" w:right="420"/>
        <w:spacing w:after="0" w:line="288" w:lineRule="auto"/>
        <w:rPr>
          <w:sz w:val="20"/>
          <w:szCs w:val="20"/>
          <w:color w:val="auto"/>
        </w:rPr>
      </w:pPr>
      <w:r>
        <w:rPr>
          <w:rFonts w:ascii="Arial" w:cs="Arial" w:eastAsia="Arial" w:hAnsi="Arial"/>
          <w:sz w:val="25"/>
          <w:szCs w:val="25"/>
          <w:b w:val="1"/>
          <w:bCs w:val="1"/>
          <w:color w:val="0171B9"/>
        </w:rPr>
        <w:t>2022 Annual and Long-Term Awards Reflect Performance Against Pre-Established Goals and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3" w:lineRule="exact"/>
        <w:rPr>
          <w:sz w:val="20"/>
          <w:szCs w:val="20"/>
          <w:color w:val="auto"/>
        </w:rPr>
      </w:pPr>
    </w:p>
    <w:p>
      <w:pPr>
        <w:ind w:left="840"/>
        <w:spacing w:after="0"/>
        <w:tabs>
          <w:tab w:leader="none" w:pos="5380" w:val="left"/>
        </w:tabs>
        <w:rPr>
          <w:sz w:val="20"/>
          <w:szCs w:val="20"/>
          <w:color w:val="auto"/>
        </w:rPr>
      </w:pPr>
      <w:r>
        <w:rPr>
          <w:rFonts w:ascii="Arial" w:cs="Arial" w:eastAsia="Arial" w:hAnsi="Arial"/>
          <w:sz w:val="18"/>
          <w:szCs w:val="18"/>
          <w:b w:val="1"/>
          <w:bCs w:val="1"/>
          <w:i w:val="1"/>
          <w:iCs w:val="1"/>
          <w:color w:val="auto"/>
        </w:rPr>
        <w:t>2022 Annual Cash Incentive Plan</w:t>
      </w:r>
      <w:r>
        <w:rPr>
          <w:sz w:val="20"/>
          <w:szCs w:val="20"/>
          <w:color w:val="auto"/>
        </w:rPr>
        <w:tab/>
      </w:r>
      <w:r>
        <w:rPr>
          <w:rFonts w:ascii="Arial" w:cs="Arial" w:eastAsia="Arial" w:hAnsi="Arial"/>
          <w:sz w:val="17"/>
          <w:szCs w:val="17"/>
          <w:b w:val="1"/>
          <w:bCs w:val="1"/>
          <w:i w:val="1"/>
          <w:iCs w:val="1"/>
          <w:color w:val="auto"/>
        </w:rPr>
        <w:t>2020-2022 Long-Term Incentive Performance Award Payout</w:t>
      </w:r>
    </w:p>
    <w:p>
      <w:pPr>
        <w:sectPr>
          <w:pgSz w:w="11900" w:h="16838" w:orient="portrait"/>
          <w:cols w:equalWidth="0" w:num="1">
            <w:col w:w="11140"/>
          </w:cols>
          <w:pgMar w:left="320" w:top="486" w:right="439" w:bottom="1440" w:gutter="0" w:footer="0" w:header="0"/>
        </w:sectPr>
      </w:pPr>
    </w:p>
    <w:p>
      <w:pPr>
        <w:spacing w:after="0" w:line="188" w:lineRule="exact"/>
        <w:rPr>
          <w:sz w:val="20"/>
          <w:szCs w:val="20"/>
          <w:color w:val="auto"/>
        </w:rPr>
      </w:pPr>
    </w:p>
    <w:p>
      <w:pPr>
        <w:jc w:val="both"/>
        <w:ind w:left="120" w:right="20"/>
        <w:spacing w:after="0" w:line="235" w:lineRule="auto"/>
        <w:rPr>
          <w:sz w:val="20"/>
          <w:szCs w:val="20"/>
          <w:color w:val="auto"/>
        </w:rPr>
      </w:pPr>
      <w:r>
        <w:rPr>
          <w:rFonts w:ascii="Arial" w:cs="Arial" w:eastAsia="Arial" w:hAnsi="Arial"/>
          <w:sz w:val="17"/>
          <w:szCs w:val="17"/>
          <w:color w:val="auto"/>
        </w:rPr>
        <w:t>Our annual cash incentive plan is designed to focus our staff members on delivering financial and operational objectives to drive annual performance, advance strategic priorities, and position us for long-term success.</w:t>
      </w:r>
    </w:p>
    <w:p>
      <w:pPr>
        <w:spacing w:after="0" w:line="190" w:lineRule="exact"/>
        <w:rPr>
          <w:sz w:val="20"/>
          <w:szCs w:val="20"/>
          <w:color w:val="auto"/>
        </w:rPr>
      </w:pPr>
    </w:p>
    <w:tbl>
      <w:tblPr>
        <w:tblLayout w:type="fixed"/>
        <w:tblInd w:w="130" w:type="dxa"/>
        <w:tblCellMar>
          <w:top w:w="0" w:type="dxa"/>
          <w:left w:w="0" w:type="dxa"/>
          <w:bottom w:w="0" w:type="dxa"/>
          <w:right w:w="0" w:type="dxa"/>
        </w:tblCellMar>
      </w:tblPr>
      <w:tr>
        <w:trPr>
          <w:trHeight w:val="162"/>
        </w:trPr>
        <w:tc>
          <w:tcPr>
            <w:tcW w:w="1220" w:type="dxa"/>
            <w:vAlign w:val="bottom"/>
            <w:tcBorders>
              <w:top w:val="single" w:sz="8" w:color="auto"/>
              <w:left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of</w:t>
            </w:r>
          </w:p>
        </w:tc>
        <w:tc>
          <w:tcPr>
            <w:tcW w:w="96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1220" w:type="dxa"/>
            <w:vAlign w:val="bottom"/>
            <w:tcBorders>
              <w:lef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Target</w:t>
            </w:r>
          </w:p>
        </w:tc>
        <w:tc>
          <w:tcPr>
            <w:tcW w:w="96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Score</w:t>
            </w:r>
          </w:p>
        </w:tc>
        <w:tc>
          <w:tcPr>
            <w:tcW w:w="0" w:type="dxa"/>
            <w:vAlign w:val="bottom"/>
          </w:tcPr>
          <w:p>
            <w:pPr>
              <w:spacing w:after="0"/>
              <w:rPr>
                <w:sz w:val="1"/>
                <w:szCs w:val="1"/>
                <w:color w:val="auto"/>
              </w:rPr>
            </w:pPr>
          </w:p>
        </w:tc>
      </w:tr>
      <w:tr>
        <w:trPr>
          <w:trHeight w:val="202"/>
        </w:trPr>
        <w:tc>
          <w:tcPr>
            <w:tcW w:w="1800" w:type="dxa"/>
            <w:vAlign w:val="bottom"/>
            <w:tcBorders>
              <w:left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Goal</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Weighting</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Earned</w:t>
            </w:r>
          </w:p>
        </w:tc>
        <w:tc>
          <w:tcPr>
            <w:tcW w:w="960" w:type="dxa"/>
            <w:vAlign w:val="bottom"/>
            <w:tcBorders>
              <w:bottom w:val="single" w:sz="8" w:color="auto"/>
              <w:right w:val="single" w:sz="8" w:color="auto"/>
            </w:tcBorders>
          </w:tcPr>
          <w:p>
            <w:pPr>
              <w:jc w:val="right"/>
              <w:ind w:right="28"/>
              <w:spacing w:after="0" w:line="202" w:lineRule="exact"/>
              <w:rPr>
                <w:sz w:val="20"/>
                <w:szCs w:val="20"/>
                <w:color w:val="auto"/>
              </w:rPr>
            </w:pPr>
            <w:r>
              <w:rPr>
                <w:rFonts w:ascii="Arial" w:cs="Arial" w:eastAsia="Arial" w:hAnsi="Arial"/>
                <w:sz w:val="14"/>
                <w:szCs w:val="14"/>
                <w:b w:val="1"/>
                <w:bCs w:val="1"/>
                <w:color w:val="auto"/>
              </w:rPr>
              <w:t>Achieved</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183"/>
        </w:trPr>
        <w:tc>
          <w:tcPr>
            <w:tcW w:w="1800" w:type="dxa"/>
            <w:vAlign w:val="bottom"/>
            <w:tcBorders>
              <w:left w:val="single" w:sz="8" w:color="auto"/>
              <w:bottom w:val="single" w:sz="8" w:color="auto"/>
            </w:tcBorders>
            <w:gridSpan w:val="2"/>
            <w:shd w:val="clear" w:color="auto" w:fill="0171B9"/>
          </w:tcPr>
          <w:p>
            <w:pPr>
              <w:ind w:left="100"/>
              <w:spacing w:after="0"/>
              <w:rPr>
                <w:sz w:val="20"/>
                <w:szCs w:val="20"/>
                <w:color w:val="auto"/>
              </w:rPr>
            </w:pPr>
            <w:r>
              <w:rPr>
                <w:rFonts w:ascii="Arial" w:cs="Arial" w:eastAsia="Arial" w:hAnsi="Arial"/>
                <w:sz w:val="14"/>
                <w:szCs w:val="14"/>
                <w:b w:val="1"/>
                <w:bCs w:val="1"/>
                <w:color w:val="FFFFFF"/>
              </w:rPr>
              <w:t>Financial Performance</w:t>
            </w:r>
          </w:p>
        </w:tc>
        <w:tc>
          <w:tcPr>
            <w:tcW w:w="820" w:type="dxa"/>
            <w:vAlign w:val="bottom"/>
            <w:tcBorders>
              <w:bottom w:val="single" w:sz="8" w:color="auto"/>
            </w:tcBorders>
            <w:shd w:val="clear" w:color="auto" w:fill="0171B9"/>
          </w:tcPr>
          <w:p>
            <w:pPr>
              <w:spacing w:after="0"/>
              <w:rPr>
                <w:sz w:val="15"/>
                <w:szCs w:val="15"/>
                <w:color w:val="auto"/>
              </w:rPr>
            </w:pPr>
          </w:p>
        </w:tc>
        <w:tc>
          <w:tcPr>
            <w:tcW w:w="680" w:type="dxa"/>
            <w:vAlign w:val="bottom"/>
            <w:tcBorders>
              <w:bottom w:val="single" w:sz="8" w:color="auto"/>
            </w:tcBorders>
            <w:shd w:val="clear" w:color="auto" w:fill="0171B9"/>
          </w:tcPr>
          <w:p>
            <w:pPr>
              <w:spacing w:after="0"/>
              <w:rPr>
                <w:sz w:val="15"/>
                <w:szCs w:val="15"/>
                <w:color w:val="auto"/>
              </w:rPr>
            </w:pPr>
          </w:p>
        </w:tc>
        <w:tc>
          <w:tcPr>
            <w:tcW w:w="960" w:type="dxa"/>
            <w:vAlign w:val="bottom"/>
            <w:tcBorders>
              <w:bottom w:val="single" w:sz="8" w:color="auto"/>
              <w:right w:val="single" w:sz="8" w:color="auto"/>
            </w:tcBorders>
            <w:shd w:val="clear" w:color="auto" w:fill="0171B9"/>
          </w:tcPr>
          <w:p>
            <w:pPr>
              <w:jc w:val="right"/>
              <w:ind w:right="28"/>
              <w:spacing w:after="0"/>
              <w:rPr>
                <w:sz w:val="20"/>
                <w:szCs w:val="20"/>
                <w:color w:val="auto"/>
              </w:rPr>
            </w:pPr>
            <w:r>
              <w:rPr>
                <w:rFonts w:ascii="Arial" w:cs="Arial" w:eastAsia="Arial" w:hAnsi="Arial"/>
                <w:sz w:val="14"/>
                <w:szCs w:val="14"/>
                <w:b w:val="1"/>
                <w:bCs w:val="1"/>
                <w:color w:val="FFFFFF"/>
              </w:rPr>
              <w:t>69.4%</w:t>
            </w:r>
          </w:p>
        </w:tc>
        <w:tc>
          <w:tcPr>
            <w:tcW w:w="0" w:type="dxa"/>
            <w:vAlign w:val="bottom"/>
          </w:tcPr>
          <w:p>
            <w:pPr>
              <w:spacing w:after="0"/>
              <w:rPr>
                <w:sz w:val="1"/>
                <w:szCs w:val="1"/>
                <w:color w:val="auto"/>
              </w:rPr>
            </w:pPr>
          </w:p>
        </w:tc>
      </w:tr>
      <w:tr>
        <w:trPr>
          <w:trHeight w:val="170"/>
        </w:trPr>
        <w:tc>
          <w:tcPr>
            <w:tcW w:w="1800" w:type="dxa"/>
            <w:vAlign w:val="bottom"/>
            <w:tcBorders>
              <w:left w:val="single" w:sz="8" w:color="auto"/>
            </w:tcBorders>
            <w:gridSpan w:val="2"/>
            <w:shd w:val="clear" w:color="auto" w:fill="CCE2F1"/>
          </w:tcPr>
          <w:p>
            <w:pPr>
              <w:ind w:left="100"/>
              <w:spacing w:after="0"/>
              <w:rPr>
                <w:sz w:val="20"/>
                <w:szCs w:val="20"/>
                <w:color w:val="auto"/>
              </w:rPr>
            </w:pPr>
            <w:r>
              <w:rPr>
                <w:rFonts w:ascii="Arial" w:cs="Arial" w:eastAsia="Arial" w:hAnsi="Arial"/>
                <w:sz w:val="14"/>
                <w:szCs w:val="14"/>
                <w:color w:val="auto"/>
              </w:rPr>
              <w:t>Revenues</w:t>
            </w:r>
          </w:p>
        </w:tc>
        <w:tc>
          <w:tcPr>
            <w:tcW w:w="820" w:type="dxa"/>
            <w:vAlign w:val="bottom"/>
            <w:vMerge w:val="restart"/>
            <w:shd w:val="clear" w:color="auto" w:fill="CCE2F1"/>
          </w:tcPr>
          <w:p>
            <w:pPr>
              <w:jc w:val="right"/>
              <w:ind w:right="28"/>
              <w:spacing w:after="0"/>
              <w:rPr>
                <w:sz w:val="20"/>
                <w:szCs w:val="20"/>
                <w:color w:val="auto"/>
              </w:rPr>
            </w:pPr>
            <w:r>
              <w:rPr>
                <w:rFonts w:ascii="Arial" w:cs="Arial" w:eastAsia="Arial" w:hAnsi="Arial"/>
                <w:sz w:val="14"/>
                <w:szCs w:val="14"/>
                <w:color w:val="auto"/>
              </w:rPr>
              <w:t>30%</w:t>
            </w:r>
          </w:p>
        </w:tc>
        <w:tc>
          <w:tcPr>
            <w:tcW w:w="680" w:type="dxa"/>
            <w:vAlign w:val="bottom"/>
            <w:vMerge w:val="restart"/>
            <w:shd w:val="clear" w:color="auto" w:fill="CCE2F1"/>
          </w:tcPr>
          <w:p>
            <w:pPr>
              <w:jc w:val="right"/>
              <w:ind w:right="28"/>
              <w:spacing w:after="0"/>
              <w:rPr>
                <w:sz w:val="20"/>
                <w:szCs w:val="20"/>
                <w:color w:val="auto"/>
              </w:rPr>
            </w:pPr>
            <w:r>
              <w:rPr>
                <w:rFonts w:ascii="Arial" w:cs="Arial" w:eastAsia="Arial" w:hAnsi="Arial"/>
                <w:sz w:val="14"/>
                <w:szCs w:val="14"/>
                <w:color w:val="auto"/>
              </w:rPr>
              <w:t>120.7%</w:t>
            </w:r>
          </w:p>
        </w:tc>
        <w:tc>
          <w:tcPr>
            <w:tcW w:w="960" w:type="dxa"/>
            <w:vAlign w:val="bottom"/>
            <w:tcBorders>
              <w:right w:val="single" w:sz="8" w:color="auto"/>
            </w:tcBorders>
            <w:shd w:val="clear" w:color="auto" w:fill="CCE2F1"/>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220" w:type="dxa"/>
            <w:vAlign w:val="bottom"/>
            <w:tcBorders>
              <w:left w:val="single" w:sz="8" w:color="auto"/>
            </w:tcBorders>
            <w:shd w:val="clear" w:color="auto" w:fill="CCE2F1"/>
          </w:tcPr>
          <w:p>
            <w:pPr>
              <w:spacing w:after="0"/>
              <w:rPr>
                <w:sz w:val="6"/>
                <w:szCs w:val="6"/>
                <w:color w:val="auto"/>
              </w:rPr>
            </w:pPr>
          </w:p>
        </w:tc>
        <w:tc>
          <w:tcPr>
            <w:tcW w:w="580" w:type="dxa"/>
            <w:vAlign w:val="bottom"/>
            <w:shd w:val="clear" w:color="auto" w:fill="CCE2F1"/>
          </w:tcPr>
          <w:p>
            <w:pPr>
              <w:spacing w:after="0"/>
              <w:rPr>
                <w:sz w:val="6"/>
                <w:szCs w:val="6"/>
                <w:color w:val="auto"/>
              </w:rPr>
            </w:pPr>
          </w:p>
        </w:tc>
        <w:tc>
          <w:tcPr>
            <w:tcW w:w="820" w:type="dxa"/>
            <w:vAlign w:val="bottom"/>
            <w:vMerge w:val="continue"/>
            <w:shd w:val="clear" w:color="auto" w:fill="CCE2F1"/>
          </w:tcPr>
          <w:p>
            <w:pPr>
              <w:spacing w:after="0"/>
              <w:rPr>
                <w:sz w:val="6"/>
                <w:szCs w:val="6"/>
                <w:color w:val="auto"/>
              </w:rPr>
            </w:pPr>
          </w:p>
        </w:tc>
        <w:tc>
          <w:tcPr>
            <w:tcW w:w="680" w:type="dxa"/>
            <w:vAlign w:val="bottom"/>
            <w:vMerge w:val="continue"/>
            <w:shd w:val="clear" w:color="auto" w:fill="CCE2F1"/>
          </w:tcPr>
          <w:p>
            <w:pPr>
              <w:spacing w:after="0"/>
              <w:rPr>
                <w:sz w:val="6"/>
                <w:szCs w:val="6"/>
                <w:color w:val="auto"/>
              </w:rPr>
            </w:pPr>
          </w:p>
        </w:tc>
        <w:tc>
          <w:tcPr>
            <w:tcW w:w="960" w:type="dxa"/>
            <w:vAlign w:val="bottom"/>
            <w:tcBorders>
              <w:right w:val="single" w:sz="8" w:color="auto"/>
            </w:tcBorders>
            <w:shd w:val="clear" w:color="auto" w:fill="CCE2F1"/>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800" w:type="dxa"/>
            <w:vAlign w:val="bottom"/>
            <w:tcBorders>
              <w:left w:val="single" w:sz="8" w:color="auto"/>
            </w:tcBorders>
            <w:gridSpan w:val="2"/>
          </w:tcPr>
          <w:p>
            <w:pPr>
              <w:ind w:left="100"/>
              <w:spacing w:after="0" w:line="216" w:lineRule="exact"/>
              <w:rPr>
                <w:sz w:val="20"/>
                <w:szCs w:val="20"/>
                <w:color w:val="auto"/>
              </w:rPr>
            </w:pPr>
            <w:r>
              <w:rPr>
                <w:rFonts w:ascii="Arial" w:cs="Arial" w:eastAsia="Arial" w:hAnsi="Arial"/>
                <w:sz w:val="14"/>
                <w:szCs w:val="14"/>
                <w:color w:val="auto"/>
              </w:rPr>
              <w:t>Non-GAAP Net Income</w:t>
            </w:r>
            <w:r>
              <w:rPr>
                <w:rFonts w:ascii="Arial" w:cs="Arial" w:eastAsia="Arial" w:hAnsi="Arial"/>
                <w:sz w:val="21"/>
                <w:szCs w:val="21"/>
                <w:color w:val="auto"/>
                <w:vertAlign w:val="superscript"/>
              </w:rPr>
              <w:t>(2)</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30%</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110.5%</w:t>
            </w: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1220" w:type="dxa"/>
            <w:vAlign w:val="bottom"/>
            <w:tcBorders>
              <w:left w:val="single" w:sz="8" w:color="auto"/>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620" w:type="dxa"/>
            <w:vAlign w:val="bottom"/>
            <w:tcBorders>
              <w:left w:val="single" w:sz="8" w:color="auto"/>
              <w:bottom w:val="single" w:sz="8" w:color="auto"/>
            </w:tcBorders>
            <w:gridSpan w:val="3"/>
            <w:shd w:val="clear" w:color="auto" w:fill="0171B9"/>
          </w:tcPr>
          <w:p>
            <w:pPr>
              <w:ind w:left="100"/>
              <w:spacing w:after="0"/>
              <w:rPr>
                <w:sz w:val="20"/>
                <w:szCs w:val="20"/>
                <w:color w:val="auto"/>
              </w:rPr>
            </w:pPr>
            <w:r>
              <w:rPr>
                <w:rFonts w:ascii="Arial" w:cs="Arial" w:eastAsia="Arial" w:hAnsi="Arial"/>
                <w:sz w:val="14"/>
                <w:szCs w:val="14"/>
                <w:b w:val="1"/>
                <w:bCs w:val="1"/>
                <w:color w:val="FFFFFF"/>
              </w:rPr>
              <w:t>Progress Innovative Pipeline</w:t>
            </w:r>
          </w:p>
        </w:tc>
        <w:tc>
          <w:tcPr>
            <w:tcW w:w="680" w:type="dxa"/>
            <w:vAlign w:val="bottom"/>
            <w:tcBorders>
              <w:bottom w:val="single" w:sz="8" w:color="auto"/>
            </w:tcBorders>
            <w:shd w:val="clear" w:color="auto" w:fill="0171B9"/>
          </w:tcPr>
          <w:p>
            <w:pPr>
              <w:spacing w:after="0"/>
              <w:rPr>
                <w:sz w:val="15"/>
                <w:szCs w:val="15"/>
                <w:color w:val="auto"/>
              </w:rPr>
            </w:pPr>
          </w:p>
        </w:tc>
        <w:tc>
          <w:tcPr>
            <w:tcW w:w="960" w:type="dxa"/>
            <w:vAlign w:val="bottom"/>
            <w:tcBorders>
              <w:bottom w:val="single" w:sz="8" w:color="auto"/>
              <w:right w:val="single" w:sz="8" w:color="auto"/>
            </w:tcBorders>
            <w:shd w:val="clear" w:color="auto" w:fill="0171B9"/>
          </w:tcPr>
          <w:p>
            <w:pPr>
              <w:jc w:val="right"/>
              <w:ind w:right="28"/>
              <w:spacing w:after="0"/>
              <w:rPr>
                <w:sz w:val="20"/>
                <w:szCs w:val="20"/>
                <w:color w:val="auto"/>
              </w:rPr>
            </w:pPr>
            <w:r>
              <w:rPr>
                <w:rFonts w:ascii="Arial" w:cs="Arial" w:eastAsia="Arial" w:hAnsi="Arial"/>
                <w:sz w:val="14"/>
                <w:szCs w:val="14"/>
                <w:b w:val="1"/>
                <w:bCs w:val="1"/>
                <w:color w:val="FFFFFF"/>
              </w:rPr>
              <w:t>30.1%</w:t>
            </w:r>
          </w:p>
        </w:tc>
        <w:tc>
          <w:tcPr>
            <w:tcW w:w="0" w:type="dxa"/>
            <w:vAlign w:val="bottom"/>
          </w:tcPr>
          <w:p>
            <w:pPr>
              <w:spacing w:after="0"/>
              <w:rPr>
                <w:sz w:val="1"/>
                <w:szCs w:val="1"/>
                <w:color w:val="auto"/>
              </w:rPr>
            </w:pPr>
          </w:p>
        </w:tc>
      </w:tr>
      <w:tr>
        <w:trPr>
          <w:trHeight w:val="210"/>
        </w:trPr>
        <w:tc>
          <w:tcPr>
            <w:tcW w:w="1800" w:type="dxa"/>
            <w:vAlign w:val="bottom"/>
            <w:tcBorders>
              <w:left w:val="single" w:sz="8" w:color="auto"/>
            </w:tcBorders>
            <w:gridSpan w:val="2"/>
            <w:shd w:val="clear" w:color="auto" w:fill="CCE2F1"/>
          </w:tcPr>
          <w:p>
            <w:pPr>
              <w:ind w:left="100"/>
              <w:spacing w:after="0"/>
              <w:rPr>
                <w:sz w:val="20"/>
                <w:szCs w:val="20"/>
                <w:color w:val="auto"/>
              </w:rPr>
            </w:pPr>
            <w:r>
              <w:rPr>
                <w:rFonts w:ascii="Arial" w:cs="Arial" w:eastAsia="Arial" w:hAnsi="Arial"/>
                <w:sz w:val="14"/>
                <w:szCs w:val="14"/>
                <w:color w:val="auto"/>
              </w:rPr>
              <w:t>Advance Early Pipeline</w:t>
            </w:r>
          </w:p>
        </w:tc>
        <w:tc>
          <w:tcPr>
            <w:tcW w:w="820" w:type="dxa"/>
            <w:vAlign w:val="bottom"/>
            <w:shd w:val="clear" w:color="auto" w:fill="CCE2F1"/>
          </w:tcPr>
          <w:p>
            <w:pPr>
              <w:jc w:val="right"/>
              <w:ind w:right="28"/>
              <w:spacing w:after="0"/>
              <w:rPr>
                <w:sz w:val="20"/>
                <w:szCs w:val="20"/>
                <w:color w:val="auto"/>
              </w:rPr>
            </w:pPr>
            <w:r>
              <w:rPr>
                <w:rFonts w:ascii="Arial" w:cs="Arial" w:eastAsia="Arial" w:hAnsi="Arial"/>
                <w:sz w:val="14"/>
                <w:szCs w:val="14"/>
                <w:color w:val="auto"/>
              </w:rPr>
              <w:t>10%</w:t>
            </w:r>
          </w:p>
        </w:tc>
        <w:tc>
          <w:tcPr>
            <w:tcW w:w="680" w:type="dxa"/>
            <w:vAlign w:val="bottom"/>
            <w:shd w:val="clear" w:color="auto" w:fill="CCE2F1"/>
          </w:tcPr>
          <w:p>
            <w:pPr>
              <w:jc w:val="right"/>
              <w:ind w:right="28"/>
              <w:spacing w:after="0"/>
              <w:rPr>
                <w:sz w:val="20"/>
                <w:szCs w:val="20"/>
                <w:color w:val="auto"/>
              </w:rPr>
            </w:pPr>
            <w:r>
              <w:rPr>
                <w:rFonts w:ascii="Arial" w:cs="Arial" w:eastAsia="Arial" w:hAnsi="Arial"/>
                <w:sz w:val="14"/>
                <w:szCs w:val="14"/>
                <w:color w:val="auto"/>
              </w:rPr>
              <w:t>81.8%</w:t>
            </w:r>
          </w:p>
        </w:tc>
        <w:tc>
          <w:tcPr>
            <w:tcW w:w="960" w:type="dxa"/>
            <w:vAlign w:val="bottom"/>
            <w:tcBorders>
              <w:right w:val="single" w:sz="8" w:color="auto"/>
            </w:tcBorders>
            <w:shd w:val="clear" w:color="auto" w:fill="CCE2F1"/>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800" w:type="dxa"/>
            <w:vAlign w:val="bottom"/>
            <w:tcBorders>
              <w:left w:val="single" w:sz="8" w:color="auto"/>
            </w:tcBorders>
            <w:gridSpan w:val="2"/>
          </w:tcPr>
          <w:p>
            <w:pPr>
              <w:ind w:left="100"/>
              <w:spacing w:after="0"/>
              <w:rPr>
                <w:sz w:val="20"/>
                <w:szCs w:val="20"/>
                <w:color w:val="auto"/>
              </w:rPr>
            </w:pPr>
            <w:r>
              <w:rPr>
                <w:rFonts w:ascii="Arial" w:cs="Arial" w:eastAsia="Arial" w:hAnsi="Arial"/>
                <w:sz w:val="14"/>
                <w:szCs w:val="14"/>
                <w:color w:val="auto"/>
              </w:rPr>
              <w:t>Execute Key Clinical</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Borders>
              <w:left w:val="single" w:sz="8" w:color="auto"/>
            </w:tcBorders>
            <w:gridSpan w:val="2"/>
          </w:tcPr>
          <w:p>
            <w:pPr>
              <w:ind w:left="100"/>
              <w:spacing w:after="0"/>
              <w:rPr>
                <w:sz w:val="20"/>
                <w:szCs w:val="20"/>
                <w:color w:val="auto"/>
              </w:rPr>
            </w:pPr>
            <w:r>
              <w:rPr>
                <w:rFonts w:ascii="Arial" w:cs="Arial" w:eastAsia="Arial" w:hAnsi="Arial"/>
                <w:sz w:val="14"/>
                <w:szCs w:val="14"/>
                <w:color w:val="auto"/>
              </w:rPr>
              <w:t>Studies and Regulatory</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tcBorders>
              <w:left w:val="single" w:sz="8" w:color="auto"/>
              <w:bottom w:val="single" w:sz="8" w:color="auto"/>
            </w:tcBorders>
            <w:gridSpan w:val="2"/>
          </w:tcPr>
          <w:p>
            <w:pPr>
              <w:ind w:left="100"/>
              <w:spacing w:after="0"/>
              <w:rPr>
                <w:sz w:val="20"/>
                <w:szCs w:val="20"/>
                <w:color w:val="auto"/>
              </w:rPr>
            </w:pPr>
            <w:r>
              <w:rPr>
                <w:rFonts w:ascii="Arial" w:cs="Arial" w:eastAsia="Arial" w:hAnsi="Arial"/>
                <w:sz w:val="14"/>
                <w:szCs w:val="14"/>
                <w:color w:val="auto"/>
              </w:rPr>
              <w:t>Filings</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109.4%</w:t>
            </w:r>
          </w:p>
        </w:tc>
        <w:tc>
          <w:tcPr>
            <w:tcW w:w="9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800" w:type="dxa"/>
            <w:vAlign w:val="bottom"/>
            <w:tcBorders>
              <w:left w:val="single" w:sz="8" w:color="auto"/>
              <w:bottom w:val="single" w:sz="8" w:color="auto"/>
            </w:tcBorders>
            <w:gridSpan w:val="2"/>
            <w:shd w:val="clear" w:color="auto" w:fill="0171B9"/>
          </w:tcPr>
          <w:p>
            <w:pPr>
              <w:ind w:left="100"/>
              <w:spacing w:after="0"/>
              <w:rPr>
                <w:sz w:val="20"/>
                <w:szCs w:val="20"/>
                <w:color w:val="auto"/>
              </w:rPr>
            </w:pPr>
            <w:r>
              <w:rPr>
                <w:rFonts w:ascii="Arial" w:cs="Arial" w:eastAsia="Arial" w:hAnsi="Arial"/>
                <w:sz w:val="14"/>
                <w:szCs w:val="14"/>
                <w:b w:val="1"/>
                <w:bCs w:val="1"/>
                <w:color w:val="FFFFFF"/>
              </w:rPr>
              <w:t>Deliver Annual Priorities</w:t>
            </w:r>
          </w:p>
        </w:tc>
        <w:tc>
          <w:tcPr>
            <w:tcW w:w="820" w:type="dxa"/>
            <w:vAlign w:val="bottom"/>
            <w:tcBorders>
              <w:bottom w:val="single" w:sz="8" w:color="auto"/>
            </w:tcBorders>
            <w:shd w:val="clear" w:color="auto" w:fill="0171B9"/>
          </w:tcPr>
          <w:p>
            <w:pPr>
              <w:spacing w:after="0"/>
              <w:rPr>
                <w:sz w:val="15"/>
                <w:szCs w:val="15"/>
                <w:color w:val="auto"/>
              </w:rPr>
            </w:pPr>
          </w:p>
        </w:tc>
        <w:tc>
          <w:tcPr>
            <w:tcW w:w="680" w:type="dxa"/>
            <w:vAlign w:val="bottom"/>
            <w:tcBorders>
              <w:bottom w:val="single" w:sz="8" w:color="auto"/>
            </w:tcBorders>
            <w:shd w:val="clear" w:color="auto" w:fill="0171B9"/>
          </w:tcPr>
          <w:p>
            <w:pPr>
              <w:spacing w:after="0"/>
              <w:rPr>
                <w:sz w:val="15"/>
                <w:szCs w:val="15"/>
                <w:color w:val="auto"/>
              </w:rPr>
            </w:pPr>
          </w:p>
        </w:tc>
        <w:tc>
          <w:tcPr>
            <w:tcW w:w="960" w:type="dxa"/>
            <w:vAlign w:val="bottom"/>
            <w:tcBorders>
              <w:bottom w:val="single" w:sz="8" w:color="auto"/>
              <w:right w:val="single" w:sz="8" w:color="auto"/>
            </w:tcBorders>
            <w:shd w:val="clear" w:color="auto" w:fill="0171B9"/>
          </w:tcPr>
          <w:p>
            <w:pPr>
              <w:jc w:val="right"/>
              <w:ind w:right="28"/>
              <w:spacing w:after="0"/>
              <w:rPr>
                <w:sz w:val="20"/>
                <w:szCs w:val="20"/>
                <w:color w:val="auto"/>
              </w:rPr>
            </w:pPr>
            <w:r>
              <w:rPr>
                <w:rFonts w:ascii="Arial" w:cs="Arial" w:eastAsia="Arial" w:hAnsi="Arial"/>
                <w:sz w:val="14"/>
                <w:szCs w:val="14"/>
                <w:b w:val="1"/>
                <w:bCs w:val="1"/>
                <w:color w:val="FFFFFF"/>
              </w:rPr>
              <w:t>21.7%</w:t>
            </w:r>
          </w:p>
        </w:tc>
        <w:tc>
          <w:tcPr>
            <w:tcW w:w="0" w:type="dxa"/>
            <w:vAlign w:val="bottom"/>
          </w:tcPr>
          <w:p>
            <w:pPr>
              <w:spacing w:after="0"/>
              <w:rPr>
                <w:sz w:val="1"/>
                <w:szCs w:val="1"/>
                <w:color w:val="auto"/>
              </w:rPr>
            </w:pPr>
          </w:p>
        </w:tc>
      </w:tr>
      <w:tr>
        <w:trPr>
          <w:trHeight w:val="160"/>
        </w:trPr>
        <w:tc>
          <w:tcPr>
            <w:tcW w:w="1800" w:type="dxa"/>
            <w:vAlign w:val="bottom"/>
            <w:tcBorders>
              <w:left w:val="single" w:sz="8" w:color="auto"/>
            </w:tcBorders>
            <w:gridSpan w:val="2"/>
            <w:shd w:val="clear" w:color="auto" w:fill="CCE2F1"/>
          </w:tcPr>
          <w:p>
            <w:pPr>
              <w:ind w:left="100"/>
              <w:spacing w:after="0"/>
              <w:rPr>
                <w:sz w:val="20"/>
                <w:szCs w:val="20"/>
                <w:color w:val="auto"/>
              </w:rPr>
            </w:pPr>
            <w:r>
              <w:rPr>
                <w:rFonts w:ascii="Arial" w:cs="Arial" w:eastAsia="Arial" w:hAnsi="Arial"/>
                <w:sz w:val="14"/>
                <w:szCs w:val="14"/>
                <w:color w:val="auto"/>
              </w:rPr>
              <w:t>Environmental, Social,</w:t>
            </w:r>
          </w:p>
        </w:tc>
        <w:tc>
          <w:tcPr>
            <w:tcW w:w="820" w:type="dxa"/>
            <w:vAlign w:val="bottom"/>
            <w:shd w:val="clear" w:color="auto" w:fill="CCE2F1"/>
          </w:tcPr>
          <w:p>
            <w:pPr>
              <w:spacing w:after="0"/>
              <w:rPr>
                <w:sz w:val="13"/>
                <w:szCs w:val="13"/>
                <w:color w:val="auto"/>
              </w:rPr>
            </w:pPr>
          </w:p>
        </w:tc>
        <w:tc>
          <w:tcPr>
            <w:tcW w:w="680" w:type="dxa"/>
            <w:vAlign w:val="bottom"/>
            <w:shd w:val="clear" w:color="auto" w:fill="CCE2F1"/>
          </w:tcPr>
          <w:p>
            <w:pPr>
              <w:spacing w:after="0"/>
              <w:rPr>
                <w:sz w:val="13"/>
                <w:szCs w:val="13"/>
                <w:color w:val="auto"/>
              </w:rPr>
            </w:pPr>
          </w:p>
        </w:tc>
        <w:tc>
          <w:tcPr>
            <w:tcW w:w="960" w:type="dxa"/>
            <w:vAlign w:val="bottom"/>
            <w:tcBorders>
              <w:right w:val="single" w:sz="8" w:color="auto"/>
            </w:tcBorders>
            <w:shd w:val="clear" w:color="auto" w:fill="CCE2F1"/>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00" w:type="dxa"/>
            <w:vAlign w:val="bottom"/>
            <w:tcBorders>
              <w:left w:val="single" w:sz="8" w:color="auto"/>
            </w:tcBorders>
            <w:gridSpan w:val="2"/>
            <w:shd w:val="clear" w:color="auto" w:fill="CCE2F1"/>
          </w:tcPr>
          <w:p>
            <w:pPr>
              <w:ind w:left="100"/>
              <w:spacing w:after="0"/>
              <w:rPr>
                <w:sz w:val="20"/>
                <w:szCs w:val="20"/>
                <w:color w:val="auto"/>
              </w:rPr>
            </w:pPr>
            <w:r>
              <w:rPr>
                <w:rFonts w:ascii="Arial" w:cs="Arial" w:eastAsia="Arial" w:hAnsi="Arial"/>
                <w:sz w:val="14"/>
                <w:szCs w:val="14"/>
                <w:color w:val="auto"/>
              </w:rPr>
              <w:t>and Governance</w:t>
            </w:r>
          </w:p>
        </w:tc>
        <w:tc>
          <w:tcPr>
            <w:tcW w:w="820" w:type="dxa"/>
            <w:vAlign w:val="bottom"/>
            <w:shd w:val="clear" w:color="auto" w:fill="CCE2F1"/>
          </w:tcPr>
          <w:p>
            <w:pPr>
              <w:jc w:val="right"/>
              <w:ind w:right="28"/>
              <w:spacing w:after="0"/>
              <w:rPr>
                <w:sz w:val="20"/>
                <w:szCs w:val="20"/>
                <w:color w:val="auto"/>
              </w:rPr>
            </w:pPr>
            <w:r>
              <w:rPr>
                <w:rFonts w:ascii="Arial" w:cs="Arial" w:eastAsia="Arial" w:hAnsi="Arial"/>
                <w:sz w:val="14"/>
                <w:szCs w:val="14"/>
                <w:color w:val="auto"/>
              </w:rPr>
              <w:t>5%</w:t>
            </w:r>
          </w:p>
        </w:tc>
        <w:tc>
          <w:tcPr>
            <w:tcW w:w="680" w:type="dxa"/>
            <w:vAlign w:val="bottom"/>
            <w:shd w:val="clear" w:color="auto" w:fill="CCE2F1"/>
          </w:tcPr>
          <w:p>
            <w:pPr>
              <w:jc w:val="right"/>
              <w:ind w:right="28"/>
              <w:spacing w:after="0"/>
              <w:rPr>
                <w:sz w:val="20"/>
                <w:szCs w:val="20"/>
                <w:color w:val="auto"/>
              </w:rPr>
            </w:pPr>
            <w:r>
              <w:rPr>
                <w:rFonts w:ascii="Arial" w:cs="Arial" w:eastAsia="Arial" w:hAnsi="Arial"/>
                <w:sz w:val="14"/>
                <w:szCs w:val="14"/>
                <w:color w:val="auto"/>
              </w:rPr>
              <w:t>207.8%</w:t>
            </w:r>
          </w:p>
        </w:tc>
        <w:tc>
          <w:tcPr>
            <w:tcW w:w="960" w:type="dxa"/>
            <w:vAlign w:val="bottom"/>
            <w:tcBorders>
              <w:right w:val="single" w:sz="8" w:color="auto"/>
            </w:tcBorders>
            <w:shd w:val="clear" w:color="auto" w:fill="CCE2F1"/>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00" w:type="dxa"/>
            <w:vAlign w:val="bottom"/>
            <w:tcBorders>
              <w:left w:val="single" w:sz="8" w:color="auto"/>
            </w:tcBorders>
            <w:gridSpan w:val="2"/>
          </w:tcPr>
          <w:p>
            <w:pPr>
              <w:ind w:left="100"/>
              <w:spacing w:after="0"/>
              <w:rPr>
                <w:sz w:val="20"/>
                <w:szCs w:val="20"/>
                <w:color w:val="auto"/>
              </w:rPr>
            </w:pPr>
            <w:r>
              <w:rPr>
                <w:rFonts w:ascii="Arial" w:cs="Arial" w:eastAsia="Arial" w:hAnsi="Arial"/>
                <w:sz w:val="14"/>
                <w:szCs w:val="14"/>
                <w:color w:val="auto"/>
              </w:rPr>
              <w:t>Process Simplification</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tcBorders>
              <w:left w:val="single" w:sz="8" w:color="auto"/>
              <w:bottom w:val="single" w:sz="8" w:color="auto"/>
            </w:tcBorders>
            <w:gridSpan w:val="2"/>
          </w:tcPr>
          <w:p>
            <w:pPr>
              <w:ind w:left="100"/>
              <w:spacing w:after="0"/>
              <w:rPr>
                <w:sz w:val="20"/>
                <w:szCs w:val="20"/>
                <w:color w:val="auto"/>
              </w:rPr>
            </w:pPr>
            <w:r>
              <w:rPr>
                <w:rFonts w:ascii="Arial" w:cs="Arial" w:eastAsia="Arial" w:hAnsi="Arial"/>
                <w:sz w:val="14"/>
                <w:szCs w:val="14"/>
                <w:color w:val="auto"/>
              </w:rPr>
              <w:t>and Automation</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225.0%</w:t>
            </w:r>
          </w:p>
        </w:tc>
        <w:tc>
          <w:tcPr>
            <w:tcW w:w="9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800" w:type="dxa"/>
            <w:vAlign w:val="bottom"/>
            <w:tcBorders>
              <w:left w:val="single" w:sz="8" w:color="auto"/>
              <w:bottom w:val="single" w:sz="8" w:color="auto"/>
            </w:tcBorders>
            <w:gridSpan w:val="2"/>
            <w:shd w:val="clear" w:color="auto" w:fill="0171B9"/>
          </w:tcPr>
          <w:p>
            <w:pPr>
              <w:ind w:left="100"/>
              <w:spacing w:after="0"/>
              <w:rPr>
                <w:sz w:val="20"/>
                <w:szCs w:val="20"/>
                <w:color w:val="auto"/>
              </w:rPr>
            </w:pPr>
            <w:r>
              <w:rPr>
                <w:rFonts w:ascii="Arial" w:cs="Arial" w:eastAsia="Arial" w:hAnsi="Arial"/>
                <w:sz w:val="14"/>
                <w:szCs w:val="14"/>
                <w:b w:val="1"/>
                <w:bCs w:val="1"/>
                <w:color w:val="FFFFFF"/>
              </w:rPr>
              <w:t>Final Score</w:t>
            </w:r>
          </w:p>
        </w:tc>
        <w:tc>
          <w:tcPr>
            <w:tcW w:w="820" w:type="dxa"/>
            <w:vAlign w:val="bottom"/>
            <w:tcBorders>
              <w:bottom w:val="single" w:sz="8" w:color="auto"/>
            </w:tcBorders>
            <w:shd w:val="clear" w:color="auto" w:fill="0171B9"/>
          </w:tcPr>
          <w:p>
            <w:pPr>
              <w:spacing w:after="0"/>
              <w:rPr>
                <w:sz w:val="15"/>
                <w:szCs w:val="15"/>
                <w:color w:val="auto"/>
              </w:rPr>
            </w:pPr>
          </w:p>
        </w:tc>
        <w:tc>
          <w:tcPr>
            <w:tcW w:w="680" w:type="dxa"/>
            <w:vAlign w:val="bottom"/>
            <w:tcBorders>
              <w:bottom w:val="single" w:sz="8" w:color="auto"/>
            </w:tcBorders>
            <w:shd w:val="clear" w:color="auto" w:fill="0171B9"/>
          </w:tcPr>
          <w:p>
            <w:pPr>
              <w:spacing w:after="0"/>
              <w:rPr>
                <w:sz w:val="15"/>
                <w:szCs w:val="15"/>
                <w:color w:val="auto"/>
              </w:rPr>
            </w:pPr>
          </w:p>
        </w:tc>
        <w:tc>
          <w:tcPr>
            <w:tcW w:w="960" w:type="dxa"/>
            <w:vAlign w:val="bottom"/>
            <w:tcBorders>
              <w:bottom w:val="single" w:sz="8" w:color="auto"/>
              <w:right w:val="single" w:sz="8" w:color="auto"/>
            </w:tcBorders>
            <w:shd w:val="clear" w:color="auto" w:fill="0171B9"/>
          </w:tcPr>
          <w:p>
            <w:pPr>
              <w:jc w:val="right"/>
              <w:ind w:right="28"/>
              <w:spacing w:after="0"/>
              <w:rPr>
                <w:sz w:val="20"/>
                <w:szCs w:val="20"/>
                <w:color w:val="auto"/>
              </w:rPr>
            </w:pPr>
            <w:r>
              <w:rPr>
                <w:rFonts w:ascii="Arial" w:cs="Arial" w:eastAsia="Arial" w:hAnsi="Arial"/>
                <w:sz w:val="14"/>
                <w:szCs w:val="14"/>
                <w:b w:val="1"/>
                <w:bCs w:val="1"/>
                <w:color w:val="FFFFFF"/>
              </w:rPr>
              <w:t>121.0%</w:t>
            </w: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80% of our annual LTI equity award grants are performance-based, aligning compensation with long-term value creation for our stockholders. Performance units comprise 50% of our annual LTI equity award grants, with the goal design and all measurement targets established at the beginning of the three-year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3514725" cy="1465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14725" cy="1465580"/>
                    </a:xfrm>
                    <a:prstGeom prst="rect">
                      <a:avLst/>
                    </a:prstGeom>
                    <a:noFill/>
                  </pic:spPr>
                </pic:pic>
              </a:graphicData>
            </a:graphic>
          </wp:anchor>
        </w:drawing>
      </w:r>
    </w:p>
    <w:p>
      <w:pPr>
        <w:spacing w:after="0" w:line="3728" w:lineRule="exact"/>
        <w:rPr>
          <w:sz w:val="20"/>
          <w:szCs w:val="20"/>
          <w:color w:val="auto"/>
        </w:rPr>
      </w:pPr>
    </w:p>
    <w:p>
      <w:pPr>
        <w:sectPr>
          <w:pgSz w:w="11900" w:h="16838" w:orient="portrait"/>
          <w:cols w:equalWidth="0" w:num="2">
            <w:col w:w="4380" w:space="340"/>
            <w:col w:w="6420"/>
          </w:cols>
          <w:pgMar w:left="320" w:top="486" w:right="439" w:bottom="1440" w:gutter="0" w:footer="0" w:header="0"/>
          <w:type w:val="continuous"/>
        </w:sectPr>
      </w:pPr>
    </w:p>
    <w:p>
      <w:pPr>
        <w:ind w:left="540" w:hanging="424"/>
        <w:spacing w:after="0"/>
        <w:tabs>
          <w:tab w:leader="none" w:pos="54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Percentages do not total to final score due to rounding.</w:t>
      </w:r>
    </w:p>
    <w:p>
      <w:pPr>
        <w:ind w:left="540" w:right="20" w:hanging="424"/>
        <w:spacing w:after="0" w:line="187" w:lineRule="auto"/>
        <w:tabs>
          <w:tab w:leader="none" w:pos="54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 xml:space="preserve">Non-Generally Accepted Accounting Principles (non-GAAP) net income for purposes of the 2022 Company performance goals of our annual cash incentive plan is reported and reconciled in </w:t>
      </w:r>
      <w:r>
        <w:rPr>
          <w:rFonts w:ascii="Arial" w:cs="Arial" w:eastAsia="Arial" w:hAnsi="Arial"/>
          <w:sz w:val="14"/>
          <w:szCs w:val="14"/>
          <w:b w:val="1"/>
          <w:bCs w:val="1"/>
          <w:color w:val="auto"/>
        </w:rPr>
        <w:t>Appendix B</w:t>
      </w:r>
      <w:r>
        <w:rPr>
          <w:rFonts w:ascii="Arial" w:cs="Arial" w:eastAsia="Arial" w:hAnsi="Arial"/>
          <w:sz w:val="14"/>
          <w:szCs w:val="14"/>
          <w:color w:val="auto"/>
        </w:rPr>
        <w:t>.</w:t>
      </w:r>
    </w:p>
    <w:p>
      <w:pPr>
        <w:spacing w:after="0" w:line="1" w:lineRule="exact"/>
        <w:rPr>
          <w:rFonts w:ascii="Arial" w:cs="Arial" w:eastAsia="Arial" w:hAnsi="Arial"/>
          <w:sz w:val="22"/>
          <w:szCs w:val="22"/>
          <w:color w:val="auto"/>
          <w:vertAlign w:val="superscript"/>
        </w:rPr>
      </w:pPr>
    </w:p>
    <w:p>
      <w:pPr>
        <w:jc w:val="both"/>
        <w:ind w:left="540" w:hanging="424"/>
        <w:spacing w:after="0" w:line="214" w:lineRule="auto"/>
        <w:tabs>
          <w:tab w:leader="none" w:pos="54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 xml:space="preserve">The non-GAAP operating measures (EPS growth and return on invested capital, or ROIC) with respect to the 2020–2022 performance period are as reported and reconciled in </w:t>
      </w:r>
      <w:r>
        <w:rPr>
          <w:rFonts w:ascii="Arial" w:cs="Arial" w:eastAsia="Arial" w:hAnsi="Arial"/>
          <w:sz w:val="14"/>
          <w:szCs w:val="14"/>
          <w:b w:val="1"/>
          <w:bCs w:val="1"/>
          <w:color w:val="auto"/>
        </w:rPr>
        <w:t>Appendix B</w:t>
      </w:r>
      <w:r>
        <w:rPr>
          <w:rFonts w:ascii="Arial" w:cs="Arial" w:eastAsia="Arial" w:hAnsi="Arial"/>
          <w:sz w:val="14"/>
          <w:szCs w:val="14"/>
          <w:color w:val="auto"/>
        </w:rPr>
        <w:t>, except that operating measures for 2022 performance were further adjusted to include the impacts of losses on equity investments as prescribed by the 2020-2022 performance goals document when it was established in March 2020. For this purpose, 2022 non-GAAP net income was decreased by $274 million, or $0.51 per share, and the tax rate used to calculate ROIC was adjusted accordingly to approximately 13.4%, resulting in a 0.1% increase in ROIC.</w:t>
      </w:r>
    </w:p>
    <w:p>
      <w:pPr>
        <w:sectPr>
          <w:pgSz w:w="11900" w:h="16838" w:orient="portrait"/>
          <w:cols w:equalWidth="0" w:num="1">
            <w:col w:w="11140"/>
          </w:cols>
          <w:pgMar w:left="320" w:top="486" w:right="439" w:bottom="1440" w:gutter="0" w:footer="0" w:header="0"/>
          <w:type w:val="continuous"/>
        </w:sectPr>
      </w:pPr>
    </w:p>
    <w:p>
      <w:pPr>
        <w:spacing w:after="0" w:line="119" w:lineRule="exact"/>
        <w:rPr>
          <w:sz w:val="20"/>
          <w:szCs w:val="20"/>
          <w:color w:val="auto"/>
        </w:rPr>
      </w:pPr>
    </w:p>
    <w:p>
      <w:pPr>
        <w:ind w:left="8720"/>
        <w:spacing w:after="0"/>
        <w:tabs>
          <w:tab w:leader="none" w:pos="110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20"/>
          <w:szCs w:val="20"/>
          <w:b w:val="1"/>
          <w:bCs w:val="1"/>
          <w:color w:val="474747"/>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-162560</wp:posOffset>
            </wp:positionV>
            <wp:extent cx="58293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205740</wp:posOffset>
            </wp:positionV>
            <wp:extent cx="1877060" cy="214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77060" cy="214630"/>
                    </a:xfrm>
                    <a:prstGeom prst="rect">
                      <a:avLst/>
                    </a:prstGeom>
                    <a:noFill/>
                  </pic:spPr>
                </pic:pic>
              </a:graphicData>
            </a:graphic>
          </wp:anchor>
        </w:drawing>
      </w:r>
    </w:p>
    <w:p>
      <w:pPr>
        <w:spacing w:after="0" w:line="312" w:lineRule="exact"/>
        <w:rPr>
          <w:sz w:val="20"/>
          <w:szCs w:val="20"/>
          <w:color w:val="auto"/>
        </w:rPr>
      </w:pPr>
    </w:p>
    <w:p>
      <w:pPr>
        <w:jc w:val="right"/>
        <w:ind w:right="60"/>
        <w:spacing w:after="0"/>
        <w:rPr>
          <w:sz w:val="20"/>
          <w:szCs w:val="20"/>
          <w:color w:val="auto"/>
        </w:rPr>
      </w:pPr>
      <w:r>
        <w:rPr>
          <w:rFonts w:ascii="Arial" w:cs="Arial" w:eastAsia="Arial" w:hAnsi="Arial"/>
          <w:sz w:val="22"/>
          <w:szCs w:val="22"/>
          <w:b w:val="1"/>
          <w:bCs w:val="1"/>
          <w:color w:val="FFFFFF"/>
        </w:rPr>
        <w:t>Proxy Statement Summary</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We Have Implemented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2317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231775"/>
                    </a:xfrm>
                    <a:prstGeom prst="rect">
                      <a:avLst/>
                    </a:prstGeom>
                    <a:noFill/>
                  </pic:spPr>
                </pic:pic>
              </a:graphicData>
            </a:graphic>
          </wp:anchor>
        </w:drawing>
      </w:r>
    </w:p>
    <w:p>
      <w:pPr>
        <w:spacing w:after="0" w:line="343" w:lineRule="exact"/>
        <w:rPr>
          <w:sz w:val="20"/>
          <w:szCs w:val="20"/>
          <w:color w:val="auto"/>
        </w:rPr>
      </w:pPr>
    </w:p>
    <w:p>
      <w:pPr>
        <w:ind w:left="2220"/>
        <w:spacing w:after="0"/>
        <w:tabs>
          <w:tab w:leader="none" w:pos="7600" w:val="left"/>
        </w:tabs>
        <w:rPr>
          <w:sz w:val="20"/>
          <w:szCs w:val="20"/>
          <w:color w:val="auto"/>
        </w:rPr>
      </w:pPr>
      <w:r>
        <w:rPr>
          <w:rFonts w:ascii="Arial" w:cs="Arial" w:eastAsia="Arial" w:hAnsi="Arial"/>
          <w:sz w:val="20"/>
          <w:szCs w:val="20"/>
          <w:b w:val="1"/>
          <w:bCs w:val="1"/>
          <w:color w:val="FFFFFF"/>
        </w:rPr>
        <w:t>What we do</w:t>
      </w:r>
      <w:r>
        <w:rPr>
          <w:sz w:val="20"/>
          <w:szCs w:val="20"/>
          <w:color w:val="auto"/>
        </w:rPr>
        <w:tab/>
      </w:r>
      <w:r>
        <w:rPr>
          <w:rFonts w:ascii="Arial" w:cs="Arial" w:eastAsia="Arial" w:hAnsi="Arial"/>
          <w:sz w:val="19"/>
          <w:szCs w:val="19"/>
          <w:b w:val="1"/>
          <w:bCs w:val="1"/>
          <w:color w:val="FFFFFF"/>
        </w:rPr>
        <w:t>What we don’t do</w:t>
      </w:r>
    </w:p>
    <w:p>
      <w:pPr>
        <w:sectPr>
          <w:pgSz w:w="11900" w:h="16838" w:orient="portrait"/>
          <w:cols w:equalWidth="0" w:num="1">
            <w:col w:w="11120"/>
          </w:cols>
          <w:pgMar w:left="320" w:top="486" w:right="459" w:bottom="1440" w:gutter="0" w:footer="0" w:header="0"/>
        </w:sectPr>
      </w:pPr>
    </w:p>
    <w:p>
      <w:pPr>
        <w:spacing w:after="0" w:line="223" w:lineRule="exact"/>
        <w:rPr>
          <w:sz w:val="20"/>
          <w:szCs w:val="20"/>
          <w:color w:val="auto"/>
        </w:rPr>
      </w:pPr>
    </w:p>
    <w:p>
      <w:pPr>
        <w:jc w:val="both"/>
        <w:ind w:left="440" w:hanging="324"/>
        <w:spacing w:after="0" w:line="238" w:lineRule="auto"/>
        <w:tabs>
          <w:tab w:leader="none" w:pos="440" w:val="left"/>
        </w:tabs>
        <w:numPr>
          <w:ilvl w:val="0"/>
          <w:numId w:val="16"/>
        </w:numPr>
        <w:rPr>
          <w:rFonts w:ascii="MS PGothic" w:cs="MS PGothic" w:eastAsia="MS PGothic" w:hAnsi="MS PGothic"/>
          <w:sz w:val="17"/>
          <w:szCs w:val="17"/>
          <w:color w:val="0171B9"/>
        </w:rPr>
      </w:pPr>
      <w:r>
        <w:rPr>
          <w:rFonts w:ascii="Arial" w:cs="Arial" w:eastAsia="Arial" w:hAnsi="Arial"/>
          <w:sz w:val="17"/>
          <w:szCs w:val="17"/>
          <w:color w:val="auto"/>
        </w:rPr>
        <w:t>Long-term performance-based equity awards (80% of total target equity, of which 50% are three-year performance unit awards and 30% are stock options)</w:t>
      </w:r>
    </w:p>
    <w:p>
      <w:pPr>
        <w:spacing w:after="0" w:line="106" w:lineRule="exact"/>
        <w:rPr>
          <w:rFonts w:ascii="MS PGothic" w:cs="MS PGothic" w:eastAsia="MS PGothic" w:hAnsi="MS PGothic"/>
          <w:sz w:val="17"/>
          <w:szCs w:val="17"/>
          <w:color w:val="0171B9"/>
        </w:rPr>
      </w:pPr>
    </w:p>
    <w:p>
      <w:pPr>
        <w:ind w:left="440" w:right="20" w:hanging="324"/>
        <w:spacing w:after="0" w:line="243" w:lineRule="auto"/>
        <w:tabs>
          <w:tab w:leader="none" w:pos="440" w:val="left"/>
        </w:tabs>
        <w:numPr>
          <w:ilvl w:val="0"/>
          <w:numId w:val="16"/>
        </w:numPr>
        <w:rPr>
          <w:rFonts w:ascii="MS PGothic" w:cs="MS PGothic" w:eastAsia="MS PGothic" w:hAnsi="MS PGothic"/>
          <w:sz w:val="17"/>
          <w:szCs w:val="17"/>
          <w:color w:val="0171B9"/>
        </w:rPr>
      </w:pPr>
      <w:r>
        <w:rPr>
          <w:rFonts w:ascii="Arial" w:cs="Arial" w:eastAsia="Arial" w:hAnsi="Arial"/>
          <w:sz w:val="17"/>
          <w:szCs w:val="17"/>
          <w:color w:val="auto"/>
        </w:rPr>
        <w:t>A substantial majority of NEO compensation is performance-based and at risk</w:t>
      </w:r>
    </w:p>
    <w:p>
      <w:pPr>
        <w:spacing w:after="0" w:line="103" w:lineRule="exact"/>
        <w:rPr>
          <w:rFonts w:ascii="MS PGothic" w:cs="MS PGothic" w:eastAsia="MS PGothic" w:hAnsi="MS PGothic"/>
          <w:sz w:val="17"/>
          <w:szCs w:val="17"/>
          <w:color w:val="0171B9"/>
        </w:rPr>
      </w:pPr>
    </w:p>
    <w:p>
      <w:pPr>
        <w:jc w:val="both"/>
        <w:ind w:left="440" w:hanging="324"/>
        <w:spacing w:after="0" w:line="235" w:lineRule="auto"/>
        <w:tabs>
          <w:tab w:leader="none" w:pos="440" w:val="left"/>
        </w:tabs>
        <w:numPr>
          <w:ilvl w:val="0"/>
          <w:numId w:val="16"/>
        </w:numPr>
        <w:rPr>
          <w:rFonts w:ascii="MS PGothic" w:cs="MS PGothic" w:eastAsia="MS PGothic" w:hAnsi="MS PGothic"/>
          <w:sz w:val="17"/>
          <w:szCs w:val="17"/>
          <w:color w:val="0171B9"/>
        </w:rPr>
      </w:pPr>
      <w:r>
        <w:rPr>
          <w:rFonts w:ascii="Arial" w:cs="Arial" w:eastAsia="Arial" w:hAnsi="Arial"/>
          <w:sz w:val="17"/>
          <w:szCs w:val="17"/>
          <w:color w:val="auto"/>
        </w:rPr>
        <w:t>Recoupment provisions for misconduct that causes serious financial or reputational damage include forfeiture and cancellation of unvested or unexercised</w:t>
      </w:r>
      <w:r>
        <w:rPr>
          <w:rFonts w:ascii="Arial" w:cs="Arial" w:eastAsia="Arial" w:hAnsi="Arial"/>
          <w:sz w:val="10"/>
          <w:szCs w:val="10"/>
          <w:color w:val="auto"/>
        </w:rPr>
        <w:t>(1)</w:t>
      </w:r>
      <w:r>
        <w:rPr>
          <w:rFonts w:ascii="Arial" w:cs="Arial" w:eastAsia="Arial" w:hAnsi="Arial"/>
          <w:sz w:val="17"/>
          <w:szCs w:val="17"/>
          <w:color w:val="auto"/>
        </w:rPr>
        <w:t xml:space="preserve"> equity awards and annual cash incentive awards being deemed not earned in full or part</w:t>
      </w:r>
    </w:p>
    <w:p>
      <w:pPr>
        <w:spacing w:after="0" w:line="109" w:lineRule="exact"/>
        <w:rPr>
          <w:rFonts w:ascii="MS PGothic" w:cs="MS PGothic" w:eastAsia="MS PGothic" w:hAnsi="MS PGothic"/>
          <w:sz w:val="17"/>
          <w:szCs w:val="17"/>
          <w:color w:val="0171B9"/>
        </w:rPr>
      </w:pPr>
    </w:p>
    <w:p>
      <w:pPr>
        <w:jc w:val="both"/>
        <w:ind w:left="440" w:hanging="324"/>
        <w:spacing w:after="0" w:line="238" w:lineRule="auto"/>
        <w:tabs>
          <w:tab w:leader="none" w:pos="440" w:val="left"/>
        </w:tabs>
        <w:numPr>
          <w:ilvl w:val="0"/>
          <w:numId w:val="16"/>
        </w:numPr>
        <w:rPr>
          <w:rFonts w:ascii="MS PGothic" w:cs="MS PGothic" w:eastAsia="MS PGothic" w:hAnsi="MS PGothic"/>
          <w:sz w:val="17"/>
          <w:szCs w:val="17"/>
          <w:color w:val="0171B9"/>
        </w:rPr>
      </w:pPr>
      <w:r>
        <w:rPr>
          <w:rFonts w:ascii="Arial" w:cs="Arial" w:eastAsia="Arial" w:hAnsi="Arial"/>
          <w:sz w:val="17"/>
          <w:szCs w:val="17"/>
          <w:color w:val="auto"/>
        </w:rPr>
        <w:t>Clawback policy tied to financial restatement and misconduct that permits recapture of past cash or long-term incentive equity award payouts</w:t>
      </w:r>
    </w:p>
    <w:p>
      <w:pPr>
        <w:spacing w:after="0" w:line="106" w:lineRule="exact"/>
        <w:rPr>
          <w:rFonts w:ascii="MS PGothic" w:cs="MS PGothic" w:eastAsia="MS PGothic" w:hAnsi="MS PGothic"/>
          <w:sz w:val="17"/>
          <w:szCs w:val="17"/>
          <w:color w:val="0171B9"/>
        </w:rPr>
      </w:pPr>
    </w:p>
    <w:p>
      <w:pPr>
        <w:ind w:left="440" w:right="20" w:hanging="324"/>
        <w:spacing w:after="0" w:line="243" w:lineRule="auto"/>
        <w:tabs>
          <w:tab w:leader="none" w:pos="440" w:val="left"/>
        </w:tabs>
        <w:numPr>
          <w:ilvl w:val="0"/>
          <w:numId w:val="16"/>
        </w:numPr>
        <w:rPr>
          <w:rFonts w:ascii="MS PGothic" w:cs="MS PGothic" w:eastAsia="MS PGothic" w:hAnsi="MS PGothic"/>
          <w:sz w:val="17"/>
          <w:szCs w:val="17"/>
          <w:color w:val="0171B9"/>
        </w:rPr>
      </w:pPr>
      <w:r>
        <w:rPr>
          <w:rFonts w:ascii="Arial" w:cs="Arial" w:eastAsia="Arial" w:hAnsi="Arial"/>
          <w:sz w:val="17"/>
          <w:szCs w:val="17"/>
          <w:color w:val="auto"/>
        </w:rPr>
        <w:t>Robust stock ownership (6x for Chief Executive Officer) and retention guidelines</w:t>
      </w:r>
    </w:p>
    <w:p>
      <w:pPr>
        <w:spacing w:after="0" w:line="103" w:lineRule="exact"/>
        <w:rPr>
          <w:rFonts w:ascii="MS PGothic" w:cs="MS PGothic" w:eastAsia="MS PGothic" w:hAnsi="MS PGothic"/>
          <w:sz w:val="17"/>
          <w:szCs w:val="17"/>
          <w:color w:val="0171B9"/>
        </w:rPr>
      </w:pPr>
    </w:p>
    <w:p>
      <w:pPr>
        <w:jc w:val="both"/>
        <w:ind w:left="440" w:right="20" w:hanging="324"/>
        <w:spacing w:after="0" w:line="238" w:lineRule="auto"/>
        <w:tabs>
          <w:tab w:leader="none" w:pos="440" w:val="left"/>
        </w:tabs>
        <w:numPr>
          <w:ilvl w:val="0"/>
          <w:numId w:val="16"/>
        </w:numPr>
        <w:rPr>
          <w:rFonts w:ascii="MS PGothic" w:cs="MS PGothic" w:eastAsia="MS PGothic" w:hAnsi="MS PGothic"/>
          <w:sz w:val="17"/>
          <w:szCs w:val="17"/>
          <w:color w:val="0171B9"/>
        </w:rPr>
      </w:pPr>
      <w:r>
        <w:rPr>
          <w:rFonts w:ascii="Arial" w:cs="Arial" w:eastAsia="Arial" w:hAnsi="Arial"/>
          <w:sz w:val="17"/>
          <w:szCs w:val="17"/>
          <w:color w:val="auto"/>
        </w:rPr>
        <w:t>Minimum vesting periods of one year, with most equity grants vesting over four years (with no vesting in the first year and vesting in three approximately equal installments thereafter)</w:t>
      </w:r>
    </w:p>
    <w:p>
      <w:pPr>
        <w:spacing w:after="0" w:line="106" w:lineRule="exact"/>
        <w:rPr>
          <w:rFonts w:ascii="MS PGothic" w:cs="MS PGothic" w:eastAsia="MS PGothic" w:hAnsi="MS PGothic"/>
          <w:sz w:val="17"/>
          <w:szCs w:val="17"/>
          <w:color w:val="0171B9"/>
        </w:rPr>
      </w:pPr>
    </w:p>
    <w:p>
      <w:pPr>
        <w:ind w:left="440" w:right="20" w:hanging="324"/>
        <w:spacing w:after="0" w:line="243" w:lineRule="auto"/>
        <w:tabs>
          <w:tab w:leader="none" w:pos="440" w:val="left"/>
        </w:tabs>
        <w:numPr>
          <w:ilvl w:val="0"/>
          <w:numId w:val="16"/>
        </w:numPr>
        <w:rPr>
          <w:rFonts w:ascii="MS PGothic" w:cs="MS PGothic" w:eastAsia="MS PGothic" w:hAnsi="MS PGothic"/>
          <w:sz w:val="17"/>
          <w:szCs w:val="17"/>
          <w:color w:val="0171B9"/>
        </w:rPr>
      </w:pPr>
      <w:r>
        <w:rPr>
          <w:rFonts w:ascii="Arial" w:cs="Arial" w:eastAsia="Arial" w:hAnsi="Arial"/>
          <w:sz w:val="17"/>
          <w:szCs w:val="17"/>
          <w:color w:val="auto"/>
        </w:rPr>
        <w:t>We use market median values as the reference point for compensation at all job levels, including our NEOs</w:t>
      </w:r>
    </w:p>
    <w:p>
      <w:pPr>
        <w:spacing w:after="0" w:line="103" w:lineRule="exact"/>
        <w:rPr>
          <w:rFonts w:ascii="MS PGothic" w:cs="MS PGothic" w:eastAsia="MS PGothic" w:hAnsi="MS PGothic"/>
          <w:sz w:val="17"/>
          <w:szCs w:val="17"/>
          <w:color w:val="0171B9"/>
        </w:rPr>
      </w:pPr>
    </w:p>
    <w:p>
      <w:pPr>
        <w:ind w:left="440" w:hanging="324"/>
        <w:spacing w:after="0"/>
        <w:tabs>
          <w:tab w:leader="none" w:pos="440" w:val="left"/>
        </w:tabs>
        <w:numPr>
          <w:ilvl w:val="0"/>
          <w:numId w:val="16"/>
        </w:numPr>
        <w:rPr>
          <w:rFonts w:ascii="MS PGothic" w:cs="MS PGothic" w:eastAsia="MS PGothic" w:hAnsi="MS PGothic"/>
          <w:sz w:val="17"/>
          <w:szCs w:val="17"/>
          <w:color w:val="0171B9"/>
        </w:rPr>
      </w:pPr>
      <w:r>
        <w:rPr>
          <w:rFonts w:ascii="Arial" w:cs="Arial" w:eastAsia="Arial" w:hAnsi="Arial"/>
          <w:sz w:val="17"/>
          <w:szCs w:val="17"/>
          <w:color w:val="auto"/>
        </w:rPr>
        <w:t>Independent compensation consultant</w:t>
      </w:r>
    </w:p>
    <w:p>
      <w:pPr>
        <w:spacing w:after="0" w:line="142" w:lineRule="exact"/>
        <w:rPr>
          <w:rFonts w:ascii="MS PGothic" w:cs="MS PGothic" w:eastAsia="MS PGothic" w:hAnsi="MS PGothic"/>
          <w:sz w:val="17"/>
          <w:szCs w:val="17"/>
          <w:color w:val="0171B9"/>
        </w:rPr>
      </w:pPr>
    </w:p>
    <w:p>
      <w:pPr>
        <w:ind w:left="440" w:hanging="324"/>
        <w:spacing w:after="0"/>
        <w:tabs>
          <w:tab w:leader="none" w:pos="440" w:val="left"/>
        </w:tabs>
        <w:numPr>
          <w:ilvl w:val="0"/>
          <w:numId w:val="16"/>
        </w:numPr>
        <w:rPr>
          <w:rFonts w:ascii="MS PGothic" w:cs="MS PGothic" w:eastAsia="MS PGothic" w:hAnsi="MS PGothic"/>
          <w:sz w:val="17"/>
          <w:szCs w:val="17"/>
          <w:color w:val="0171B9"/>
        </w:rPr>
      </w:pPr>
      <w:r>
        <w:rPr>
          <w:rFonts w:ascii="Arial" w:cs="Arial" w:eastAsia="Arial" w:hAnsi="Arial"/>
          <w:sz w:val="17"/>
          <w:szCs w:val="17"/>
          <w:color w:val="auto"/>
        </w:rPr>
        <w:t>Amgen Values overlay our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-3359785</wp:posOffset>
            </wp:positionV>
            <wp:extent cx="33515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ind w:left="286" w:hanging="286"/>
        <w:spacing w:after="0" w:line="206" w:lineRule="auto"/>
        <w:tabs>
          <w:tab w:leader="none" w:pos="286" w:val="left"/>
        </w:tabs>
        <w:numPr>
          <w:ilvl w:val="0"/>
          <w:numId w:val="17"/>
        </w:numPr>
        <w:rPr>
          <w:rFonts w:ascii="Arial" w:cs="Arial" w:eastAsia="Arial" w:hAnsi="Arial"/>
          <w:sz w:val="46"/>
          <w:szCs w:val="46"/>
          <w:b w:val="1"/>
          <w:bCs w:val="1"/>
          <w:color w:val="0171B9"/>
          <w:vertAlign w:val="subscript"/>
        </w:rPr>
      </w:pPr>
      <w:r>
        <w:rPr>
          <w:rFonts w:ascii="Arial" w:cs="Arial" w:eastAsia="Arial" w:hAnsi="Arial"/>
          <w:sz w:val="16"/>
          <w:szCs w:val="16"/>
          <w:color w:val="auto"/>
        </w:rPr>
        <w:t>No alterations to our established goals to respond to changing business conditions (for example, we have not made any changes to established goals in response to the occurrence or challenges of the pandemic)</w:t>
      </w:r>
    </w:p>
    <w:p>
      <w:pPr>
        <w:spacing w:after="0" w:line="1" w:lineRule="exact"/>
        <w:rPr>
          <w:rFonts w:ascii="Arial" w:cs="Arial" w:eastAsia="Arial" w:hAnsi="Arial"/>
          <w:sz w:val="46"/>
          <w:szCs w:val="46"/>
          <w:b w:val="1"/>
          <w:bCs w:val="1"/>
          <w:color w:val="0171B9"/>
          <w:vertAlign w:val="subscript"/>
        </w:rPr>
      </w:pPr>
    </w:p>
    <w:p>
      <w:pPr>
        <w:ind w:left="286" w:hanging="286"/>
        <w:spacing w:after="0" w:line="180" w:lineRule="auto"/>
        <w:tabs>
          <w:tab w:leader="none" w:pos="286" w:val="left"/>
        </w:tabs>
        <w:numPr>
          <w:ilvl w:val="0"/>
          <w:numId w:val="17"/>
        </w:numPr>
        <w:rPr>
          <w:rFonts w:ascii="Arial" w:cs="Arial" w:eastAsia="Arial" w:hAnsi="Arial"/>
          <w:sz w:val="36"/>
          <w:szCs w:val="36"/>
          <w:b w:val="1"/>
          <w:bCs w:val="1"/>
          <w:color w:val="0171B9"/>
          <w:vertAlign w:val="subscript"/>
        </w:rPr>
      </w:pPr>
      <w:r>
        <w:rPr>
          <w:rFonts w:ascii="Arial" w:cs="Arial" w:eastAsia="Arial" w:hAnsi="Arial"/>
          <w:sz w:val="15"/>
          <w:szCs w:val="15"/>
          <w:color w:val="auto"/>
        </w:rPr>
        <w:t>No hedging or pledging</w:t>
      </w:r>
    </w:p>
    <w:p>
      <w:pPr>
        <w:spacing w:after="0" w:line="107" w:lineRule="exact"/>
        <w:rPr>
          <w:rFonts w:ascii="Arial" w:cs="Arial" w:eastAsia="Arial" w:hAnsi="Arial"/>
          <w:sz w:val="36"/>
          <w:szCs w:val="36"/>
          <w:b w:val="1"/>
          <w:bCs w:val="1"/>
          <w:color w:val="0171B9"/>
          <w:vertAlign w:val="subscript"/>
        </w:rPr>
      </w:pPr>
    </w:p>
    <w:p>
      <w:pPr>
        <w:ind w:left="286" w:hanging="286"/>
        <w:spacing w:after="0" w:line="180" w:lineRule="auto"/>
        <w:tabs>
          <w:tab w:leader="none" w:pos="286" w:val="left"/>
        </w:tabs>
        <w:numPr>
          <w:ilvl w:val="0"/>
          <w:numId w:val="17"/>
        </w:numPr>
        <w:rPr>
          <w:rFonts w:ascii="Arial" w:cs="Arial" w:eastAsia="Arial" w:hAnsi="Arial"/>
          <w:sz w:val="36"/>
          <w:szCs w:val="36"/>
          <w:b w:val="1"/>
          <w:bCs w:val="1"/>
          <w:color w:val="0171B9"/>
          <w:vertAlign w:val="subscript"/>
        </w:rPr>
      </w:pPr>
      <w:r>
        <w:rPr>
          <w:rFonts w:ascii="Arial" w:cs="Arial" w:eastAsia="Arial" w:hAnsi="Arial"/>
          <w:sz w:val="15"/>
          <w:szCs w:val="15"/>
          <w:color w:val="auto"/>
        </w:rPr>
        <w:t>No re-pricing or backdating</w:t>
      </w:r>
    </w:p>
    <w:p>
      <w:pPr>
        <w:spacing w:after="0" w:line="108" w:lineRule="exact"/>
        <w:rPr>
          <w:rFonts w:ascii="Arial" w:cs="Arial" w:eastAsia="Arial" w:hAnsi="Arial"/>
          <w:sz w:val="36"/>
          <w:szCs w:val="36"/>
          <w:b w:val="1"/>
          <w:bCs w:val="1"/>
          <w:color w:val="0171B9"/>
          <w:vertAlign w:val="subscript"/>
        </w:rPr>
      </w:pPr>
    </w:p>
    <w:p>
      <w:pPr>
        <w:ind w:left="286" w:hanging="286"/>
        <w:spacing w:after="0" w:line="180" w:lineRule="auto"/>
        <w:tabs>
          <w:tab w:leader="none" w:pos="286" w:val="left"/>
        </w:tabs>
        <w:numPr>
          <w:ilvl w:val="0"/>
          <w:numId w:val="17"/>
        </w:numPr>
        <w:rPr>
          <w:rFonts w:ascii="Arial" w:cs="Arial" w:eastAsia="Arial" w:hAnsi="Arial"/>
          <w:sz w:val="36"/>
          <w:szCs w:val="36"/>
          <w:b w:val="1"/>
          <w:bCs w:val="1"/>
          <w:color w:val="0171B9"/>
          <w:vertAlign w:val="subscript"/>
        </w:rPr>
      </w:pPr>
      <w:r>
        <w:rPr>
          <w:rFonts w:ascii="Arial" w:cs="Arial" w:eastAsia="Arial" w:hAnsi="Arial"/>
          <w:sz w:val="15"/>
          <w:szCs w:val="15"/>
          <w:color w:val="auto"/>
        </w:rPr>
        <w:t>No tax gross-ups (except in connection with relocation)</w:t>
      </w:r>
    </w:p>
    <w:p>
      <w:pPr>
        <w:spacing w:after="0" w:line="214" w:lineRule="exact"/>
        <w:rPr>
          <w:rFonts w:ascii="Arial" w:cs="Arial" w:eastAsia="Arial" w:hAnsi="Arial"/>
          <w:sz w:val="36"/>
          <w:szCs w:val="36"/>
          <w:b w:val="1"/>
          <w:bCs w:val="1"/>
          <w:color w:val="0171B9"/>
          <w:vertAlign w:val="subscript"/>
        </w:rPr>
      </w:pPr>
    </w:p>
    <w:p>
      <w:pPr>
        <w:ind w:left="286" w:hanging="286"/>
        <w:spacing w:after="0" w:line="182" w:lineRule="auto"/>
        <w:tabs>
          <w:tab w:leader="none" w:pos="286" w:val="left"/>
        </w:tabs>
        <w:numPr>
          <w:ilvl w:val="0"/>
          <w:numId w:val="17"/>
        </w:numPr>
        <w:rPr>
          <w:rFonts w:ascii="Arial" w:cs="Arial" w:eastAsia="Arial" w:hAnsi="Arial"/>
          <w:sz w:val="31"/>
          <w:szCs w:val="31"/>
          <w:b w:val="1"/>
          <w:bCs w:val="1"/>
          <w:color w:val="0171B9"/>
          <w:vertAlign w:val="subscript"/>
        </w:rPr>
      </w:pPr>
      <w:r>
        <w:rPr>
          <w:rFonts w:ascii="Arial" w:cs="Arial" w:eastAsia="Arial" w:hAnsi="Arial"/>
          <w:sz w:val="14"/>
          <w:szCs w:val="14"/>
          <w:color w:val="auto"/>
        </w:rPr>
        <w:t>No single-trigger for stock options and restricted stock units in the event of a change of control</w:t>
      </w:r>
    </w:p>
    <w:p>
      <w:pPr>
        <w:spacing w:after="0" w:line="1" w:lineRule="exact"/>
        <w:rPr>
          <w:rFonts w:ascii="Arial" w:cs="Arial" w:eastAsia="Arial" w:hAnsi="Arial"/>
          <w:sz w:val="31"/>
          <w:szCs w:val="31"/>
          <w:b w:val="1"/>
          <w:bCs w:val="1"/>
          <w:color w:val="0171B9"/>
          <w:vertAlign w:val="subscript"/>
        </w:rPr>
      </w:pPr>
    </w:p>
    <w:p>
      <w:pPr>
        <w:ind w:left="286" w:hanging="286"/>
        <w:spacing w:after="0" w:line="180" w:lineRule="auto"/>
        <w:tabs>
          <w:tab w:leader="none" w:pos="286" w:val="left"/>
        </w:tabs>
        <w:numPr>
          <w:ilvl w:val="0"/>
          <w:numId w:val="17"/>
        </w:numPr>
        <w:rPr>
          <w:rFonts w:ascii="Arial" w:cs="Arial" w:eastAsia="Arial" w:hAnsi="Arial"/>
          <w:sz w:val="36"/>
          <w:szCs w:val="36"/>
          <w:b w:val="1"/>
          <w:bCs w:val="1"/>
          <w:color w:val="0171B9"/>
          <w:vertAlign w:val="subscript"/>
        </w:rPr>
      </w:pPr>
      <w:r>
        <w:rPr>
          <w:rFonts w:ascii="Arial" w:cs="Arial" w:eastAsia="Arial" w:hAnsi="Arial"/>
          <w:sz w:val="15"/>
          <w:szCs w:val="15"/>
          <w:color w:val="auto"/>
        </w:rPr>
        <w:t>No excessive perks</w:t>
      </w:r>
    </w:p>
    <w:p>
      <w:pPr>
        <w:spacing w:after="0" w:line="107" w:lineRule="exact"/>
        <w:rPr>
          <w:rFonts w:ascii="Arial" w:cs="Arial" w:eastAsia="Arial" w:hAnsi="Arial"/>
          <w:sz w:val="36"/>
          <w:szCs w:val="36"/>
          <w:b w:val="1"/>
          <w:bCs w:val="1"/>
          <w:color w:val="0171B9"/>
          <w:vertAlign w:val="subscript"/>
        </w:rPr>
      </w:pPr>
    </w:p>
    <w:p>
      <w:pPr>
        <w:ind w:left="286" w:hanging="286"/>
        <w:spacing w:after="0" w:line="180" w:lineRule="auto"/>
        <w:tabs>
          <w:tab w:leader="none" w:pos="286" w:val="left"/>
        </w:tabs>
        <w:numPr>
          <w:ilvl w:val="0"/>
          <w:numId w:val="17"/>
        </w:numPr>
        <w:rPr>
          <w:rFonts w:ascii="Arial" w:cs="Arial" w:eastAsia="Arial" w:hAnsi="Arial"/>
          <w:sz w:val="36"/>
          <w:szCs w:val="36"/>
          <w:b w:val="1"/>
          <w:bCs w:val="1"/>
          <w:color w:val="0171B9"/>
          <w:vertAlign w:val="subscript"/>
        </w:rPr>
      </w:pPr>
      <w:r>
        <w:rPr>
          <w:rFonts w:ascii="Arial" w:cs="Arial" w:eastAsia="Arial" w:hAnsi="Arial"/>
          <w:sz w:val="15"/>
          <w:szCs w:val="15"/>
          <w:color w:val="auto"/>
        </w:rPr>
        <w:t>No employment agreements</w:t>
      </w:r>
    </w:p>
    <w:p>
      <w:pPr>
        <w:spacing w:after="0" w:line="108" w:lineRule="exact"/>
        <w:rPr>
          <w:rFonts w:ascii="Arial" w:cs="Arial" w:eastAsia="Arial" w:hAnsi="Arial"/>
          <w:sz w:val="36"/>
          <w:szCs w:val="36"/>
          <w:b w:val="1"/>
          <w:bCs w:val="1"/>
          <w:color w:val="0171B9"/>
          <w:vertAlign w:val="subscript"/>
        </w:rPr>
      </w:pPr>
    </w:p>
    <w:p>
      <w:pPr>
        <w:ind w:left="286" w:hanging="286"/>
        <w:spacing w:after="0" w:line="180" w:lineRule="auto"/>
        <w:tabs>
          <w:tab w:leader="none" w:pos="286" w:val="left"/>
        </w:tabs>
        <w:numPr>
          <w:ilvl w:val="0"/>
          <w:numId w:val="17"/>
        </w:numPr>
        <w:rPr>
          <w:rFonts w:ascii="Arial" w:cs="Arial" w:eastAsia="Arial" w:hAnsi="Arial"/>
          <w:sz w:val="36"/>
          <w:szCs w:val="36"/>
          <w:b w:val="1"/>
          <w:bCs w:val="1"/>
          <w:color w:val="0171B9"/>
          <w:vertAlign w:val="subscript"/>
        </w:rPr>
      </w:pPr>
      <w:r>
        <w:rPr>
          <w:rFonts w:ascii="Arial" w:cs="Arial" w:eastAsia="Arial" w:hAnsi="Arial"/>
          <w:sz w:val="15"/>
          <w:szCs w:val="15"/>
          <w:color w:val="auto"/>
        </w:rPr>
        <w:t>No dividends paid on unvested equity</w:t>
      </w:r>
    </w:p>
    <w:p>
      <w:pPr>
        <w:spacing w:after="0" w:line="214" w:lineRule="exact"/>
        <w:rPr>
          <w:rFonts w:ascii="Arial" w:cs="Arial" w:eastAsia="Arial" w:hAnsi="Arial"/>
          <w:sz w:val="36"/>
          <w:szCs w:val="36"/>
          <w:b w:val="1"/>
          <w:bCs w:val="1"/>
          <w:color w:val="0171B9"/>
          <w:vertAlign w:val="subscript"/>
        </w:rPr>
      </w:pPr>
    </w:p>
    <w:p>
      <w:pPr>
        <w:ind w:left="286" w:hanging="286"/>
        <w:spacing w:after="0" w:line="182" w:lineRule="auto"/>
        <w:tabs>
          <w:tab w:leader="none" w:pos="286" w:val="left"/>
        </w:tabs>
        <w:numPr>
          <w:ilvl w:val="0"/>
          <w:numId w:val="17"/>
        </w:numPr>
        <w:rPr>
          <w:rFonts w:ascii="Arial" w:cs="Arial" w:eastAsia="Arial" w:hAnsi="Arial"/>
          <w:sz w:val="31"/>
          <w:szCs w:val="31"/>
          <w:b w:val="1"/>
          <w:bCs w:val="1"/>
          <w:color w:val="0171B9"/>
          <w:vertAlign w:val="subscript"/>
        </w:rPr>
      </w:pPr>
      <w:r>
        <w:rPr>
          <w:rFonts w:ascii="Arial" w:cs="Arial" w:eastAsia="Arial" w:hAnsi="Arial"/>
          <w:sz w:val="14"/>
          <w:szCs w:val="14"/>
          <w:color w:val="auto"/>
        </w:rPr>
        <w:t>No defined benefit pension or supplemental executive retirement plan (SERP)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980440</wp:posOffset>
            </wp:positionV>
            <wp:extent cx="56578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-2799080</wp:posOffset>
            </wp:positionV>
            <wp:extent cx="34201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083" w:lineRule="exact"/>
        <w:rPr>
          <w:sz w:val="20"/>
          <w:szCs w:val="20"/>
          <w:color w:val="auto"/>
        </w:rPr>
      </w:pPr>
    </w:p>
    <w:p>
      <w:pPr>
        <w:sectPr>
          <w:pgSz w:w="11900" w:h="16838" w:orient="portrait"/>
          <w:cols w:equalWidth="0" w:num="2">
            <w:col w:w="5400" w:space="334"/>
            <w:col w:w="5386"/>
          </w:cols>
          <w:pgMar w:left="320" w:top="486" w:right="45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jc w:val="center"/>
        <w:ind w:left="1840"/>
        <w:spacing w:after="0" w:line="257" w:lineRule="auto"/>
        <w:rPr>
          <w:sz w:val="20"/>
          <w:szCs w:val="20"/>
          <w:color w:val="auto"/>
        </w:rPr>
      </w:pPr>
      <w:r>
        <w:rPr>
          <w:rFonts w:ascii="Arial" w:cs="Arial" w:eastAsia="Arial" w:hAnsi="Arial"/>
          <w:sz w:val="21"/>
          <w:szCs w:val="21"/>
          <w:b w:val="1"/>
          <w:bCs w:val="1"/>
          <w:i w:val="1"/>
          <w:iCs w:val="1"/>
          <w:color w:val="0171B9"/>
        </w:rPr>
        <w:t>THE BOARD OF DIRECTORS RECOMMENDS A VOTE “FOR” THE APPROVAL OF THE ADVISORY RESOLUTION TO APPROVE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70485</wp:posOffset>
            </wp:positionV>
            <wp:extent cx="56578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164465</wp:posOffset>
            </wp:positionV>
            <wp:extent cx="7715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17"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Forfeiture and cancellation applies to any unvested or unexercised portion of any stock options granted after December 31, 2020.</w:t>
      </w:r>
    </w:p>
    <w:p>
      <w:pPr>
        <w:spacing w:after="0" w:line="117" w:lineRule="exact"/>
        <w:rPr>
          <w:sz w:val="20"/>
          <w:szCs w:val="20"/>
          <w:color w:val="auto"/>
        </w:rPr>
      </w:pPr>
    </w:p>
    <w:p>
      <w:pPr>
        <w:ind w:left="120"/>
        <w:spacing w:after="0"/>
        <w:tabs>
          <w:tab w:leader="none" w:pos="487" w:val="left"/>
        </w:tabs>
        <w:rPr>
          <w:sz w:val="20"/>
          <w:szCs w:val="20"/>
          <w:color w:val="auto"/>
        </w:rPr>
      </w:pPr>
      <w:r>
        <w:rPr>
          <w:rFonts w:ascii="Arial" w:cs="Arial" w:eastAsia="Arial" w:hAnsi="Arial"/>
          <w:sz w:val="20"/>
          <w:szCs w:val="20"/>
          <w:b w:val="1"/>
          <w:bCs w:val="1"/>
          <w:color w:val="474747"/>
        </w:rPr>
        <w:t>6</w:t>
      </w:r>
      <w:r>
        <w:rPr>
          <w:sz w:val="20"/>
          <w:szCs w:val="20"/>
          <w:color w:val="auto"/>
        </w:rPr>
        <w:tab/>
      </w:r>
      <w:r>
        <w:rPr>
          <w:sz w:val="1"/>
          <w:szCs w:val="1"/>
          <w:color w:val="auto"/>
        </w:rPr>
        <w:drawing>
          <wp:inline distT="0" distB="0" distL="0" distR="0">
            <wp:extent cx="582930" cy="1371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20"/>
          </w:cols>
          <w:pgMar w:left="320" w:top="486" w:right="4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205740</wp:posOffset>
            </wp:positionV>
            <wp:extent cx="1877060" cy="214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77060" cy="214630"/>
                    </a:xfrm>
                    <a:prstGeom prst="rect">
                      <a:avLst/>
                    </a:prstGeom>
                    <a:noFill/>
                  </pic:spPr>
                </pic:pic>
              </a:graphicData>
            </a:graphic>
          </wp:anchor>
        </w:drawing>
      </w:r>
    </w:p>
    <w:p>
      <w:pPr>
        <w:spacing w:after="0" w:line="312" w:lineRule="exact"/>
        <w:rPr>
          <w:sz w:val="20"/>
          <w:szCs w:val="20"/>
          <w:color w:val="auto"/>
        </w:rPr>
      </w:pPr>
    </w:p>
    <w:p>
      <w:pPr>
        <w:ind w:left="8320"/>
        <w:spacing w:after="0"/>
        <w:rPr>
          <w:sz w:val="20"/>
          <w:szCs w:val="20"/>
          <w:color w:val="auto"/>
        </w:rPr>
      </w:pPr>
      <w:r>
        <w:rPr>
          <w:rFonts w:ascii="Arial" w:cs="Arial" w:eastAsia="Arial" w:hAnsi="Arial"/>
          <w:sz w:val="22"/>
          <w:szCs w:val="22"/>
          <w:b w:val="1"/>
          <w:bCs w:val="1"/>
          <w:color w:val="FFFFFF"/>
        </w:rPr>
        <w:t>Proxy Statement Summary</w:t>
      </w:r>
    </w:p>
    <w:p>
      <w:pPr>
        <w:spacing w:after="0" w:line="326" w:lineRule="exact"/>
        <w:rPr>
          <w:sz w:val="20"/>
          <w:szCs w:val="20"/>
          <w:color w:val="auto"/>
        </w:rPr>
      </w:pPr>
    </w:p>
    <w:p>
      <w:pPr>
        <w:ind w:left="120" w:right="1020"/>
        <w:spacing w:after="0" w:line="280" w:lineRule="auto"/>
        <w:rPr>
          <w:sz w:val="20"/>
          <w:szCs w:val="20"/>
          <w:color w:val="auto"/>
        </w:rPr>
      </w:pPr>
      <w:r>
        <w:rPr>
          <w:rFonts w:ascii="Arial" w:cs="Arial" w:eastAsia="Arial" w:hAnsi="Arial"/>
          <w:sz w:val="36"/>
          <w:szCs w:val="36"/>
          <w:b w:val="1"/>
          <w:bCs w:val="1"/>
          <w:color w:val="0171B9"/>
        </w:rPr>
        <w:t>Item 4: Ratification of Selection of Independent Registered Public Accountants (Page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4" w:lineRule="exact"/>
        <w:rPr>
          <w:sz w:val="20"/>
          <w:szCs w:val="20"/>
          <w:color w:val="auto"/>
        </w:rPr>
      </w:pPr>
    </w:p>
    <w:p>
      <w:pPr>
        <w:ind w:left="440" w:right="20" w:hanging="324"/>
        <w:spacing w:after="0" w:line="243" w:lineRule="auto"/>
        <w:tabs>
          <w:tab w:leader="none" w:pos="440" w:val="left"/>
        </w:tabs>
        <w:numPr>
          <w:ilvl w:val="0"/>
          <w:numId w:val="19"/>
        </w:numPr>
        <w:rPr>
          <w:rFonts w:ascii="Arial" w:cs="Arial" w:eastAsia="Arial" w:hAnsi="Arial"/>
          <w:sz w:val="17"/>
          <w:szCs w:val="17"/>
          <w:color w:val="0171B9"/>
        </w:rPr>
      </w:pPr>
      <w:r>
        <w:rPr>
          <w:rFonts w:ascii="Arial" w:cs="Arial" w:eastAsia="Arial" w:hAnsi="Arial"/>
          <w:sz w:val="17"/>
          <w:szCs w:val="17"/>
          <w:color w:val="auto"/>
        </w:rPr>
        <w:t>Each year, the Audit Committee evaluates the qualifications and performance of the Company’s independent registered public accountants and determines whether to re-engage the current independent registered public accountants.</w:t>
      </w:r>
    </w:p>
    <w:p>
      <w:pPr>
        <w:spacing w:after="0" w:line="103" w:lineRule="exact"/>
        <w:rPr>
          <w:rFonts w:ascii="Arial" w:cs="Arial" w:eastAsia="Arial" w:hAnsi="Arial"/>
          <w:sz w:val="17"/>
          <w:szCs w:val="17"/>
          <w:color w:val="0171B9"/>
        </w:rPr>
      </w:pPr>
    </w:p>
    <w:p>
      <w:pPr>
        <w:ind w:left="440" w:right="20" w:hanging="324"/>
        <w:spacing w:after="0" w:line="243" w:lineRule="auto"/>
        <w:tabs>
          <w:tab w:leader="none" w:pos="440" w:val="left"/>
        </w:tabs>
        <w:numPr>
          <w:ilvl w:val="0"/>
          <w:numId w:val="19"/>
        </w:numPr>
        <w:rPr>
          <w:rFonts w:ascii="Arial" w:cs="Arial" w:eastAsia="Arial" w:hAnsi="Arial"/>
          <w:sz w:val="17"/>
          <w:szCs w:val="17"/>
          <w:color w:val="0171B9"/>
        </w:rPr>
      </w:pPr>
      <w:r>
        <w:rPr>
          <w:rFonts w:ascii="Arial" w:cs="Arial" w:eastAsia="Arial" w:hAnsi="Arial"/>
          <w:sz w:val="17"/>
          <w:szCs w:val="17"/>
          <w:color w:val="auto"/>
        </w:rPr>
        <w:t>Based on this evaluation, the Audit Committee believes that the continued retention of Ernst &amp; Young LLP, or EY, is in the best interests of the Company and its stockholders.</w:t>
      </w:r>
    </w:p>
    <w:p>
      <w:pPr>
        <w:spacing w:after="0" w:line="103" w:lineRule="exact"/>
        <w:rPr>
          <w:rFonts w:ascii="Arial" w:cs="Arial" w:eastAsia="Arial" w:hAnsi="Arial"/>
          <w:sz w:val="17"/>
          <w:szCs w:val="17"/>
          <w:color w:val="0171B9"/>
        </w:rPr>
      </w:pPr>
    </w:p>
    <w:p>
      <w:pPr>
        <w:ind w:left="440" w:right="20" w:hanging="324"/>
        <w:spacing w:after="0" w:line="243" w:lineRule="auto"/>
        <w:tabs>
          <w:tab w:leader="none" w:pos="440" w:val="left"/>
        </w:tabs>
        <w:numPr>
          <w:ilvl w:val="0"/>
          <w:numId w:val="19"/>
        </w:numPr>
        <w:rPr>
          <w:rFonts w:ascii="Arial" w:cs="Arial" w:eastAsia="Arial" w:hAnsi="Arial"/>
          <w:sz w:val="17"/>
          <w:szCs w:val="17"/>
          <w:color w:val="0171B9"/>
        </w:rPr>
      </w:pPr>
      <w:r>
        <w:rPr>
          <w:rFonts w:ascii="Arial" w:cs="Arial" w:eastAsia="Arial" w:hAnsi="Arial"/>
          <w:sz w:val="17"/>
          <w:szCs w:val="17"/>
          <w:color w:val="auto"/>
        </w:rPr>
        <w:t>The Audit Committee of the Board has selected EY as our independent registered public accountants for the fiscal year ending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146685</wp:posOffset>
            </wp:positionV>
            <wp:extent cx="56578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24" w:lineRule="exact"/>
        <w:rPr>
          <w:sz w:val="20"/>
          <w:szCs w:val="20"/>
          <w:color w:val="auto"/>
        </w:rPr>
      </w:pPr>
    </w:p>
    <w:p>
      <w:pPr>
        <w:jc w:val="center"/>
        <w:ind w:right="-339"/>
        <w:spacing w:after="0"/>
        <w:rPr>
          <w:sz w:val="20"/>
          <w:szCs w:val="20"/>
          <w:color w:val="auto"/>
        </w:rPr>
      </w:pPr>
      <w:r>
        <w:rPr>
          <w:rFonts w:ascii="Arial" w:cs="Arial" w:eastAsia="Arial" w:hAnsi="Arial"/>
          <w:sz w:val="21"/>
          <w:szCs w:val="21"/>
          <w:b w:val="1"/>
          <w:bCs w:val="1"/>
          <w:i w:val="1"/>
          <w:iCs w:val="1"/>
          <w:color w:val="0171B9"/>
        </w:rPr>
        <w:t>THE BOARD OF DIRECTORS RECOMMENDS A VOTE “FOR” RATIFICATION OF OUR</w:t>
      </w:r>
    </w:p>
    <w:p>
      <w:pPr>
        <w:spacing w:after="0" w:line="26" w:lineRule="exact"/>
        <w:rPr>
          <w:sz w:val="20"/>
          <w:szCs w:val="20"/>
          <w:color w:val="auto"/>
        </w:rPr>
      </w:pPr>
    </w:p>
    <w:p>
      <w:pPr>
        <w:jc w:val="center"/>
        <w:ind w:right="-339"/>
        <w:spacing w:after="0"/>
        <w:rPr>
          <w:sz w:val="20"/>
          <w:szCs w:val="20"/>
          <w:color w:val="auto"/>
        </w:rPr>
      </w:pPr>
      <w:r>
        <w:rPr>
          <w:rFonts w:ascii="Arial" w:cs="Arial" w:eastAsia="Arial" w:hAnsi="Arial"/>
          <w:sz w:val="21"/>
          <w:szCs w:val="21"/>
          <w:b w:val="1"/>
          <w:bCs w:val="1"/>
          <w:i w:val="1"/>
          <w:iCs w:val="1"/>
          <w:color w:val="0171B9"/>
        </w:rPr>
        <w:t>INDEPENDENT REGISTERED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85725</wp:posOffset>
            </wp:positionV>
            <wp:extent cx="56578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60"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20"/>
          <w:szCs w:val="20"/>
          <w:b w:val="1"/>
          <w:bCs w:val="1"/>
          <w:color w:val="474747"/>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-162560</wp:posOffset>
            </wp:positionV>
            <wp:extent cx="58293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205740</wp:posOffset>
            </wp:positionV>
            <wp:extent cx="2082800" cy="214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82800" cy="214630"/>
                    </a:xfrm>
                    <a:prstGeom prst="rect">
                      <a:avLst/>
                    </a:prstGeom>
                    <a:noFill/>
                  </pic:spPr>
                </pic:pic>
              </a:graphicData>
            </a:graphic>
          </wp:anchor>
        </w:drawing>
      </w: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rPr>
        <w:t>Item 1 — Election of Directors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Item 1</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44450</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80"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Under our governance documents, the Board of Directors, or Board, has the power to set the number of directors from time to time by resolution. The Board has fixed the authorized number of directors at 13 and we currently have 13 directors serving on our Board. Our Board is composed of directors with a wide range of relevant experiences and backgrounds and considers a number of attributes when seeking new candidates for the Board as discussed more fully below and in the section “Corporate Governance—Process for Selecting Directors, Director Qualifications, and Board Diversity.” Based upon the recommendation of our Governance and Nominating Committee, or Governance Committee, the Board has nominated each of the director nominees set forth below to stand for election as a director, in each case for a one-year term expiring at our 2024 annual meeting of stockholders and until his or her successor is elected and qualified, or until his or her earlier retirement, resignation, disqualification, removal, or death.</w:t>
      </w:r>
    </w:p>
    <w:p>
      <w:pPr>
        <w:spacing w:after="0" w:line="96"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Each nominee has agreed to serve if elected and the Board has no reason to believe that any nominee will be unable to serve. However, if</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any nominee should become unavailable for election prior to the 2023 Annual Meeting of Stockholders, or Annual Meeting, proxies will be voted in favor of the election of a substitute nominee or nominees proposed by the Board or, alternatively, the number of directors may be reduced accordingly by the Board. Vacancies on the Board (including any vacancy created by an increase in the size of the Board) may be filled only by a majority of the directors remaining in office, even if less than a quorum of the Board. A director elected by the Board to fill a vacancy (including a vacancy created by an increase in the size of the Board) will serve until the next annual meeting of stockholders and until such director’s successor is elected and qualified, or until such director’s earlier retirement, resignation, disqualification, removal, or death.</w:t>
      </w:r>
    </w:p>
    <w:p>
      <w:pPr>
        <w:spacing w:after="0" w:line="9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independent members of the Board have elected Robert A. Eckert to continue to serve as our lead independent director, subject to his re-election to the Board by our stockholders at the Annual Meeting. As lead independent director, Mr. Eckert will continue to have the specific and significant duties as discussed under “Corporate Governance.”</w:t>
      </w:r>
    </w:p>
    <w:p>
      <w:pPr>
        <w:spacing w:after="0" w:line="391"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Nominees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25400</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20" w:type="dxa"/>
            <w:vAlign w:val="bottom"/>
            <w:shd w:val="clear" w:color="auto" w:fill="0171B9"/>
          </w:tcPr>
          <w:p>
            <w:pPr>
              <w:spacing w:after="0"/>
              <w:rPr>
                <w:sz w:val="16"/>
                <w:szCs w:val="16"/>
                <w:color w:val="auto"/>
              </w:rPr>
            </w:pPr>
          </w:p>
        </w:tc>
        <w:tc>
          <w:tcPr>
            <w:tcW w:w="1520" w:type="dxa"/>
            <w:vAlign w:val="bottom"/>
            <w:shd w:val="clear" w:color="auto" w:fill="0171B9"/>
          </w:tcPr>
          <w:p>
            <w:pPr>
              <w:spacing w:after="0"/>
              <w:rPr>
                <w:sz w:val="16"/>
                <w:szCs w:val="16"/>
                <w:color w:val="auto"/>
              </w:rPr>
            </w:pPr>
          </w:p>
        </w:tc>
        <w:tc>
          <w:tcPr>
            <w:tcW w:w="1360" w:type="dxa"/>
            <w:vAlign w:val="bottom"/>
            <w:shd w:val="clear" w:color="auto" w:fill="0171B9"/>
          </w:tcPr>
          <w:p>
            <w:pPr>
              <w:spacing w:after="0"/>
              <w:rPr>
                <w:sz w:val="16"/>
                <w:szCs w:val="16"/>
                <w:color w:val="auto"/>
              </w:rPr>
            </w:pPr>
          </w:p>
        </w:tc>
        <w:tc>
          <w:tcPr>
            <w:tcW w:w="560" w:type="dxa"/>
            <w:vAlign w:val="bottom"/>
            <w:shd w:val="clear" w:color="auto" w:fill="0171B9"/>
          </w:tcPr>
          <w:p>
            <w:pPr>
              <w:spacing w:after="0"/>
              <w:rPr>
                <w:sz w:val="16"/>
                <w:szCs w:val="16"/>
                <w:color w:val="auto"/>
              </w:rPr>
            </w:pPr>
          </w:p>
        </w:tc>
        <w:tc>
          <w:tcPr>
            <w:tcW w:w="900" w:type="dxa"/>
            <w:vAlign w:val="bottom"/>
            <w:shd w:val="clear" w:color="auto" w:fill="0171B9"/>
          </w:tcPr>
          <w:p>
            <w:pPr>
              <w:spacing w:after="0"/>
              <w:rPr>
                <w:sz w:val="16"/>
                <w:szCs w:val="16"/>
                <w:color w:val="auto"/>
              </w:rPr>
            </w:pPr>
          </w:p>
        </w:tc>
        <w:tc>
          <w:tcPr>
            <w:tcW w:w="680" w:type="dxa"/>
            <w:vAlign w:val="bottom"/>
            <w:shd w:val="clear" w:color="auto" w:fill="0171B9"/>
          </w:tcPr>
          <w:p>
            <w:pPr>
              <w:spacing w:after="0"/>
              <w:rPr>
                <w:sz w:val="16"/>
                <w:szCs w:val="16"/>
                <w:color w:val="auto"/>
              </w:rPr>
            </w:pPr>
          </w:p>
        </w:tc>
        <w:tc>
          <w:tcPr>
            <w:tcW w:w="1180" w:type="dxa"/>
            <w:vAlign w:val="bottom"/>
            <w:shd w:val="clear" w:color="auto" w:fill="0171B9"/>
          </w:tcPr>
          <w:p>
            <w:pPr>
              <w:spacing w:after="0"/>
              <w:rPr>
                <w:sz w:val="16"/>
                <w:szCs w:val="16"/>
                <w:color w:val="auto"/>
              </w:rPr>
            </w:pPr>
          </w:p>
        </w:tc>
        <w:tc>
          <w:tcPr>
            <w:tcW w:w="1020" w:type="dxa"/>
            <w:vAlign w:val="bottom"/>
            <w:shd w:val="clear" w:color="auto" w:fill="0171B9"/>
          </w:tcPr>
          <w:p>
            <w:pPr>
              <w:spacing w:after="0"/>
              <w:rPr>
                <w:sz w:val="16"/>
                <w:szCs w:val="16"/>
                <w:color w:val="auto"/>
              </w:rPr>
            </w:pPr>
          </w:p>
        </w:tc>
        <w:tc>
          <w:tcPr>
            <w:tcW w:w="1360" w:type="dxa"/>
            <w:vAlign w:val="bottom"/>
            <w:shd w:val="clear" w:color="auto" w:fill="0171B9"/>
          </w:tcPr>
          <w:p>
            <w:pPr>
              <w:jc w:val="center"/>
              <w:spacing w:after="0"/>
              <w:rPr>
                <w:sz w:val="20"/>
                <w:szCs w:val="20"/>
                <w:color w:val="auto"/>
              </w:rPr>
            </w:pPr>
            <w:r>
              <w:rPr>
                <w:rFonts w:ascii="Arial" w:cs="Arial" w:eastAsia="Arial" w:hAnsi="Arial"/>
                <w:sz w:val="16"/>
                <w:szCs w:val="16"/>
                <w:b w:val="1"/>
                <w:bCs w:val="1"/>
                <w:color w:val="FFFFFF"/>
              </w:rPr>
              <w:t>Compensation</w:t>
            </w:r>
          </w:p>
        </w:tc>
        <w:tc>
          <w:tcPr>
            <w:tcW w:w="760" w:type="dxa"/>
            <w:vAlign w:val="bottom"/>
            <w:shd w:val="clear" w:color="auto" w:fill="0171B9"/>
          </w:tcPr>
          <w:p>
            <w:pPr>
              <w:spacing w:after="0"/>
              <w:rPr>
                <w:sz w:val="16"/>
                <w:szCs w:val="16"/>
                <w:color w:val="auto"/>
              </w:rPr>
            </w:pPr>
          </w:p>
        </w:tc>
        <w:tc>
          <w:tcPr>
            <w:tcW w:w="136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Corporate</w:t>
            </w:r>
          </w:p>
        </w:tc>
      </w:tr>
      <w:tr>
        <w:trPr>
          <w:trHeight w:val="189"/>
        </w:trPr>
        <w:tc>
          <w:tcPr>
            <w:tcW w:w="320" w:type="dxa"/>
            <w:vAlign w:val="bottom"/>
            <w:shd w:val="clear" w:color="auto" w:fill="0171B9"/>
          </w:tcPr>
          <w:p>
            <w:pPr>
              <w:spacing w:after="0"/>
              <w:rPr>
                <w:sz w:val="16"/>
                <w:szCs w:val="16"/>
                <w:color w:val="auto"/>
              </w:rPr>
            </w:pPr>
          </w:p>
        </w:tc>
        <w:tc>
          <w:tcPr>
            <w:tcW w:w="1520" w:type="dxa"/>
            <w:vAlign w:val="bottom"/>
            <w:shd w:val="clear" w:color="auto" w:fill="0171B9"/>
          </w:tcPr>
          <w:p>
            <w:pPr>
              <w:spacing w:after="0"/>
              <w:rPr>
                <w:sz w:val="16"/>
                <w:szCs w:val="16"/>
                <w:color w:val="auto"/>
              </w:rPr>
            </w:pPr>
          </w:p>
        </w:tc>
        <w:tc>
          <w:tcPr>
            <w:tcW w:w="1360" w:type="dxa"/>
            <w:vAlign w:val="bottom"/>
            <w:shd w:val="clear" w:color="auto" w:fill="0171B9"/>
          </w:tcPr>
          <w:p>
            <w:pPr>
              <w:spacing w:after="0"/>
              <w:rPr>
                <w:sz w:val="16"/>
                <w:szCs w:val="16"/>
                <w:color w:val="auto"/>
              </w:rPr>
            </w:pPr>
          </w:p>
        </w:tc>
        <w:tc>
          <w:tcPr>
            <w:tcW w:w="560" w:type="dxa"/>
            <w:vAlign w:val="bottom"/>
            <w:shd w:val="clear" w:color="auto" w:fill="0171B9"/>
          </w:tcPr>
          <w:p>
            <w:pPr>
              <w:spacing w:after="0"/>
              <w:rPr>
                <w:sz w:val="16"/>
                <w:szCs w:val="16"/>
                <w:color w:val="auto"/>
              </w:rPr>
            </w:pPr>
          </w:p>
        </w:tc>
        <w:tc>
          <w:tcPr>
            <w:tcW w:w="900" w:type="dxa"/>
            <w:vAlign w:val="bottom"/>
            <w:shd w:val="clear" w:color="auto" w:fill="0171B9"/>
          </w:tcPr>
          <w:p>
            <w:pPr>
              <w:spacing w:after="0"/>
              <w:rPr>
                <w:sz w:val="16"/>
                <w:szCs w:val="16"/>
                <w:color w:val="auto"/>
              </w:rPr>
            </w:pPr>
          </w:p>
        </w:tc>
        <w:tc>
          <w:tcPr>
            <w:tcW w:w="680" w:type="dxa"/>
            <w:vAlign w:val="bottom"/>
            <w:shd w:val="clear" w:color="auto" w:fill="0171B9"/>
          </w:tcPr>
          <w:p>
            <w:pPr>
              <w:spacing w:after="0"/>
              <w:rPr>
                <w:sz w:val="16"/>
                <w:szCs w:val="16"/>
                <w:color w:val="auto"/>
              </w:rPr>
            </w:pPr>
          </w:p>
        </w:tc>
        <w:tc>
          <w:tcPr>
            <w:tcW w:w="1180" w:type="dxa"/>
            <w:vAlign w:val="bottom"/>
            <w:shd w:val="clear" w:color="auto" w:fill="0171B9"/>
          </w:tcPr>
          <w:p>
            <w:pPr>
              <w:jc w:val="center"/>
              <w:spacing w:after="0"/>
              <w:rPr>
                <w:sz w:val="20"/>
                <w:szCs w:val="20"/>
                <w:color w:val="auto"/>
              </w:rPr>
            </w:pPr>
            <w:r>
              <w:rPr>
                <w:rFonts w:ascii="Arial" w:cs="Arial" w:eastAsia="Arial" w:hAnsi="Arial"/>
                <w:sz w:val="16"/>
                <w:szCs w:val="16"/>
                <w:b w:val="1"/>
                <w:bCs w:val="1"/>
                <w:color w:val="FFFFFF"/>
              </w:rPr>
              <w:t>Governance</w:t>
            </w:r>
          </w:p>
        </w:tc>
        <w:tc>
          <w:tcPr>
            <w:tcW w:w="1020" w:type="dxa"/>
            <w:vAlign w:val="bottom"/>
            <w:shd w:val="clear" w:color="auto" w:fill="0171B9"/>
          </w:tcPr>
          <w:p>
            <w:pPr>
              <w:spacing w:after="0"/>
              <w:rPr>
                <w:sz w:val="16"/>
                <w:szCs w:val="16"/>
                <w:color w:val="auto"/>
              </w:rPr>
            </w:pPr>
          </w:p>
        </w:tc>
        <w:tc>
          <w:tcPr>
            <w:tcW w:w="136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and</w:t>
            </w:r>
          </w:p>
        </w:tc>
        <w:tc>
          <w:tcPr>
            <w:tcW w:w="760" w:type="dxa"/>
            <w:vAlign w:val="bottom"/>
            <w:shd w:val="clear" w:color="auto" w:fill="0171B9"/>
          </w:tcPr>
          <w:p>
            <w:pPr>
              <w:spacing w:after="0"/>
              <w:rPr>
                <w:sz w:val="16"/>
                <w:szCs w:val="16"/>
                <w:color w:val="auto"/>
              </w:rPr>
            </w:pPr>
          </w:p>
        </w:tc>
        <w:tc>
          <w:tcPr>
            <w:tcW w:w="136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Responsibility</w:t>
            </w:r>
          </w:p>
        </w:tc>
      </w:tr>
      <w:tr>
        <w:trPr>
          <w:trHeight w:val="189"/>
        </w:trPr>
        <w:tc>
          <w:tcPr>
            <w:tcW w:w="320" w:type="dxa"/>
            <w:vAlign w:val="bottom"/>
            <w:shd w:val="clear" w:color="auto" w:fill="0171B9"/>
          </w:tcPr>
          <w:p>
            <w:pPr>
              <w:spacing w:after="0"/>
              <w:rPr>
                <w:sz w:val="16"/>
                <w:szCs w:val="16"/>
                <w:color w:val="auto"/>
              </w:rPr>
            </w:pPr>
          </w:p>
        </w:tc>
        <w:tc>
          <w:tcPr>
            <w:tcW w:w="1520" w:type="dxa"/>
            <w:vAlign w:val="bottom"/>
            <w:shd w:val="clear" w:color="auto" w:fill="0171B9"/>
          </w:tcPr>
          <w:p>
            <w:pPr>
              <w:spacing w:after="0"/>
              <w:rPr>
                <w:sz w:val="16"/>
                <w:szCs w:val="16"/>
                <w:color w:val="auto"/>
              </w:rPr>
            </w:pPr>
          </w:p>
        </w:tc>
        <w:tc>
          <w:tcPr>
            <w:tcW w:w="1360" w:type="dxa"/>
            <w:vAlign w:val="bottom"/>
            <w:shd w:val="clear" w:color="auto" w:fill="0171B9"/>
          </w:tcPr>
          <w:p>
            <w:pPr>
              <w:spacing w:after="0"/>
              <w:rPr>
                <w:sz w:val="16"/>
                <w:szCs w:val="16"/>
                <w:color w:val="auto"/>
              </w:rPr>
            </w:pPr>
          </w:p>
        </w:tc>
        <w:tc>
          <w:tcPr>
            <w:tcW w:w="560" w:type="dxa"/>
            <w:vAlign w:val="bottom"/>
            <w:shd w:val="clear" w:color="auto" w:fill="0171B9"/>
          </w:tcPr>
          <w:p>
            <w:pPr>
              <w:spacing w:after="0"/>
              <w:rPr>
                <w:sz w:val="16"/>
                <w:szCs w:val="16"/>
                <w:color w:val="auto"/>
              </w:rPr>
            </w:pPr>
          </w:p>
        </w:tc>
        <w:tc>
          <w:tcPr>
            <w:tcW w:w="90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Director</w:t>
            </w:r>
          </w:p>
        </w:tc>
        <w:tc>
          <w:tcPr>
            <w:tcW w:w="680" w:type="dxa"/>
            <w:vAlign w:val="bottom"/>
            <w:shd w:val="clear" w:color="auto" w:fill="0171B9"/>
          </w:tcPr>
          <w:p>
            <w:pPr>
              <w:spacing w:after="0"/>
              <w:rPr>
                <w:sz w:val="16"/>
                <w:szCs w:val="16"/>
                <w:color w:val="auto"/>
              </w:rPr>
            </w:pPr>
          </w:p>
        </w:tc>
        <w:tc>
          <w:tcPr>
            <w:tcW w:w="1180" w:type="dxa"/>
            <w:vAlign w:val="bottom"/>
            <w:shd w:val="clear" w:color="auto" w:fill="0171B9"/>
          </w:tcPr>
          <w:p>
            <w:pPr>
              <w:ind w:left="760"/>
              <w:spacing w:after="0"/>
              <w:rPr>
                <w:sz w:val="20"/>
                <w:szCs w:val="20"/>
                <w:color w:val="auto"/>
              </w:rPr>
            </w:pPr>
            <w:r>
              <w:rPr>
                <w:rFonts w:ascii="Arial" w:cs="Arial" w:eastAsia="Arial" w:hAnsi="Arial"/>
                <w:sz w:val="16"/>
                <w:szCs w:val="16"/>
                <w:b w:val="1"/>
                <w:bCs w:val="1"/>
                <w:color w:val="FFFFFF"/>
              </w:rPr>
              <w:t>and</w:t>
            </w:r>
          </w:p>
        </w:tc>
        <w:tc>
          <w:tcPr>
            <w:tcW w:w="1020" w:type="dxa"/>
            <w:vAlign w:val="bottom"/>
            <w:shd w:val="clear" w:color="auto" w:fill="0171B9"/>
          </w:tcPr>
          <w:p>
            <w:pPr>
              <w:spacing w:after="0"/>
              <w:rPr>
                <w:sz w:val="16"/>
                <w:szCs w:val="16"/>
                <w:color w:val="auto"/>
              </w:rPr>
            </w:pPr>
          </w:p>
        </w:tc>
        <w:tc>
          <w:tcPr>
            <w:tcW w:w="136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Management</w:t>
            </w:r>
          </w:p>
        </w:tc>
        <w:tc>
          <w:tcPr>
            <w:tcW w:w="760" w:type="dxa"/>
            <w:vAlign w:val="bottom"/>
            <w:shd w:val="clear" w:color="auto" w:fill="0171B9"/>
          </w:tcPr>
          <w:p>
            <w:pPr>
              <w:jc w:val="center"/>
              <w:spacing w:after="0"/>
              <w:rPr>
                <w:sz w:val="20"/>
                <w:szCs w:val="20"/>
                <w:color w:val="auto"/>
              </w:rPr>
            </w:pPr>
            <w:r>
              <w:rPr>
                <w:rFonts w:ascii="Arial" w:cs="Arial" w:eastAsia="Arial" w:hAnsi="Arial"/>
                <w:sz w:val="16"/>
                <w:szCs w:val="16"/>
                <w:b w:val="1"/>
                <w:bCs w:val="1"/>
                <w:color w:val="FFFFFF"/>
              </w:rPr>
              <w:t>Equity</w:t>
            </w:r>
          </w:p>
        </w:tc>
        <w:tc>
          <w:tcPr>
            <w:tcW w:w="136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and</w:t>
            </w:r>
          </w:p>
        </w:tc>
      </w:tr>
      <w:tr>
        <w:trPr>
          <w:trHeight w:val="255"/>
        </w:trPr>
        <w:tc>
          <w:tcPr>
            <w:tcW w:w="1840" w:type="dxa"/>
            <w:vAlign w:val="bottom"/>
            <w:tcBorders>
              <w:bottom w:val="single" w:sz="8" w:color="0171B9"/>
            </w:tcBorders>
            <w:gridSpan w:val="2"/>
            <w:shd w:val="clear" w:color="auto" w:fill="0171B9"/>
          </w:tcPr>
          <w:p>
            <w:pPr>
              <w:ind w:left="40"/>
              <w:spacing w:after="0"/>
              <w:rPr>
                <w:sz w:val="20"/>
                <w:szCs w:val="20"/>
                <w:color w:val="auto"/>
              </w:rPr>
            </w:pPr>
            <w:r>
              <w:rPr>
                <w:rFonts w:ascii="Arial" w:cs="Arial" w:eastAsia="Arial" w:hAnsi="Arial"/>
                <w:sz w:val="16"/>
                <w:szCs w:val="16"/>
                <w:b w:val="1"/>
                <w:bCs w:val="1"/>
                <w:color w:val="FFFFFF"/>
              </w:rPr>
              <w:t>Nominee</w:t>
            </w:r>
          </w:p>
        </w:tc>
        <w:tc>
          <w:tcPr>
            <w:tcW w:w="1360" w:type="dxa"/>
            <w:vAlign w:val="bottom"/>
            <w:tcBorders>
              <w:bottom w:val="single" w:sz="8" w:color="0171B9"/>
            </w:tcBorders>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Independent</w:t>
            </w:r>
          </w:p>
        </w:tc>
        <w:tc>
          <w:tcPr>
            <w:tcW w:w="560" w:type="dxa"/>
            <w:vAlign w:val="bottom"/>
            <w:tcBorders>
              <w:bottom w:val="single" w:sz="8" w:color="0171B9"/>
            </w:tcBorders>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Age</w:t>
            </w:r>
          </w:p>
        </w:tc>
        <w:tc>
          <w:tcPr>
            <w:tcW w:w="900" w:type="dxa"/>
            <w:vAlign w:val="bottom"/>
            <w:tcBorders>
              <w:bottom w:val="single" w:sz="8" w:color="0171B9"/>
            </w:tcBorders>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Since</w:t>
            </w:r>
          </w:p>
        </w:tc>
        <w:tc>
          <w:tcPr>
            <w:tcW w:w="680" w:type="dxa"/>
            <w:vAlign w:val="bottom"/>
            <w:tcBorders>
              <w:bottom w:val="single" w:sz="8" w:color="0171B9"/>
            </w:tcBorders>
            <w:shd w:val="clear" w:color="auto" w:fill="0171B9"/>
          </w:tcPr>
          <w:p>
            <w:pPr>
              <w:jc w:val="center"/>
              <w:spacing w:after="0"/>
              <w:rPr>
                <w:sz w:val="20"/>
                <w:szCs w:val="20"/>
                <w:color w:val="auto"/>
              </w:rPr>
            </w:pPr>
            <w:r>
              <w:rPr>
                <w:rFonts w:ascii="Arial" w:cs="Arial" w:eastAsia="Arial" w:hAnsi="Arial"/>
                <w:sz w:val="16"/>
                <w:szCs w:val="16"/>
                <w:b w:val="1"/>
                <w:bCs w:val="1"/>
                <w:color w:val="FFFFFF"/>
              </w:rPr>
              <w:t>Audit</w:t>
            </w:r>
          </w:p>
        </w:tc>
        <w:tc>
          <w:tcPr>
            <w:tcW w:w="1180" w:type="dxa"/>
            <w:vAlign w:val="bottom"/>
            <w:tcBorders>
              <w:bottom w:val="single" w:sz="8" w:color="0171B9"/>
            </w:tcBorders>
            <w:shd w:val="clear" w:color="auto" w:fill="0171B9"/>
          </w:tcPr>
          <w:p>
            <w:pPr>
              <w:jc w:val="center"/>
              <w:spacing w:after="0"/>
              <w:rPr>
                <w:sz w:val="20"/>
                <w:szCs w:val="20"/>
                <w:color w:val="auto"/>
              </w:rPr>
            </w:pPr>
            <w:r>
              <w:rPr>
                <w:rFonts w:ascii="Arial" w:cs="Arial" w:eastAsia="Arial" w:hAnsi="Arial"/>
                <w:sz w:val="16"/>
                <w:szCs w:val="16"/>
                <w:b w:val="1"/>
                <w:bCs w:val="1"/>
                <w:color w:val="FFFFFF"/>
                <w:w w:val="99"/>
              </w:rPr>
              <w:t>Nominating</w:t>
            </w:r>
          </w:p>
        </w:tc>
        <w:tc>
          <w:tcPr>
            <w:tcW w:w="1020" w:type="dxa"/>
            <w:vAlign w:val="bottom"/>
            <w:tcBorders>
              <w:bottom w:val="single" w:sz="8" w:color="0171B9"/>
            </w:tcBorders>
            <w:shd w:val="clear" w:color="auto" w:fill="0171B9"/>
          </w:tcPr>
          <w:p>
            <w:pPr>
              <w:jc w:val="center"/>
              <w:spacing w:after="0"/>
              <w:rPr>
                <w:sz w:val="20"/>
                <w:szCs w:val="20"/>
                <w:color w:val="auto"/>
              </w:rPr>
            </w:pPr>
            <w:r>
              <w:rPr>
                <w:rFonts w:ascii="Arial" w:cs="Arial" w:eastAsia="Arial" w:hAnsi="Arial"/>
                <w:sz w:val="16"/>
                <w:szCs w:val="16"/>
                <w:b w:val="1"/>
                <w:bCs w:val="1"/>
                <w:color w:val="FFFFFF"/>
              </w:rPr>
              <w:t>Executive</w:t>
            </w:r>
          </w:p>
        </w:tc>
        <w:tc>
          <w:tcPr>
            <w:tcW w:w="1360" w:type="dxa"/>
            <w:vAlign w:val="bottom"/>
            <w:tcBorders>
              <w:bottom w:val="single" w:sz="8" w:color="0171B9"/>
            </w:tcBorders>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Development</w:t>
            </w:r>
          </w:p>
        </w:tc>
        <w:tc>
          <w:tcPr>
            <w:tcW w:w="760" w:type="dxa"/>
            <w:vAlign w:val="bottom"/>
            <w:tcBorders>
              <w:bottom w:val="single" w:sz="8" w:color="0171B9"/>
            </w:tcBorders>
            <w:shd w:val="clear" w:color="auto" w:fill="0171B9"/>
          </w:tcPr>
          <w:p>
            <w:pPr>
              <w:jc w:val="center"/>
              <w:spacing w:after="0"/>
              <w:rPr>
                <w:sz w:val="20"/>
                <w:szCs w:val="20"/>
                <w:color w:val="auto"/>
              </w:rPr>
            </w:pPr>
            <w:r>
              <w:rPr>
                <w:rFonts w:ascii="Arial" w:cs="Arial" w:eastAsia="Arial" w:hAnsi="Arial"/>
                <w:sz w:val="16"/>
                <w:szCs w:val="16"/>
                <w:b w:val="1"/>
                <w:bCs w:val="1"/>
                <w:color w:val="FFFFFF"/>
              </w:rPr>
              <w:t>Award</w:t>
            </w:r>
          </w:p>
        </w:tc>
        <w:tc>
          <w:tcPr>
            <w:tcW w:w="1360" w:type="dxa"/>
            <w:vAlign w:val="bottom"/>
            <w:tcBorders>
              <w:bottom w:val="single" w:sz="8" w:color="0171B9"/>
            </w:tcBorders>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Compliance</w:t>
            </w:r>
          </w:p>
        </w:tc>
      </w:tr>
      <w:tr>
        <w:trPr>
          <w:trHeight w:val="283"/>
        </w:trPr>
        <w:tc>
          <w:tcPr>
            <w:tcW w:w="1840" w:type="dxa"/>
            <w:vAlign w:val="bottom"/>
            <w:gridSpan w:val="2"/>
            <w:shd w:val="clear" w:color="auto" w:fill="CCE2F1"/>
          </w:tcPr>
          <w:p>
            <w:pPr>
              <w:ind w:left="40"/>
              <w:spacing w:after="0"/>
              <w:rPr>
                <w:sz w:val="20"/>
                <w:szCs w:val="20"/>
                <w:color w:val="auto"/>
              </w:rPr>
            </w:pPr>
            <w:r>
              <w:rPr>
                <w:rFonts w:ascii="Arial" w:cs="Arial" w:eastAsia="Arial" w:hAnsi="Arial"/>
                <w:sz w:val="16"/>
                <w:szCs w:val="16"/>
                <w:color w:val="auto"/>
              </w:rPr>
              <w:t>Wanda M. Austin</w:t>
            </w:r>
          </w:p>
        </w:tc>
        <w:tc>
          <w:tcPr>
            <w:tcW w:w="1360" w:type="dxa"/>
            <w:vAlign w:val="bottom"/>
            <w:shd w:val="clear" w:color="auto" w:fill="CCE2F1"/>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shd w:val="clear" w:color="auto" w:fill="CCE2F1"/>
          </w:tcPr>
          <w:p>
            <w:pPr>
              <w:jc w:val="right"/>
              <w:ind w:right="59"/>
              <w:spacing w:after="0"/>
              <w:rPr>
                <w:sz w:val="20"/>
                <w:szCs w:val="20"/>
                <w:color w:val="auto"/>
              </w:rPr>
            </w:pPr>
            <w:r>
              <w:rPr>
                <w:rFonts w:ascii="Arial" w:cs="Arial" w:eastAsia="Arial" w:hAnsi="Arial"/>
                <w:sz w:val="16"/>
                <w:szCs w:val="16"/>
                <w:color w:val="auto"/>
              </w:rPr>
              <w:t>68</w:t>
            </w:r>
          </w:p>
        </w:tc>
        <w:tc>
          <w:tcPr>
            <w:tcW w:w="90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2017</w:t>
            </w:r>
          </w:p>
        </w:tc>
        <w:tc>
          <w:tcPr>
            <w:tcW w:w="680" w:type="dxa"/>
            <w:vAlign w:val="bottom"/>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1180" w:type="dxa"/>
            <w:vAlign w:val="bottom"/>
            <w:shd w:val="clear" w:color="auto" w:fill="CCE2F1"/>
          </w:tcPr>
          <w:p>
            <w:pPr>
              <w:spacing w:after="0"/>
              <w:rPr>
                <w:sz w:val="24"/>
                <w:szCs w:val="24"/>
                <w:color w:val="auto"/>
              </w:rPr>
            </w:pPr>
          </w:p>
        </w:tc>
        <w:tc>
          <w:tcPr>
            <w:tcW w:w="1020" w:type="dxa"/>
            <w:vAlign w:val="bottom"/>
            <w:shd w:val="clear" w:color="auto" w:fill="CCE2F1"/>
          </w:tcPr>
          <w:p>
            <w:pPr>
              <w:spacing w:after="0"/>
              <w:rPr>
                <w:sz w:val="24"/>
                <w:szCs w:val="24"/>
                <w:color w:val="auto"/>
              </w:rPr>
            </w:pPr>
          </w:p>
        </w:tc>
        <w:tc>
          <w:tcPr>
            <w:tcW w:w="1360" w:type="dxa"/>
            <w:vAlign w:val="bottom"/>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760" w:type="dxa"/>
            <w:vAlign w:val="bottom"/>
            <w:shd w:val="clear" w:color="auto" w:fill="CCE2F1"/>
          </w:tcPr>
          <w:p>
            <w:pPr>
              <w:spacing w:after="0"/>
              <w:rPr>
                <w:sz w:val="24"/>
                <w:szCs w:val="24"/>
                <w:color w:val="auto"/>
              </w:rPr>
            </w:pPr>
          </w:p>
        </w:tc>
        <w:tc>
          <w:tcPr>
            <w:tcW w:w="1360" w:type="dxa"/>
            <w:vAlign w:val="bottom"/>
            <w:shd w:val="clear" w:color="auto" w:fill="CCE2F1"/>
          </w:tcPr>
          <w:p>
            <w:pPr>
              <w:spacing w:after="0"/>
              <w:rPr>
                <w:sz w:val="24"/>
                <w:szCs w:val="24"/>
                <w:color w:val="auto"/>
              </w:rPr>
            </w:pPr>
          </w:p>
        </w:tc>
      </w:tr>
      <w:tr>
        <w:trPr>
          <w:trHeight w:val="250"/>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Robert A. Bradway</w:t>
            </w:r>
          </w:p>
        </w:tc>
        <w:tc>
          <w:tcPr>
            <w:tcW w:w="1360" w:type="dxa"/>
            <w:vAlign w:val="bottom"/>
          </w:tcPr>
          <w:p>
            <w:pPr>
              <w:spacing w:after="0"/>
              <w:rPr>
                <w:sz w:val="21"/>
                <w:szCs w:val="21"/>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60</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2011</w:t>
            </w: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C</w:t>
            </w:r>
          </w:p>
        </w:tc>
        <w:tc>
          <w:tcPr>
            <w:tcW w:w="136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M</w:t>
            </w:r>
          </w:p>
        </w:tc>
        <w:tc>
          <w:tcPr>
            <w:tcW w:w="1360" w:type="dxa"/>
            <w:vAlign w:val="bottom"/>
          </w:tcPr>
          <w:p>
            <w:pPr>
              <w:spacing w:after="0"/>
              <w:rPr>
                <w:sz w:val="21"/>
                <w:szCs w:val="21"/>
                <w:color w:val="auto"/>
              </w:rPr>
            </w:pPr>
          </w:p>
        </w:tc>
      </w:tr>
      <w:tr>
        <w:trPr>
          <w:trHeight w:val="33"/>
        </w:trPr>
        <w:tc>
          <w:tcPr>
            <w:tcW w:w="184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83"/>
        </w:trPr>
        <w:tc>
          <w:tcPr>
            <w:tcW w:w="1840" w:type="dxa"/>
            <w:vAlign w:val="bottom"/>
            <w:gridSpan w:val="2"/>
            <w:shd w:val="clear" w:color="auto" w:fill="CCE2F1"/>
          </w:tcPr>
          <w:p>
            <w:pPr>
              <w:ind w:left="40"/>
              <w:spacing w:after="0"/>
              <w:rPr>
                <w:sz w:val="20"/>
                <w:szCs w:val="20"/>
                <w:color w:val="auto"/>
              </w:rPr>
            </w:pPr>
            <w:r>
              <w:rPr>
                <w:rFonts w:ascii="Arial" w:cs="Arial" w:eastAsia="Arial" w:hAnsi="Arial"/>
                <w:sz w:val="16"/>
                <w:szCs w:val="16"/>
                <w:color w:val="auto"/>
              </w:rPr>
              <w:t>Michael V. Drake</w:t>
            </w:r>
          </w:p>
        </w:tc>
        <w:tc>
          <w:tcPr>
            <w:tcW w:w="1360" w:type="dxa"/>
            <w:vAlign w:val="bottom"/>
            <w:shd w:val="clear" w:color="auto" w:fill="CCE2F1"/>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shd w:val="clear" w:color="auto" w:fill="CCE2F1"/>
          </w:tcPr>
          <w:p>
            <w:pPr>
              <w:jc w:val="right"/>
              <w:ind w:right="59"/>
              <w:spacing w:after="0"/>
              <w:rPr>
                <w:sz w:val="20"/>
                <w:szCs w:val="20"/>
                <w:color w:val="auto"/>
              </w:rPr>
            </w:pPr>
            <w:r>
              <w:rPr>
                <w:rFonts w:ascii="Arial" w:cs="Arial" w:eastAsia="Arial" w:hAnsi="Arial"/>
                <w:sz w:val="16"/>
                <w:szCs w:val="16"/>
                <w:color w:val="auto"/>
              </w:rPr>
              <w:t>72</w:t>
            </w:r>
          </w:p>
        </w:tc>
        <w:tc>
          <w:tcPr>
            <w:tcW w:w="90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2022</w:t>
            </w:r>
          </w:p>
        </w:tc>
        <w:tc>
          <w:tcPr>
            <w:tcW w:w="680" w:type="dxa"/>
            <w:vAlign w:val="bottom"/>
            <w:shd w:val="clear" w:color="auto" w:fill="CCE2F1"/>
          </w:tcPr>
          <w:p>
            <w:pPr>
              <w:spacing w:after="0"/>
              <w:rPr>
                <w:sz w:val="24"/>
                <w:szCs w:val="24"/>
                <w:color w:val="auto"/>
              </w:rPr>
            </w:pPr>
          </w:p>
        </w:tc>
        <w:tc>
          <w:tcPr>
            <w:tcW w:w="1180" w:type="dxa"/>
            <w:vAlign w:val="bottom"/>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1020" w:type="dxa"/>
            <w:vAlign w:val="bottom"/>
            <w:shd w:val="clear" w:color="auto" w:fill="CCE2F1"/>
          </w:tcPr>
          <w:p>
            <w:pPr>
              <w:spacing w:after="0"/>
              <w:rPr>
                <w:sz w:val="24"/>
                <w:szCs w:val="24"/>
                <w:color w:val="auto"/>
              </w:rPr>
            </w:pPr>
          </w:p>
        </w:tc>
        <w:tc>
          <w:tcPr>
            <w:tcW w:w="1360" w:type="dxa"/>
            <w:vAlign w:val="bottom"/>
            <w:shd w:val="clear" w:color="auto" w:fill="CCE2F1"/>
          </w:tcPr>
          <w:p>
            <w:pPr>
              <w:spacing w:after="0"/>
              <w:rPr>
                <w:sz w:val="24"/>
                <w:szCs w:val="24"/>
                <w:color w:val="auto"/>
              </w:rPr>
            </w:pPr>
          </w:p>
        </w:tc>
        <w:tc>
          <w:tcPr>
            <w:tcW w:w="760" w:type="dxa"/>
            <w:vAlign w:val="bottom"/>
            <w:shd w:val="clear" w:color="auto" w:fill="CCE2F1"/>
          </w:tcPr>
          <w:p>
            <w:pPr>
              <w:spacing w:after="0"/>
              <w:rPr>
                <w:sz w:val="24"/>
                <w:szCs w:val="24"/>
                <w:color w:val="auto"/>
              </w:rPr>
            </w:pPr>
          </w:p>
        </w:tc>
        <w:tc>
          <w:tcPr>
            <w:tcW w:w="1360" w:type="dxa"/>
            <w:vAlign w:val="bottom"/>
            <w:shd w:val="clear" w:color="auto" w:fill="CCE2F1"/>
          </w:tcPr>
          <w:p>
            <w:pPr>
              <w:ind w:left="620"/>
              <w:spacing w:after="0"/>
              <w:rPr>
                <w:sz w:val="20"/>
                <w:szCs w:val="20"/>
                <w:color w:val="auto"/>
              </w:rPr>
            </w:pPr>
            <w:r>
              <w:rPr>
                <w:rFonts w:ascii="Arial" w:cs="Arial" w:eastAsia="Arial" w:hAnsi="Arial"/>
                <w:sz w:val="16"/>
                <w:szCs w:val="16"/>
                <w:color w:val="auto"/>
              </w:rPr>
              <w:t>M</w:t>
            </w:r>
          </w:p>
        </w:tc>
      </w:tr>
      <w:tr>
        <w:trPr>
          <w:trHeight w:val="276"/>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Brian J. Druker</w:t>
            </w:r>
          </w:p>
        </w:tc>
        <w:tc>
          <w:tcPr>
            <w:tcW w:w="1360" w:type="dxa"/>
            <w:vAlign w:val="bottom"/>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67</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2018</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M</w:t>
            </w:r>
          </w:p>
        </w:tc>
        <w:tc>
          <w:tcPr>
            <w:tcW w:w="760" w:type="dxa"/>
            <w:vAlign w:val="bottom"/>
          </w:tcPr>
          <w:p>
            <w:pPr>
              <w:spacing w:after="0"/>
              <w:rPr>
                <w:sz w:val="24"/>
                <w:szCs w:val="24"/>
                <w:color w:val="auto"/>
              </w:rPr>
            </w:pPr>
          </w:p>
        </w:tc>
        <w:tc>
          <w:tcPr>
            <w:tcW w:w="1360" w:type="dxa"/>
            <w:vAlign w:val="bottom"/>
          </w:tcPr>
          <w:p>
            <w:pPr>
              <w:ind w:left="620"/>
              <w:spacing w:after="0"/>
              <w:rPr>
                <w:sz w:val="20"/>
                <w:szCs w:val="20"/>
                <w:color w:val="auto"/>
              </w:rPr>
            </w:pPr>
            <w:r>
              <w:rPr>
                <w:rFonts w:ascii="Arial" w:cs="Arial" w:eastAsia="Arial" w:hAnsi="Arial"/>
                <w:sz w:val="16"/>
                <w:szCs w:val="16"/>
                <w:color w:val="auto"/>
              </w:rPr>
              <w:t>M</w:t>
            </w:r>
          </w:p>
        </w:tc>
      </w:tr>
      <w:tr>
        <w:trPr>
          <w:trHeight w:val="291"/>
        </w:trPr>
        <w:tc>
          <w:tcPr>
            <w:tcW w:w="1840" w:type="dxa"/>
            <w:vAlign w:val="bottom"/>
            <w:gridSpan w:val="2"/>
            <w:shd w:val="clear" w:color="auto" w:fill="CCE2F1"/>
          </w:tcPr>
          <w:p>
            <w:pPr>
              <w:ind w:left="40"/>
              <w:spacing w:after="0"/>
              <w:rPr>
                <w:sz w:val="20"/>
                <w:szCs w:val="20"/>
                <w:color w:val="auto"/>
              </w:rPr>
            </w:pPr>
            <w:r>
              <w:rPr>
                <w:rFonts w:ascii="Arial" w:cs="Arial" w:eastAsia="Arial" w:hAnsi="Arial"/>
                <w:sz w:val="16"/>
                <w:szCs w:val="16"/>
                <w:color w:val="auto"/>
              </w:rPr>
              <w:t>Robert A. Eckert*</w:t>
            </w:r>
          </w:p>
        </w:tc>
        <w:tc>
          <w:tcPr>
            <w:tcW w:w="1360" w:type="dxa"/>
            <w:vAlign w:val="bottom"/>
            <w:shd w:val="clear" w:color="auto" w:fill="CCE2F1"/>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shd w:val="clear" w:color="auto" w:fill="CCE2F1"/>
          </w:tcPr>
          <w:p>
            <w:pPr>
              <w:jc w:val="right"/>
              <w:ind w:right="59"/>
              <w:spacing w:after="0"/>
              <w:rPr>
                <w:sz w:val="20"/>
                <w:szCs w:val="20"/>
                <w:color w:val="auto"/>
              </w:rPr>
            </w:pPr>
            <w:r>
              <w:rPr>
                <w:rFonts w:ascii="Arial" w:cs="Arial" w:eastAsia="Arial" w:hAnsi="Arial"/>
                <w:sz w:val="16"/>
                <w:szCs w:val="16"/>
                <w:color w:val="auto"/>
              </w:rPr>
              <w:t>68</w:t>
            </w:r>
          </w:p>
        </w:tc>
        <w:tc>
          <w:tcPr>
            <w:tcW w:w="90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2012</w:t>
            </w:r>
          </w:p>
        </w:tc>
        <w:tc>
          <w:tcPr>
            <w:tcW w:w="680" w:type="dxa"/>
            <w:vAlign w:val="bottom"/>
            <w:shd w:val="clear" w:color="auto" w:fill="CCE2F1"/>
          </w:tcPr>
          <w:p>
            <w:pPr>
              <w:spacing w:after="0"/>
              <w:rPr>
                <w:sz w:val="24"/>
                <w:szCs w:val="24"/>
                <w:color w:val="auto"/>
              </w:rPr>
            </w:pPr>
          </w:p>
        </w:tc>
        <w:tc>
          <w:tcPr>
            <w:tcW w:w="1180" w:type="dxa"/>
            <w:vAlign w:val="bottom"/>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1020" w:type="dxa"/>
            <w:vAlign w:val="bottom"/>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1360" w:type="dxa"/>
            <w:vAlign w:val="bottom"/>
            <w:shd w:val="clear" w:color="auto" w:fill="CCE2F1"/>
          </w:tcPr>
          <w:p>
            <w:pPr>
              <w:jc w:val="center"/>
              <w:spacing w:after="0"/>
              <w:rPr>
                <w:sz w:val="20"/>
                <w:szCs w:val="20"/>
                <w:color w:val="auto"/>
              </w:rPr>
            </w:pPr>
            <w:r>
              <w:rPr>
                <w:rFonts w:ascii="Arial" w:cs="Arial" w:eastAsia="Arial" w:hAnsi="Arial"/>
                <w:sz w:val="16"/>
                <w:szCs w:val="16"/>
                <w:color w:val="auto"/>
              </w:rPr>
              <w:t>C</w:t>
            </w:r>
          </w:p>
        </w:tc>
        <w:tc>
          <w:tcPr>
            <w:tcW w:w="760" w:type="dxa"/>
            <w:vAlign w:val="bottom"/>
            <w:shd w:val="clear" w:color="auto" w:fill="CCE2F1"/>
          </w:tcPr>
          <w:p>
            <w:pPr>
              <w:spacing w:after="0"/>
              <w:rPr>
                <w:sz w:val="24"/>
                <w:szCs w:val="24"/>
                <w:color w:val="auto"/>
              </w:rPr>
            </w:pPr>
          </w:p>
        </w:tc>
        <w:tc>
          <w:tcPr>
            <w:tcW w:w="1360" w:type="dxa"/>
            <w:vAlign w:val="bottom"/>
            <w:shd w:val="clear" w:color="auto" w:fill="CCE2F1"/>
          </w:tcPr>
          <w:p>
            <w:pPr>
              <w:spacing w:after="0"/>
              <w:rPr>
                <w:sz w:val="24"/>
                <w:szCs w:val="24"/>
                <w:color w:val="auto"/>
              </w:rPr>
            </w:pPr>
          </w:p>
        </w:tc>
      </w:tr>
      <w:tr>
        <w:trPr>
          <w:trHeight w:val="276"/>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Greg C. Garland</w:t>
            </w:r>
          </w:p>
        </w:tc>
        <w:tc>
          <w:tcPr>
            <w:tcW w:w="1360" w:type="dxa"/>
            <w:vAlign w:val="bottom"/>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65</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2013</w:t>
            </w:r>
          </w:p>
        </w:tc>
        <w:tc>
          <w:tcPr>
            <w:tcW w:w="6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6"/>
              </w:rPr>
              <w:t>C</w:t>
            </w:r>
          </w:p>
        </w:tc>
        <w:tc>
          <w:tcPr>
            <w:tcW w:w="1020" w:type="dxa"/>
            <w:vAlign w:val="bottom"/>
          </w:tcPr>
          <w:p>
            <w:pPr>
              <w:jc w:val="center"/>
              <w:spacing w:after="0"/>
              <w:rPr>
                <w:sz w:val="20"/>
                <w:szCs w:val="20"/>
                <w:color w:val="auto"/>
              </w:rPr>
            </w:pPr>
            <w:r>
              <w:rPr>
                <w:rFonts w:ascii="Arial" w:cs="Arial" w:eastAsia="Arial" w:hAnsi="Arial"/>
                <w:sz w:val="16"/>
                <w:szCs w:val="16"/>
                <w:color w:val="auto"/>
              </w:rPr>
              <w:t>M</w:t>
            </w:r>
          </w:p>
        </w:tc>
        <w:tc>
          <w:tcPr>
            <w:tcW w:w="1360" w:type="dxa"/>
            <w:vAlign w:val="bottom"/>
          </w:tcPr>
          <w:p>
            <w:pPr>
              <w:jc w:val="center"/>
              <w:spacing w:after="0"/>
              <w:rPr>
                <w:sz w:val="20"/>
                <w:szCs w:val="20"/>
                <w:color w:val="auto"/>
              </w:rPr>
            </w:pPr>
            <w:r>
              <w:rPr>
                <w:rFonts w:ascii="Arial" w:cs="Arial" w:eastAsia="Arial" w:hAnsi="Arial"/>
                <w:sz w:val="16"/>
                <w:szCs w:val="16"/>
                <w:color w:val="auto"/>
              </w:rPr>
              <w:t>M</w:t>
            </w: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1"/>
        </w:trPr>
        <w:tc>
          <w:tcPr>
            <w:tcW w:w="1840" w:type="dxa"/>
            <w:vAlign w:val="bottom"/>
            <w:gridSpan w:val="2"/>
            <w:shd w:val="clear" w:color="auto" w:fill="CCE2F1"/>
          </w:tcPr>
          <w:p>
            <w:pPr>
              <w:ind w:left="40"/>
              <w:spacing w:after="0"/>
              <w:rPr>
                <w:sz w:val="20"/>
                <w:szCs w:val="20"/>
                <w:color w:val="auto"/>
              </w:rPr>
            </w:pPr>
            <w:r>
              <w:rPr>
                <w:rFonts w:ascii="Arial" w:cs="Arial" w:eastAsia="Arial" w:hAnsi="Arial"/>
                <w:sz w:val="16"/>
                <w:szCs w:val="16"/>
                <w:color w:val="auto"/>
              </w:rPr>
              <w:t>Charles M. Holley, Jr.</w:t>
            </w:r>
          </w:p>
        </w:tc>
        <w:tc>
          <w:tcPr>
            <w:tcW w:w="1360" w:type="dxa"/>
            <w:vAlign w:val="bottom"/>
            <w:shd w:val="clear" w:color="auto" w:fill="CCE2F1"/>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shd w:val="clear" w:color="auto" w:fill="CCE2F1"/>
          </w:tcPr>
          <w:p>
            <w:pPr>
              <w:jc w:val="right"/>
              <w:ind w:right="59"/>
              <w:spacing w:after="0"/>
              <w:rPr>
                <w:sz w:val="20"/>
                <w:szCs w:val="20"/>
                <w:color w:val="auto"/>
              </w:rPr>
            </w:pPr>
            <w:r>
              <w:rPr>
                <w:rFonts w:ascii="Arial" w:cs="Arial" w:eastAsia="Arial" w:hAnsi="Arial"/>
                <w:sz w:val="16"/>
                <w:szCs w:val="16"/>
                <w:color w:val="auto"/>
              </w:rPr>
              <w:t>66</w:t>
            </w:r>
          </w:p>
        </w:tc>
        <w:tc>
          <w:tcPr>
            <w:tcW w:w="90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2017</w:t>
            </w:r>
          </w:p>
        </w:tc>
        <w:tc>
          <w:tcPr>
            <w:tcW w:w="680" w:type="dxa"/>
            <w:vAlign w:val="bottom"/>
            <w:shd w:val="clear" w:color="auto" w:fill="CCE2F1"/>
          </w:tcPr>
          <w:p>
            <w:pPr>
              <w:jc w:val="center"/>
              <w:spacing w:after="0"/>
              <w:rPr>
                <w:sz w:val="20"/>
                <w:szCs w:val="20"/>
                <w:color w:val="auto"/>
              </w:rPr>
            </w:pPr>
            <w:r>
              <w:rPr>
                <w:rFonts w:ascii="Arial" w:cs="Arial" w:eastAsia="Arial" w:hAnsi="Arial"/>
                <w:sz w:val="16"/>
                <w:szCs w:val="16"/>
                <w:color w:val="auto"/>
                <w:w w:val="86"/>
              </w:rPr>
              <w:t>C</w:t>
            </w:r>
          </w:p>
        </w:tc>
        <w:tc>
          <w:tcPr>
            <w:tcW w:w="1180" w:type="dxa"/>
            <w:vAlign w:val="bottom"/>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1020" w:type="dxa"/>
            <w:vAlign w:val="bottom"/>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1360" w:type="dxa"/>
            <w:vAlign w:val="bottom"/>
            <w:shd w:val="clear" w:color="auto" w:fill="CCE2F1"/>
          </w:tcPr>
          <w:p>
            <w:pPr>
              <w:spacing w:after="0"/>
              <w:rPr>
                <w:sz w:val="24"/>
                <w:szCs w:val="24"/>
                <w:color w:val="auto"/>
              </w:rPr>
            </w:pPr>
          </w:p>
        </w:tc>
        <w:tc>
          <w:tcPr>
            <w:tcW w:w="760" w:type="dxa"/>
            <w:vAlign w:val="bottom"/>
            <w:shd w:val="clear" w:color="auto" w:fill="CCE2F1"/>
          </w:tcPr>
          <w:p>
            <w:pPr>
              <w:spacing w:after="0"/>
              <w:rPr>
                <w:sz w:val="24"/>
                <w:szCs w:val="24"/>
                <w:color w:val="auto"/>
              </w:rPr>
            </w:pPr>
          </w:p>
        </w:tc>
        <w:tc>
          <w:tcPr>
            <w:tcW w:w="1360" w:type="dxa"/>
            <w:vAlign w:val="bottom"/>
            <w:shd w:val="clear" w:color="auto" w:fill="CCE2F1"/>
          </w:tcPr>
          <w:p>
            <w:pPr>
              <w:spacing w:after="0"/>
              <w:rPr>
                <w:sz w:val="24"/>
                <w:szCs w:val="24"/>
                <w:color w:val="auto"/>
              </w:rPr>
            </w:pPr>
          </w:p>
        </w:tc>
      </w:tr>
      <w:tr>
        <w:trPr>
          <w:trHeight w:val="276"/>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S. Omar Ishrak</w:t>
            </w:r>
          </w:p>
        </w:tc>
        <w:tc>
          <w:tcPr>
            <w:tcW w:w="1360" w:type="dxa"/>
            <w:vAlign w:val="bottom"/>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67</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2021</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M</w:t>
            </w:r>
          </w:p>
        </w:tc>
        <w:tc>
          <w:tcPr>
            <w:tcW w:w="760" w:type="dxa"/>
            <w:vAlign w:val="bottom"/>
          </w:tcPr>
          <w:p>
            <w:pPr>
              <w:spacing w:after="0"/>
              <w:rPr>
                <w:sz w:val="24"/>
                <w:szCs w:val="24"/>
                <w:color w:val="auto"/>
              </w:rPr>
            </w:pPr>
          </w:p>
        </w:tc>
        <w:tc>
          <w:tcPr>
            <w:tcW w:w="1360" w:type="dxa"/>
            <w:vAlign w:val="bottom"/>
          </w:tcPr>
          <w:p>
            <w:pPr>
              <w:ind w:left="620"/>
              <w:spacing w:after="0"/>
              <w:rPr>
                <w:sz w:val="20"/>
                <w:szCs w:val="20"/>
                <w:color w:val="auto"/>
              </w:rPr>
            </w:pPr>
            <w:r>
              <w:rPr>
                <w:rFonts w:ascii="Arial" w:cs="Arial" w:eastAsia="Arial" w:hAnsi="Arial"/>
                <w:sz w:val="16"/>
                <w:szCs w:val="16"/>
                <w:color w:val="auto"/>
              </w:rPr>
              <w:t>M</w:t>
            </w:r>
          </w:p>
        </w:tc>
      </w:tr>
      <w:tr>
        <w:trPr>
          <w:trHeight w:val="291"/>
        </w:trPr>
        <w:tc>
          <w:tcPr>
            <w:tcW w:w="1840" w:type="dxa"/>
            <w:vAlign w:val="bottom"/>
            <w:gridSpan w:val="2"/>
            <w:shd w:val="clear" w:color="auto" w:fill="CCE2F1"/>
          </w:tcPr>
          <w:p>
            <w:pPr>
              <w:ind w:left="40"/>
              <w:spacing w:after="0"/>
              <w:rPr>
                <w:sz w:val="20"/>
                <w:szCs w:val="20"/>
                <w:color w:val="auto"/>
              </w:rPr>
            </w:pPr>
            <w:r>
              <w:rPr>
                <w:rFonts w:ascii="Arial" w:cs="Arial" w:eastAsia="Arial" w:hAnsi="Arial"/>
                <w:sz w:val="16"/>
                <w:szCs w:val="16"/>
                <w:color w:val="auto"/>
              </w:rPr>
              <w:t>Tyler Jacks</w:t>
            </w:r>
          </w:p>
        </w:tc>
        <w:tc>
          <w:tcPr>
            <w:tcW w:w="1360" w:type="dxa"/>
            <w:vAlign w:val="bottom"/>
            <w:shd w:val="clear" w:color="auto" w:fill="CCE2F1"/>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shd w:val="clear" w:color="auto" w:fill="CCE2F1"/>
          </w:tcPr>
          <w:p>
            <w:pPr>
              <w:jc w:val="right"/>
              <w:ind w:right="59"/>
              <w:spacing w:after="0"/>
              <w:rPr>
                <w:sz w:val="20"/>
                <w:szCs w:val="20"/>
                <w:color w:val="auto"/>
              </w:rPr>
            </w:pPr>
            <w:r>
              <w:rPr>
                <w:rFonts w:ascii="Arial" w:cs="Arial" w:eastAsia="Arial" w:hAnsi="Arial"/>
                <w:sz w:val="16"/>
                <w:szCs w:val="16"/>
                <w:color w:val="auto"/>
              </w:rPr>
              <w:t>62</w:t>
            </w:r>
          </w:p>
        </w:tc>
        <w:tc>
          <w:tcPr>
            <w:tcW w:w="90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2012</w:t>
            </w:r>
          </w:p>
        </w:tc>
        <w:tc>
          <w:tcPr>
            <w:tcW w:w="680" w:type="dxa"/>
            <w:vAlign w:val="bottom"/>
            <w:shd w:val="clear" w:color="auto" w:fill="CCE2F1"/>
          </w:tcPr>
          <w:p>
            <w:pPr>
              <w:spacing w:after="0"/>
              <w:rPr>
                <w:sz w:val="24"/>
                <w:szCs w:val="24"/>
                <w:color w:val="auto"/>
              </w:rPr>
            </w:pPr>
          </w:p>
        </w:tc>
        <w:tc>
          <w:tcPr>
            <w:tcW w:w="1180" w:type="dxa"/>
            <w:vAlign w:val="bottom"/>
            <w:shd w:val="clear" w:color="auto" w:fill="CCE2F1"/>
          </w:tcPr>
          <w:p>
            <w:pPr>
              <w:spacing w:after="0"/>
              <w:rPr>
                <w:sz w:val="24"/>
                <w:szCs w:val="24"/>
                <w:color w:val="auto"/>
              </w:rPr>
            </w:pPr>
          </w:p>
        </w:tc>
        <w:tc>
          <w:tcPr>
            <w:tcW w:w="1020" w:type="dxa"/>
            <w:vAlign w:val="bottom"/>
            <w:shd w:val="clear" w:color="auto" w:fill="CCE2F1"/>
          </w:tcPr>
          <w:p>
            <w:pPr>
              <w:spacing w:after="0"/>
              <w:rPr>
                <w:sz w:val="24"/>
                <w:szCs w:val="24"/>
                <w:color w:val="auto"/>
              </w:rPr>
            </w:pPr>
          </w:p>
        </w:tc>
        <w:tc>
          <w:tcPr>
            <w:tcW w:w="1360" w:type="dxa"/>
            <w:vAlign w:val="bottom"/>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760" w:type="dxa"/>
            <w:vAlign w:val="bottom"/>
            <w:shd w:val="clear" w:color="auto" w:fill="CCE2F1"/>
          </w:tcPr>
          <w:p>
            <w:pPr>
              <w:spacing w:after="0"/>
              <w:rPr>
                <w:sz w:val="24"/>
                <w:szCs w:val="24"/>
                <w:color w:val="auto"/>
              </w:rPr>
            </w:pPr>
          </w:p>
        </w:tc>
        <w:tc>
          <w:tcPr>
            <w:tcW w:w="1360" w:type="dxa"/>
            <w:vAlign w:val="bottom"/>
            <w:shd w:val="clear" w:color="auto" w:fill="CCE2F1"/>
          </w:tcPr>
          <w:p>
            <w:pPr>
              <w:ind w:left="620"/>
              <w:spacing w:after="0"/>
              <w:rPr>
                <w:sz w:val="20"/>
                <w:szCs w:val="20"/>
                <w:color w:val="auto"/>
              </w:rPr>
            </w:pPr>
            <w:r>
              <w:rPr>
                <w:rFonts w:ascii="Arial" w:cs="Arial" w:eastAsia="Arial" w:hAnsi="Arial"/>
                <w:sz w:val="16"/>
                <w:szCs w:val="16"/>
                <w:color w:val="auto"/>
              </w:rPr>
              <w:t>M</w:t>
            </w:r>
          </w:p>
        </w:tc>
      </w:tr>
      <w:tr>
        <w:trPr>
          <w:trHeight w:val="276"/>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Ellen J. Kullman</w:t>
            </w:r>
          </w:p>
        </w:tc>
        <w:tc>
          <w:tcPr>
            <w:tcW w:w="1360" w:type="dxa"/>
            <w:vAlign w:val="bottom"/>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67</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2016</w:t>
            </w:r>
          </w:p>
        </w:tc>
        <w:tc>
          <w:tcPr>
            <w:tcW w:w="680" w:type="dxa"/>
            <w:vAlign w:val="bottom"/>
          </w:tcPr>
          <w:p>
            <w:pPr>
              <w:jc w:val="center"/>
              <w:spacing w:after="0"/>
              <w:rPr>
                <w:sz w:val="20"/>
                <w:szCs w:val="20"/>
                <w:color w:val="auto"/>
              </w:rPr>
            </w:pPr>
            <w:r>
              <w:rPr>
                <w:rFonts w:ascii="Arial" w:cs="Arial" w:eastAsia="Arial" w:hAnsi="Arial"/>
                <w:sz w:val="16"/>
                <w:szCs w:val="16"/>
                <w:color w:val="auto"/>
              </w:rPr>
              <w:t>M</w:t>
            </w:r>
          </w:p>
        </w:tc>
        <w:tc>
          <w:tcPr>
            <w:tcW w:w="1180" w:type="dxa"/>
            <w:vAlign w:val="bottom"/>
          </w:tcPr>
          <w:p>
            <w:pPr>
              <w:jc w:val="center"/>
              <w:spacing w:after="0"/>
              <w:rPr>
                <w:sz w:val="20"/>
                <w:szCs w:val="20"/>
                <w:color w:val="auto"/>
              </w:rPr>
            </w:pPr>
            <w:r>
              <w:rPr>
                <w:rFonts w:ascii="Arial" w:cs="Arial" w:eastAsia="Arial" w:hAnsi="Arial"/>
                <w:sz w:val="16"/>
                <w:szCs w:val="16"/>
                <w:color w:val="auto"/>
              </w:rPr>
              <w:t>M</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1"/>
        </w:trPr>
        <w:tc>
          <w:tcPr>
            <w:tcW w:w="1840" w:type="dxa"/>
            <w:vAlign w:val="bottom"/>
            <w:gridSpan w:val="2"/>
            <w:shd w:val="clear" w:color="auto" w:fill="CCE2F1"/>
          </w:tcPr>
          <w:p>
            <w:pPr>
              <w:ind w:left="40"/>
              <w:spacing w:after="0"/>
              <w:rPr>
                <w:sz w:val="20"/>
                <w:szCs w:val="20"/>
                <w:color w:val="auto"/>
              </w:rPr>
            </w:pPr>
            <w:r>
              <w:rPr>
                <w:rFonts w:ascii="Arial" w:cs="Arial" w:eastAsia="Arial" w:hAnsi="Arial"/>
                <w:sz w:val="16"/>
                <w:szCs w:val="16"/>
                <w:color w:val="auto"/>
              </w:rPr>
              <w:t>Amy E. Miles</w:t>
            </w:r>
          </w:p>
        </w:tc>
        <w:tc>
          <w:tcPr>
            <w:tcW w:w="1360" w:type="dxa"/>
            <w:vAlign w:val="bottom"/>
            <w:shd w:val="clear" w:color="auto" w:fill="CCE2F1"/>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shd w:val="clear" w:color="auto" w:fill="CCE2F1"/>
          </w:tcPr>
          <w:p>
            <w:pPr>
              <w:jc w:val="right"/>
              <w:ind w:right="59"/>
              <w:spacing w:after="0"/>
              <w:rPr>
                <w:sz w:val="20"/>
                <w:szCs w:val="20"/>
                <w:color w:val="auto"/>
              </w:rPr>
            </w:pPr>
            <w:r>
              <w:rPr>
                <w:rFonts w:ascii="Arial" w:cs="Arial" w:eastAsia="Arial" w:hAnsi="Arial"/>
                <w:sz w:val="16"/>
                <w:szCs w:val="16"/>
                <w:color w:val="auto"/>
              </w:rPr>
              <w:t>56</w:t>
            </w:r>
          </w:p>
        </w:tc>
        <w:tc>
          <w:tcPr>
            <w:tcW w:w="90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2020</w:t>
            </w:r>
          </w:p>
        </w:tc>
        <w:tc>
          <w:tcPr>
            <w:tcW w:w="680" w:type="dxa"/>
            <w:vAlign w:val="bottom"/>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1180" w:type="dxa"/>
            <w:vAlign w:val="bottom"/>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1020" w:type="dxa"/>
            <w:vAlign w:val="bottom"/>
            <w:shd w:val="clear" w:color="auto" w:fill="CCE2F1"/>
          </w:tcPr>
          <w:p>
            <w:pPr>
              <w:spacing w:after="0"/>
              <w:rPr>
                <w:sz w:val="24"/>
                <w:szCs w:val="24"/>
                <w:color w:val="auto"/>
              </w:rPr>
            </w:pPr>
          </w:p>
        </w:tc>
        <w:tc>
          <w:tcPr>
            <w:tcW w:w="1360" w:type="dxa"/>
            <w:vAlign w:val="bottom"/>
            <w:shd w:val="clear" w:color="auto" w:fill="CCE2F1"/>
          </w:tcPr>
          <w:p>
            <w:pPr>
              <w:spacing w:after="0"/>
              <w:rPr>
                <w:sz w:val="24"/>
                <w:szCs w:val="24"/>
                <w:color w:val="auto"/>
              </w:rPr>
            </w:pPr>
          </w:p>
        </w:tc>
        <w:tc>
          <w:tcPr>
            <w:tcW w:w="760" w:type="dxa"/>
            <w:vAlign w:val="bottom"/>
            <w:shd w:val="clear" w:color="auto" w:fill="CCE2F1"/>
          </w:tcPr>
          <w:p>
            <w:pPr>
              <w:spacing w:after="0"/>
              <w:rPr>
                <w:sz w:val="24"/>
                <w:szCs w:val="24"/>
                <w:color w:val="auto"/>
              </w:rPr>
            </w:pPr>
          </w:p>
        </w:tc>
        <w:tc>
          <w:tcPr>
            <w:tcW w:w="1360" w:type="dxa"/>
            <w:vAlign w:val="bottom"/>
            <w:shd w:val="clear" w:color="auto" w:fill="CCE2F1"/>
          </w:tcPr>
          <w:p>
            <w:pPr>
              <w:spacing w:after="0"/>
              <w:rPr>
                <w:sz w:val="24"/>
                <w:szCs w:val="24"/>
                <w:color w:val="auto"/>
              </w:rPr>
            </w:pPr>
          </w:p>
        </w:tc>
      </w:tr>
      <w:tr>
        <w:trPr>
          <w:trHeight w:val="276"/>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Ronald D. Sugar</w:t>
            </w:r>
          </w:p>
        </w:tc>
        <w:tc>
          <w:tcPr>
            <w:tcW w:w="1360" w:type="dxa"/>
            <w:vAlign w:val="bottom"/>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74</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2010</w:t>
            </w:r>
          </w:p>
        </w:tc>
        <w:tc>
          <w:tcPr>
            <w:tcW w:w="6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M</w:t>
            </w:r>
          </w:p>
        </w:tc>
        <w:tc>
          <w:tcPr>
            <w:tcW w:w="1020" w:type="dxa"/>
            <w:vAlign w:val="bottom"/>
          </w:tcPr>
          <w:p>
            <w:pPr>
              <w:jc w:val="center"/>
              <w:spacing w:after="0"/>
              <w:rPr>
                <w:sz w:val="20"/>
                <w:szCs w:val="20"/>
                <w:color w:val="auto"/>
              </w:rPr>
            </w:pPr>
            <w:r>
              <w:rPr>
                <w:rFonts w:ascii="Arial" w:cs="Arial" w:eastAsia="Arial" w:hAnsi="Arial"/>
                <w:sz w:val="16"/>
                <w:szCs w:val="16"/>
                <w:color w:val="auto"/>
              </w:rPr>
              <w:t>M</w:t>
            </w: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ind w:left="640"/>
              <w:spacing w:after="0"/>
              <w:rPr>
                <w:sz w:val="20"/>
                <w:szCs w:val="20"/>
                <w:color w:val="auto"/>
              </w:rPr>
            </w:pPr>
            <w:r>
              <w:rPr>
                <w:rFonts w:ascii="Arial" w:cs="Arial" w:eastAsia="Arial" w:hAnsi="Arial"/>
                <w:sz w:val="16"/>
                <w:szCs w:val="16"/>
                <w:color w:val="auto"/>
              </w:rPr>
              <w:t>C</w:t>
            </w:r>
          </w:p>
        </w:tc>
      </w:tr>
      <w:tr>
        <w:trPr>
          <w:trHeight w:val="284"/>
        </w:trPr>
        <w:tc>
          <w:tcPr>
            <w:tcW w:w="1840" w:type="dxa"/>
            <w:vAlign w:val="bottom"/>
            <w:tcBorders>
              <w:bottom w:val="single" w:sz="8" w:color="0171B9"/>
            </w:tcBorders>
            <w:gridSpan w:val="2"/>
            <w:shd w:val="clear" w:color="auto" w:fill="CCE2F1"/>
          </w:tcPr>
          <w:p>
            <w:pPr>
              <w:ind w:left="40"/>
              <w:spacing w:after="0"/>
              <w:rPr>
                <w:sz w:val="20"/>
                <w:szCs w:val="20"/>
                <w:color w:val="auto"/>
              </w:rPr>
            </w:pPr>
            <w:r>
              <w:rPr>
                <w:rFonts w:ascii="Arial" w:cs="Arial" w:eastAsia="Arial" w:hAnsi="Arial"/>
                <w:sz w:val="16"/>
                <w:szCs w:val="16"/>
                <w:color w:val="auto"/>
              </w:rPr>
              <w:t>R. Sanders Williams</w:t>
            </w:r>
          </w:p>
        </w:tc>
        <w:tc>
          <w:tcPr>
            <w:tcW w:w="1360" w:type="dxa"/>
            <w:vAlign w:val="bottom"/>
            <w:tcBorders>
              <w:bottom w:val="single" w:sz="8" w:color="0171B9"/>
            </w:tcBorders>
            <w:shd w:val="clear" w:color="auto" w:fill="CCE2F1"/>
          </w:tcPr>
          <w:p>
            <w:pPr>
              <w:jc w:val="right"/>
              <w:ind w:right="59"/>
              <w:spacing w:after="0" w:line="161" w:lineRule="exact"/>
              <w:rPr>
                <w:sz w:val="20"/>
                <w:szCs w:val="20"/>
                <w:color w:val="auto"/>
              </w:rPr>
            </w:pPr>
            <w:r>
              <w:rPr>
                <w:rFonts w:ascii="MS PGothic" w:cs="MS PGothic" w:eastAsia="MS PGothic" w:hAnsi="MS PGothic"/>
                <w:sz w:val="16"/>
                <w:szCs w:val="16"/>
                <w:color w:val="0171B9"/>
              </w:rPr>
              <w:t>✓</w:t>
            </w:r>
          </w:p>
        </w:tc>
        <w:tc>
          <w:tcPr>
            <w:tcW w:w="560" w:type="dxa"/>
            <w:vAlign w:val="bottom"/>
            <w:tcBorders>
              <w:bottom w:val="single" w:sz="8" w:color="0171B9"/>
            </w:tcBorders>
            <w:shd w:val="clear" w:color="auto" w:fill="CCE2F1"/>
          </w:tcPr>
          <w:p>
            <w:pPr>
              <w:jc w:val="right"/>
              <w:ind w:right="59"/>
              <w:spacing w:after="0"/>
              <w:rPr>
                <w:sz w:val="20"/>
                <w:szCs w:val="20"/>
                <w:color w:val="auto"/>
              </w:rPr>
            </w:pPr>
            <w:r>
              <w:rPr>
                <w:rFonts w:ascii="Arial" w:cs="Arial" w:eastAsia="Arial" w:hAnsi="Arial"/>
                <w:sz w:val="16"/>
                <w:szCs w:val="16"/>
                <w:color w:val="auto"/>
              </w:rPr>
              <w:t>74</w:t>
            </w:r>
          </w:p>
        </w:tc>
        <w:tc>
          <w:tcPr>
            <w:tcW w:w="900" w:type="dxa"/>
            <w:vAlign w:val="bottom"/>
            <w:tcBorders>
              <w:bottom w:val="single" w:sz="8" w:color="0171B9"/>
            </w:tcBorders>
            <w:shd w:val="clear" w:color="auto" w:fill="CCE2F1"/>
          </w:tcPr>
          <w:p>
            <w:pPr>
              <w:jc w:val="right"/>
              <w:ind w:right="39"/>
              <w:spacing w:after="0"/>
              <w:rPr>
                <w:sz w:val="20"/>
                <w:szCs w:val="20"/>
                <w:color w:val="auto"/>
              </w:rPr>
            </w:pPr>
            <w:r>
              <w:rPr>
                <w:rFonts w:ascii="Arial" w:cs="Arial" w:eastAsia="Arial" w:hAnsi="Arial"/>
                <w:sz w:val="16"/>
                <w:szCs w:val="16"/>
                <w:color w:val="auto"/>
              </w:rPr>
              <w:t>2014</w:t>
            </w:r>
          </w:p>
        </w:tc>
        <w:tc>
          <w:tcPr>
            <w:tcW w:w="680" w:type="dxa"/>
            <w:vAlign w:val="bottom"/>
            <w:tcBorders>
              <w:bottom w:val="single" w:sz="8" w:color="0171B9"/>
            </w:tcBorders>
            <w:shd w:val="clear" w:color="auto" w:fill="CCE2F1"/>
          </w:tcPr>
          <w:p>
            <w:pPr>
              <w:spacing w:after="0"/>
              <w:rPr>
                <w:sz w:val="24"/>
                <w:szCs w:val="24"/>
                <w:color w:val="auto"/>
              </w:rPr>
            </w:pPr>
          </w:p>
        </w:tc>
        <w:tc>
          <w:tcPr>
            <w:tcW w:w="1180" w:type="dxa"/>
            <w:vAlign w:val="bottom"/>
            <w:tcBorders>
              <w:bottom w:val="single" w:sz="8" w:color="0171B9"/>
            </w:tcBorders>
            <w:shd w:val="clear" w:color="auto" w:fill="CCE2F1"/>
          </w:tcPr>
          <w:p>
            <w:pPr>
              <w:jc w:val="center"/>
              <w:spacing w:after="0"/>
              <w:rPr>
                <w:sz w:val="20"/>
                <w:szCs w:val="20"/>
                <w:color w:val="auto"/>
              </w:rPr>
            </w:pPr>
            <w:r>
              <w:rPr>
                <w:rFonts w:ascii="Arial" w:cs="Arial" w:eastAsia="Arial" w:hAnsi="Arial"/>
                <w:sz w:val="16"/>
                <w:szCs w:val="16"/>
                <w:color w:val="auto"/>
              </w:rPr>
              <w:t>M</w:t>
            </w:r>
          </w:p>
        </w:tc>
        <w:tc>
          <w:tcPr>
            <w:tcW w:w="1020" w:type="dxa"/>
            <w:vAlign w:val="bottom"/>
            <w:tcBorders>
              <w:bottom w:val="single" w:sz="8" w:color="0171B9"/>
            </w:tcBorders>
            <w:shd w:val="clear" w:color="auto" w:fill="CCE2F1"/>
          </w:tcPr>
          <w:p>
            <w:pPr>
              <w:spacing w:after="0"/>
              <w:rPr>
                <w:sz w:val="24"/>
                <w:szCs w:val="24"/>
                <w:color w:val="auto"/>
              </w:rPr>
            </w:pPr>
          </w:p>
        </w:tc>
        <w:tc>
          <w:tcPr>
            <w:tcW w:w="1360" w:type="dxa"/>
            <w:vAlign w:val="bottom"/>
            <w:tcBorders>
              <w:bottom w:val="single" w:sz="8" w:color="0171B9"/>
            </w:tcBorders>
            <w:shd w:val="clear" w:color="auto" w:fill="CCE2F1"/>
          </w:tcPr>
          <w:p>
            <w:pPr>
              <w:spacing w:after="0"/>
              <w:rPr>
                <w:sz w:val="24"/>
                <w:szCs w:val="24"/>
                <w:color w:val="auto"/>
              </w:rPr>
            </w:pPr>
          </w:p>
        </w:tc>
        <w:tc>
          <w:tcPr>
            <w:tcW w:w="760" w:type="dxa"/>
            <w:vAlign w:val="bottom"/>
            <w:tcBorders>
              <w:bottom w:val="single" w:sz="8" w:color="0171B9"/>
            </w:tcBorders>
            <w:shd w:val="clear" w:color="auto" w:fill="CCE2F1"/>
          </w:tcPr>
          <w:p>
            <w:pPr>
              <w:spacing w:after="0"/>
              <w:rPr>
                <w:sz w:val="24"/>
                <w:szCs w:val="24"/>
                <w:color w:val="auto"/>
              </w:rPr>
            </w:pPr>
          </w:p>
        </w:tc>
        <w:tc>
          <w:tcPr>
            <w:tcW w:w="1360" w:type="dxa"/>
            <w:vAlign w:val="bottom"/>
            <w:tcBorders>
              <w:bottom w:val="single" w:sz="8" w:color="0171B9"/>
            </w:tcBorders>
            <w:shd w:val="clear" w:color="auto" w:fill="CCE2F1"/>
          </w:tcPr>
          <w:p>
            <w:pPr>
              <w:ind w:left="620"/>
              <w:spacing w:after="0"/>
              <w:rPr>
                <w:sz w:val="20"/>
                <w:szCs w:val="20"/>
                <w:color w:val="auto"/>
              </w:rPr>
            </w:pPr>
            <w:r>
              <w:rPr>
                <w:rFonts w:ascii="Arial" w:cs="Arial" w:eastAsia="Arial" w:hAnsi="Arial"/>
                <w:sz w:val="16"/>
                <w:szCs w:val="16"/>
                <w:color w:val="auto"/>
              </w:rPr>
              <w:t>M</w:t>
            </w:r>
          </w:p>
        </w:tc>
      </w:tr>
      <w:tr>
        <w:trPr>
          <w:trHeight w:val="288"/>
        </w:trPr>
        <w:tc>
          <w:tcPr>
            <w:tcW w:w="320" w:type="dxa"/>
            <w:vAlign w:val="bottom"/>
          </w:tcPr>
          <w:p>
            <w:pPr>
              <w:spacing w:after="0"/>
              <w:rPr>
                <w:sz w:val="20"/>
                <w:szCs w:val="20"/>
                <w:color w:val="auto"/>
              </w:rPr>
            </w:pPr>
            <w:r>
              <w:rPr>
                <w:rFonts w:ascii="Arial" w:cs="Arial" w:eastAsia="Arial" w:hAnsi="Arial"/>
                <w:sz w:val="14"/>
                <w:szCs w:val="14"/>
                <w:color w:val="auto"/>
              </w:rPr>
              <w:t>“*”</w:t>
            </w:r>
          </w:p>
        </w:tc>
        <w:tc>
          <w:tcPr>
            <w:tcW w:w="2880" w:type="dxa"/>
            <w:vAlign w:val="bottom"/>
            <w:gridSpan w:val="2"/>
          </w:tcPr>
          <w:p>
            <w:pPr>
              <w:ind w:left="100"/>
              <w:spacing w:after="0"/>
              <w:rPr>
                <w:sz w:val="20"/>
                <w:szCs w:val="20"/>
                <w:color w:val="auto"/>
              </w:rPr>
            </w:pPr>
            <w:r>
              <w:rPr>
                <w:rFonts w:ascii="Arial" w:cs="Arial" w:eastAsia="Arial" w:hAnsi="Arial"/>
                <w:sz w:val="14"/>
                <w:szCs w:val="14"/>
                <w:color w:val="auto"/>
              </w:rPr>
              <w:t>indicates Lead Independent Director.</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2"/>
        </w:trPr>
        <w:tc>
          <w:tcPr>
            <w:tcW w:w="320" w:type="dxa"/>
            <w:vAlign w:val="bottom"/>
          </w:tcPr>
          <w:p>
            <w:pPr>
              <w:spacing w:after="0"/>
              <w:rPr>
                <w:sz w:val="20"/>
                <w:szCs w:val="20"/>
                <w:color w:val="auto"/>
              </w:rPr>
            </w:pPr>
            <w:r>
              <w:rPr>
                <w:rFonts w:ascii="Arial" w:cs="Arial" w:eastAsia="Arial" w:hAnsi="Arial"/>
                <w:sz w:val="14"/>
                <w:szCs w:val="14"/>
                <w:color w:val="auto"/>
              </w:rPr>
              <w:t>“C”</w:t>
            </w:r>
          </w:p>
        </w:tc>
        <w:tc>
          <w:tcPr>
            <w:tcW w:w="2880" w:type="dxa"/>
            <w:vAlign w:val="bottom"/>
            <w:gridSpan w:val="2"/>
          </w:tcPr>
          <w:p>
            <w:pPr>
              <w:ind w:left="100"/>
              <w:spacing w:after="0"/>
              <w:rPr>
                <w:sz w:val="20"/>
                <w:szCs w:val="20"/>
                <w:color w:val="auto"/>
              </w:rPr>
            </w:pPr>
            <w:r>
              <w:rPr>
                <w:rFonts w:ascii="Arial" w:cs="Arial" w:eastAsia="Arial" w:hAnsi="Arial"/>
                <w:sz w:val="14"/>
                <w:szCs w:val="14"/>
                <w:color w:val="auto"/>
              </w:rPr>
              <w:t>indicates Chair of the committee.</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320" w:type="dxa"/>
            <w:vAlign w:val="bottom"/>
          </w:tcPr>
          <w:p>
            <w:pPr>
              <w:spacing w:after="0"/>
              <w:rPr>
                <w:sz w:val="20"/>
                <w:szCs w:val="20"/>
                <w:color w:val="auto"/>
              </w:rPr>
            </w:pPr>
            <w:r>
              <w:rPr>
                <w:rFonts w:ascii="Arial" w:cs="Arial" w:eastAsia="Arial" w:hAnsi="Arial"/>
                <w:sz w:val="14"/>
                <w:szCs w:val="14"/>
                <w:color w:val="auto"/>
              </w:rPr>
              <w:t>“M”</w:t>
            </w:r>
          </w:p>
        </w:tc>
        <w:tc>
          <w:tcPr>
            <w:tcW w:w="2880" w:type="dxa"/>
            <w:vAlign w:val="bottom"/>
            <w:gridSpan w:val="2"/>
          </w:tcPr>
          <w:p>
            <w:pPr>
              <w:ind w:left="100"/>
              <w:spacing w:after="0"/>
              <w:rPr>
                <w:sz w:val="20"/>
                <w:szCs w:val="20"/>
                <w:color w:val="auto"/>
              </w:rPr>
            </w:pPr>
            <w:r>
              <w:rPr>
                <w:rFonts w:ascii="Arial" w:cs="Arial" w:eastAsia="Arial" w:hAnsi="Arial"/>
                <w:sz w:val="14"/>
                <w:szCs w:val="14"/>
                <w:color w:val="auto"/>
              </w:rPr>
              <w:t>indicates member of the committee.</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439"/>
        </w:trPr>
        <w:tc>
          <w:tcPr>
            <w:tcW w:w="320" w:type="dxa"/>
            <w:vAlign w:val="bottom"/>
          </w:tcPr>
          <w:p>
            <w:pPr>
              <w:spacing w:after="0"/>
              <w:rPr>
                <w:sz w:val="20"/>
                <w:szCs w:val="20"/>
                <w:color w:val="auto"/>
              </w:rPr>
            </w:pPr>
            <w:r>
              <w:rPr>
                <w:rFonts w:ascii="Arial" w:cs="Arial" w:eastAsia="Arial" w:hAnsi="Arial"/>
                <w:sz w:val="20"/>
                <w:szCs w:val="20"/>
                <w:b w:val="1"/>
                <w:bCs w:val="1"/>
                <w:color w:val="474747"/>
              </w:rPr>
              <w:t>8</w:t>
            </w:r>
          </w:p>
        </w:tc>
        <w:tc>
          <w:tcPr>
            <w:tcW w:w="3440" w:type="dxa"/>
            <w:vAlign w:val="bottom"/>
            <w:gridSpan w:val="3"/>
          </w:tcPr>
          <w:p>
            <w:pPr>
              <w:jc w:val="right"/>
              <w:ind w:right="139"/>
              <w:spacing w:after="0"/>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-3021965</wp:posOffset>
            </wp:positionV>
            <wp:extent cx="6995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-184785</wp:posOffset>
            </wp:positionV>
            <wp:extent cx="58293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205740</wp:posOffset>
            </wp:positionV>
            <wp:extent cx="2082800" cy="2146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82800" cy="214630"/>
                    </a:xfrm>
                    <a:prstGeom prst="rect">
                      <a:avLst/>
                    </a:prstGeom>
                    <a:noFill/>
                  </pic:spPr>
                </pic:pic>
              </a:graphicData>
            </a:graphic>
          </wp:anchor>
        </w:drawing>
      </w:r>
    </w:p>
    <w:p>
      <w:pPr>
        <w:spacing w:after="0" w:line="312" w:lineRule="exact"/>
        <w:rPr>
          <w:sz w:val="20"/>
          <w:szCs w:val="20"/>
          <w:color w:val="auto"/>
        </w:rPr>
      </w:pPr>
    </w:p>
    <w:p>
      <w:pPr>
        <w:ind w:left="8000"/>
        <w:spacing w:after="0"/>
        <w:rPr>
          <w:sz w:val="20"/>
          <w:szCs w:val="20"/>
          <w:color w:val="auto"/>
        </w:rPr>
      </w:pPr>
      <w:r>
        <w:rPr>
          <w:rFonts w:ascii="Arial" w:cs="Arial" w:eastAsia="Arial" w:hAnsi="Arial"/>
          <w:sz w:val="22"/>
          <w:szCs w:val="22"/>
          <w:b w:val="1"/>
          <w:bCs w:val="1"/>
          <w:color w:val="FFFFFF"/>
        </w:rPr>
        <w:t>Item 1 — Election of Directors</w:t>
      </w: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Summary of Director Nominee Core Experiences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Our Board consists of a diverse group of highly qualified leaders in their respective fields. Most of our directors have senior leadership experience at large companies and have gained significant and wide-ranging management experience (including strategic and financial planning, public company financial reporting, compliance, risk management, and leadership development). Many of our directors also have public company experience (serving as chief executive officers or chief financial officers, on boards of directors and board committees), an understanding of corporate governance practices and trends, and bring unique perspectives to the Board. A number of our directors have extensive scientific and healthcare expertise relevant to our industry, including pioneering scientific research in the areas of oncology and cardiology and experience leading important academic institutions. The Board and the Governance Committee believe the skills, qualities, attributes, experience and diversity of backgrounds of our directors provide us with a wide range of perspectives to effectively address our evolving needs and represent the best interests of our stockholders.</w:t>
      </w:r>
    </w:p>
    <w:p>
      <w:pPr>
        <w:spacing w:after="0" w:line="74"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b w:val="1"/>
          <w:bCs w:val="1"/>
          <w:i w:val="1"/>
          <w:iCs w:val="1"/>
          <w:color w:val="0171B9"/>
        </w:rPr>
        <w:t xml:space="preserve">Our Board possesses a deep and broad set of skills and experiences that facilitate strong oversight and strategic direction for a leading global innovator in biotechnology. </w:t>
      </w:r>
      <w:r>
        <w:rPr>
          <w:rFonts w:ascii="Arial" w:cs="Arial" w:eastAsia="Arial" w:hAnsi="Arial"/>
          <w:sz w:val="17"/>
          <w:szCs w:val="17"/>
          <w:color w:val="000000"/>
        </w:rPr>
        <w:t>The following chart summarizes the competencies of each director nominee. The details of each</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nominee’s competencies are included in each nominee’s 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144780</wp:posOffset>
            </wp:positionV>
            <wp:extent cx="5966460" cy="1920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646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120" w:right="20"/>
        <w:spacing w:after="0" w:line="223" w:lineRule="exact"/>
        <w:rPr>
          <w:sz w:val="20"/>
          <w:szCs w:val="20"/>
          <w:color w:val="auto"/>
        </w:rPr>
      </w:pPr>
      <w:r>
        <w:rPr>
          <w:rFonts w:ascii="Arial" w:cs="Arial" w:eastAsia="Arial" w:hAnsi="Arial"/>
          <w:sz w:val="17"/>
          <w:szCs w:val="17"/>
          <w:color w:val="auto"/>
        </w:rPr>
        <w:t>The lack of a “</w:t>
      </w:r>
      <w:r>
        <w:rPr>
          <w:rFonts w:ascii="MS PGothic" w:cs="MS PGothic" w:eastAsia="MS PGothic" w:hAnsi="MS PGothic"/>
          <w:sz w:val="17"/>
          <w:szCs w:val="17"/>
          <w:color w:val="auto"/>
        </w:rPr>
        <w:t>✓</w:t>
      </w:r>
      <w:r>
        <w:rPr>
          <w:rFonts w:ascii="Arial" w:cs="Arial" w:eastAsia="Arial" w:hAnsi="Arial"/>
          <w:sz w:val="17"/>
          <w:szCs w:val="17"/>
          <w:color w:val="auto"/>
        </w:rPr>
        <w:t xml:space="preserve">” for a particular item does not mean that the director does not possess that qualification, characteristic, skill, or experience. Each of our Board members have experience and/or skills in the enumerated areas, however, the </w:t>
      </w:r>
      <w:r>
        <w:rPr>
          <w:rFonts w:ascii="MS PGothic" w:cs="MS PGothic" w:eastAsia="MS PGothic" w:hAnsi="MS PGothic"/>
          <w:sz w:val="17"/>
          <w:szCs w:val="17"/>
          <w:color w:val="auto"/>
        </w:rPr>
        <w:t>✓</w:t>
      </w:r>
      <w:r>
        <w:rPr>
          <w:rFonts w:ascii="Arial" w:cs="Arial" w:eastAsia="Arial" w:hAnsi="Arial"/>
          <w:sz w:val="17"/>
          <w:szCs w:val="17"/>
          <w:color w:val="auto"/>
        </w:rPr>
        <w:t xml:space="preserve"> is designed to indicate that a director has a particular strength in that area.</w:t>
      </w:r>
    </w:p>
    <w:p>
      <w:pPr>
        <w:spacing w:after="0" w:line="12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20"/>
          <w:szCs w:val="20"/>
          <w:b w:val="1"/>
          <w:bCs w:val="1"/>
          <w:color w:val="474747"/>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-162560</wp:posOffset>
            </wp:positionV>
            <wp:extent cx="58293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205740</wp:posOffset>
            </wp:positionV>
            <wp:extent cx="2082800" cy="2146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82800" cy="214630"/>
                    </a:xfrm>
                    <a:prstGeom prst="rect">
                      <a:avLst/>
                    </a:prstGeom>
                    <a:noFill/>
                  </pic:spPr>
                </pic:pic>
              </a:graphicData>
            </a:graphic>
          </wp:anchor>
        </w:drawing>
      </w:r>
    </w:p>
    <w:p>
      <w:pPr>
        <w:spacing w:after="0" w:line="312" w:lineRule="exact"/>
        <w:rPr>
          <w:sz w:val="20"/>
          <w:szCs w:val="20"/>
          <w:color w:val="auto"/>
        </w:rPr>
      </w:pPr>
    </w:p>
    <w:p>
      <w:pPr>
        <w:ind w:left="8000"/>
        <w:spacing w:after="0"/>
        <w:rPr>
          <w:sz w:val="20"/>
          <w:szCs w:val="20"/>
          <w:color w:val="auto"/>
        </w:rPr>
      </w:pPr>
      <w:r>
        <w:rPr>
          <w:rFonts w:ascii="Arial" w:cs="Arial" w:eastAsia="Arial" w:hAnsi="Arial"/>
          <w:sz w:val="22"/>
          <w:szCs w:val="22"/>
          <w:b w:val="1"/>
          <w:bCs w:val="1"/>
          <w:color w:val="FFFFFF"/>
        </w:rPr>
        <w:t>Item 1 — Election of Directors</w:t>
      </w:r>
    </w:p>
    <w:p>
      <w:pPr>
        <w:spacing w:after="0" w:line="347"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b w:val="1"/>
          <w:bCs w:val="1"/>
          <w:color w:val="0171B9"/>
        </w:rPr>
        <w:t>THE BOARD OF DIRECTORS RECOMMENDS A VOTE “FOR” EACH OF THE NAMED NOMINEES. PROXIES WILL BE VOTED “FOR” THE ELECTION OF THE NOMINEES UNLESS OTHERWISE SPECIFIED.</w:t>
      </w:r>
    </w:p>
    <w:p>
      <w:pPr>
        <w:spacing w:after="0" w:line="76"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 xml:space="preserve">Set forth below is biographical information for each nominee and a summary of the specific qualifications, attributes, skills, and experiences which led our Board to conclude that each nominee should serve on the Board at this time. All of our directors meet the qualifications and skills of our Amgen Inc. Board of Directors Guidelines for Director Qualifications and Evaluations included in this proxy statement as </w:t>
      </w:r>
      <w:r>
        <w:rPr>
          <w:rFonts w:ascii="Arial" w:cs="Arial" w:eastAsia="Arial" w:hAnsi="Arial"/>
          <w:sz w:val="18"/>
          <w:szCs w:val="18"/>
          <w:b w:val="1"/>
          <w:bCs w:val="1"/>
          <w:color w:val="auto"/>
        </w:rPr>
        <w:t>Appendix A</w:t>
      </w:r>
      <w:r>
        <w:rPr>
          <w:rFonts w:ascii="Arial" w:cs="Arial" w:eastAsia="Arial" w:hAnsi="Arial"/>
          <w:sz w:val="18"/>
          <w:szCs w:val="18"/>
          <w:color w:val="auto"/>
        </w:rPr>
        <w:t>. There are no family relationships among any of our directors or among any of our directors and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30257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3025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310" w:lineRule="exact"/>
        <w:rPr>
          <w:sz w:val="20"/>
          <w:szCs w:val="20"/>
          <w:color w:val="auto"/>
        </w:rPr>
      </w:pPr>
    </w:p>
    <w:p>
      <w:pPr>
        <w:ind w:left="200"/>
        <w:spacing w:after="0"/>
        <w:rPr>
          <w:sz w:val="20"/>
          <w:szCs w:val="20"/>
          <w:color w:val="auto"/>
        </w:rPr>
      </w:pPr>
      <w:r>
        <w:rPr>
          <w:rFonts w:ascii="Arial" w:cs="Arial" w:eastAsia="Arial" w:hAnsi="Arial"/>
          <w:sz w:val="25"/>
          <w:szCs w:val="25"/>
          <w:b w:val="1"/>
          <w:bCs w:val="1"/>
          <w:i w:val="1"/>
          <w:iCs w:val="1"/>
          <w:color w:val="0171B9"/>
        </w:rPr>
        <w:t>Wanda M. Austin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2017</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68</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Committees: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Audit</w:t>
      </w:r>
    </w:p>
    <w:p>
      <w:pPr>
        <w:ind w:left="340" w:hanging="129"/>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Compensation and Management</w:t>
      </w:r>
      <w:r>
        <w:rPr>
          <w:rFonts w:ascii="Arial" w:cs="Arial" w:eastAsia="Arial" w:hAnsi="Arial"/>
          <w:sz w:val="17"/>
          <w:szCs w:val="17"/>
          <w:color w:val="0171B9"/>
        </w:rPr>
        <w:t xml:space="preserve"> </w:t>
      </w:r>
      <w:r>
        <w:rPr>
          <w:rFonts w:ascii="Arial" w:cs="Arial" w:eastAsia="Arial" w:hAnsi="Arial"/>
          <w:sz w:val="17"/>
          <w:szCs w:val="17"/>
          <w:color w:val="000000"/>
        </w:rPr>
        <w:t>Development</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Other Public Company Boards: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Chevron Corporation</w:t>
      </w: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Virgin Galactic Holdings, Inc.</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Wanda M. Austin is the retired President and Chief Executive Officer of The Aerospace Corporation, a leading architect of the United States’ national security space programs, where she served from 2008 until her retirement in 2016. From 2004 to 2007, Dr. Austin was Senior Vice President, National Systems Group of The Aerospace Corporation. Dr. Austin joined The Aerospace Corporation in 1979 and served in various positions from 1979 until 2004.</w:t>
      </w:r>
    </w:p>
    <w:p>
      <w:pPr>
        <w:spacing w:after="0" w:line="10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Dr. Austin was the Interim President of the University of Southern California, or USC, from 2018 to 2019 and has served as an Adjunct Research Professor at USC’s Viterbi School of Engineering since 2007. She is the co-founder of MakingSpace, Inc., where she serves as a motivational speaker on science, technology, engineering, and mathematics (STEM) education. Dr. Austin has been a director of Chevron Corporation, a petroleum, exploration, production and refining company, since 2016 and lead independent director since May 2022, serving as the Chair of the Board Nominating and Governance Committee and a member of the Management Compensation Committee. Dr. Austin has been a director of Virgin Galactic Holdings, Inc., a commercial space flight company, since 2019, serving as the Chair of the Compensation Committee and a member of the Safety Committee. Dr. Austin is a life trustee of USC, having served as a voting trustee from 2010 to 2021, and previously served on the boards of directors of the National Geographic Society and the Space Foundation. Dr. Austin received an undergraduate degree from Franklin &amp; Marshall College, a master’s degree from the University of Pittsburgh, and a doctorate from USC. She is a member of the National Academy of Engineering.</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0171B9"/>
        </w:rPr>
        <w:t>Qualifications</w:t>
      </w:r>
    </w:p>
    <w:p>
      <w:pPr>
        <w:spacing w:after="0" w:line="135"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Our Board concluded that Dr. Austin should serve on our Board based on her leadership and management experience as a chief executive officer, her extensive background in science, technology, and government affairs in a highly regulated industry, and her public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200660</wp:posOffset>
            </wp:positionV>
            <wp:extent cx="6995160" cy="258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25800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440"/>
            <w:col w:w="7900"/>
          </w:cols>
          <w:pgMar w:left="320" w:top="486" w:right="439" w:bottom="1440" w:gutter="0" w:footer="0" w:header="0"/>
          <w:type w:val="continuous"/>
        </w:sectPr>
      </w:pPr>
    </w:p>
    <w:p>
      <w:pPr>
        <w:spacing w:after="0" w:line="195" w:lineRule="exact"/>
        <w:rPr>
          <w:sz w:val="20"/>
          <w:szCs w:val="20"/>
          <w:color w:val="auto"/>
        </w:rPr>
      </w:pPr>
    </w:p>
    <w:p>
      <w:pPr>
        <w:ind w:left="200"/>
        <w:spacing w:after="0"/>
        <w:rPr>
          <w:sz w:val="20"/>
          <w:szCs w:val="20"/>
          <w:color w:val="auto"/>
        </w:rPr>
      </w:pPr>
      <w:r>
        <w:rPr>
          <w:rFonts w:ascii="Arial" w:cs="Arial" w:eastAsia="Arial" w:hAnsi="Arial"/>
          <w:sz w:val="25"/>
          <w:szCs w:val="25"/>
          <w:b w:val="1"/>
          <w:bCs w:val="1"/>
          <w:i w:val="1"/>
          <w:iCs w:val="1"/>
          <w:color w:val="0171B9"/>
        </w:rPr>
        <w:t>Robert A. Bradway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2011</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60</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Committees: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Equity Award</w:t>
      </w: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Executive (Chair)</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Other Public Company Boards: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The Boeing Company</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Robert A. Bradway has served as our director since 2011 and Chairman of the Board since 2013. Mr. Bradway has been our President since 2010 and Chief Executive Officer since 2012. From 2010 to 2012, Mr. Bradway served as our Chief Operating Officer. Mr. Bradway joined Amgen in 2006 as Vice President, Operations Strategy and served as Executive Vice President and Chief Financial Officer from 2007 to 2010. Prior to joining Amgen, he was a Managing Director at Morgan Stanley in London where, beginning in 2001, he had responsibility for the firm’s banking department and corporate finance activities in Europe.</w:t>
      </w:r>
    </w:p>
    <w:p>
      <w:pPr>
        <w:spacing w:after="0" w:line="11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Mr. Bradway has been a director of The Boeing Company, an aerospace company and manufacturer of commercial airplanes, defense, space and securities systems, since 2016, serving as the Chair of the Finance Committee and a member of the Governance and Public Policy Committee. From 2011 to 2017, Mr. Bradway was a director of Norfolk Southern Corporation, a transportation company. He has served on the board of trustees of the USC since 2014. Mr. Bradway holds a bachelor’s degree in biology from Amherst College and a master’s degree in business administration from Harvard Business School.</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0171B9"/>
        </w:rPr>
        <w:t>Qualifications</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Our Board concluded that Mr. Bradway should serve on our Board based on his thorough knowledge of all aspects of our business, combined with his leadership and management skills having previously served as our President and Chief Operating Officer and as our Chief Financial Officer.</w:t>
      </w:r>
    </w:p>
    <w:p>
      <w:pPr>
        <w:spacing w:after="0" w:line="272" w:lineRule="exact"/>
        <w:rPr>
          <w:sz w:val="20"/>
          <w:szCs w:val="20"/>
          <w:color w:val="auto"/>
        </w:rPr>
      </w:pPr>
    </w:p>
    <w:p>
      <w:pPr>
        <w:sectPr>
          <w:pgSz w:w="11900" w:h="16838" w:orient="portrait"/>
          <w:cols w:equalWidth="0" w:num="2">
            <w:col w:w="2740" w:space="500"/>
            <w:col w:w="7900"/>
          </w:cols>
          <w:pgMar w:left="320" w:top="486" w:right="439" w:bottom="1440" w:gutter="0" w:footer="0" w:header="0"/>
          <w:type w:val="continuous"/>
        </w:sectPr>
      </w:pPr>
    </w:p>
    <w:p>
      <w:pPr>
        <w:spacing w:after="0" w:line="107"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10</w:t>
      </w:r>
      <w:r>
        <w:rPr>
          <w:sz w:val="20"/>
          <w:szCs w:val="20"/>
          <w:color w:val="auto"/>
        </w:rPr>
        <w:tab/>
      </w:r>
      <w:r>
        <w:rPr>
          <w:sz w:val="1"/>
          <w:szCs w:val="1"/>
          <w:color w:val="auto"/>
        </w:rPr>
        <w:drawing>
          <wp:inline distT="0" distB="0" distL="0" distR="0">
            <wp:extent cx="582930" cy="1371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205740</wp:posOffset>
            </wp:positionV>
            <wp:extent cx="2082800" cy="2146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82800" cy="214630"/>
                    </a:xfrm>
                    <a:prstGeom prst="rect">
                      <a:avLst/>
                    </a:prstGeom>
                    <a:noFill/>
                  </pic:spPr>
                </pic:pic>
              </a:graphicData>
            </a:graphic>
          </wp:anchor>
        </w:drawing>
      </w: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9057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29057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25"/>
          <w:szCs w:val="25"/>
          <w:b w:val="1"/>
          <w:bCs w:val="1"/>
          <w:i w:val="1"/>
          <w:iCs w:val="1"/>
          <w:color w:val="0171B9"/>
        </w:rPr>
        <w:t>Michael V. Drake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2022</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72</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Committees: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Corporate Responsibility and</w:t>
      </w:r>
    </w:p>
    <w:p>
      <w:pPr>
        <w:ind w:left="340"/>
        <w:spacing w:after="0" w:line="232" w:lineRule="auto"/>
        <w:rPr>
          <w:sz w:val="20"/>
          <w:szCs w:val="20"/>
          <w:color w:val="auto"/>
        </w:rPr>
      </w:pPr>
      <w:r>
        <w:rPr>
          <w:rFonts w:ascii="Arial" w:cs="Arial" w:eastAsia="Arial" w:hAnsi="Arial"/>
          <w:sz w:val="17"/>
          <w:szCs w:val="17"/>
          <w:color w:val="auto"/>
        </w:rPr>
        <w:t>Compliance</w:t>
      </w: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Governance and Nominating</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Other Public Company Boards: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Michael V. Drake has served as a director of the Company since August 2022. Dr. Drake was first suggested to the Governance and Nominating Committee as a potential director candidate during his tenure at The Ohio State University by the Chairman and another member of the Board. Upon review of Dr. Drake’s qualifications and review of his public record of achievement, the Governance Committee held discussions with Dr. Drake over the next few years, culminating in his appointment.</w:t>
      </w:r>
    </w:p>
    <w:p>
      <w:pPr>
        <w:spacing w:after="0" w:line="10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Dr. Drake has been President of the University of California, a system of 10 campuses, five medical centers, and three nationally affiliated labs that serves more than 280,000 students and employs 230,000 faculty and staff, since 2020. Dr. Drake previously served as President of The Ohio State University from 2014 to 2020. He was Chancellor and Distinguished Professor of Ophthalmology (School of Medicine) and Education (School of Education) of the University of California, Irvine, from 2005 to 2014, and served as Vice President for Health Affairs for the University of California system from 2000 to 2005. Prior to this, Dr. Drake was on the faculty of the University of California, San Francisco School of Medicine in various roles from 1979, and was the Steven P. Shearing Professor of Ophthalmology from 1998 to 2005 and Senior Associate Dean for Admissions and Extramural Academic Programs from 1998 to 2000. Dr. Drake received his undergraduate degree from Stanford University and his medical doctorate from the University of California, San Francisco.</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171B9"/>
        </w:rPr>
        <w:t>Qualifications</w:t>
      </w:r>
    </w:p>
    <w:p>
      <w:pPr>
        <w:spacing w:after="0" w:line="13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Our Board concluded that Dr. Drake should serve on our Board based on his medical, healthcare and scientific background and his extensive management and leadership experience, including his more than two decades of leading and advancing two world-ranking academic systems where he has demonstrated his expertise at managing complex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158750</wp:posOffset>
            </wp:positionV>
            <wp:extent cx="6995160" cy="32232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32232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40" w:space="500"/>
            <w:col w:w="7900"/>
          </w:cols>
          <w:pgMar w:left="320" w:top="486" w:right="439" w:bottom="1440" w:gutter="0" w:footer="0" w:header="0"/>
          <w:type w:val="continuous"/>
        </w:sectPr>
      </w:pPr>
    </w:p>
    <w:p>
      <w:pPr>
        <w:spacing w:after="0" w:line="129" w:lineRule="exact"/>
        <w:rPr>
          <w:sz w:val="20"/>
          <w:szCs w:val="20"/>
          <w:color w:val="auto"/>
        </w:rPr>
      </w:pPr>
    </w:p>
    <w:p>
      <w:pPr>
        <w:ind w:left="200"/>
        <w:spacing w:after="0"/>
        <w:rPr>
          <w:sz w:val="20"/>
          <w:szCs w:val="20"/>
          <w:color w:val="auto"/>
        </w:rPr>
      </w:pPr>
      <w:r>
        <w:rPr>
          <w:rFonts w:ascii="Arial" w:cs="Arial" w:eastAsia="Arial" w:hAnsi="Arial"/>
          <w:sz w:val="25"/>
          <w:szCs w:val="25"/>
          <w:b w:val="1"/>
          <w:bCs w:val="1"/>
          <w:i w:val="1"/>
          <w:iCs w:val="1"/>
          <w:color w:val="0171B9"/>
        </w:rPr>
        <w:t>Brian J. Druker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2018</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67</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Committees: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Compensation and Management</w:t>
      </w:r>
    </w:p>
    <w:p>
      <w:pPr>
        <w:ind w:left="340"/>
        <w:spacing w:after="0" w:line="232" w:lineRule="auto"/>
        <w:rPr>
          <w:sz w:val="20"/>
          <w:szCs w:val="20"/>
          <w:color w:val="auto"/>
        </w:rPr>
      </w:pPr>
      <w:r>
        <w:rPr>
          <w:rFonts w:ascii="Arial" w:cs="Arial" w:eastAsia="Arial" w:hAnsi="Arial"/>
          <w:sz w:val="17"/>
          <w:szCs w:val="17"/>
          <w:color w:val="auto"/>
        </w:rPr>
        <w:t>Development</w:t>
      </w:r>
    </w:p>
    <w:p>
      <w:pPr>
        <w:ind w:left="200"/>
        <w:spacing w:after="0" w:line="232"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Corporate Responsibility and</w:t>
      </w:r>
    </w:p>
    <w:p>
      <w:pPr>
        <w:ind w:left="340"/>
        <w:spacing w:after="0"/>
        <w:rPr>
          <w:sz w:val="20"/>
          <w:szCs w:val="20"/>
          <w:color w:val="auto"/>
        </w:rPr>
      </w:pPr>
      <w:r>
        <w:rPr>
          <w:rFonts w:ascii="Arial" w:cs="Arial" w:eastAsia="Arial" w:hAnsi="Arial"/>
          <w:sz w:val="17"/>
          <w:szCs w:val="17"/>
          <w:color w:val="auto"/>
        </w:rPr>
        <w:t>Compliance</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Other Public Company Boards: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Vincerx Pharma, Inc.</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Brian J. Druker joined Oregon Health &amp; Science University, or OHSU, in 1993 and is currently a physician-scientist and professor of medicine. Dr. Druker has served as the director of the OHSU Knight Cancer Institute since 2007, associate dean for oncology of the OHSU School of Medicine since 2010, and the JELD-WEN chair of leukemia research at OHSU since 2001. He was an investigator with the Howard Hughes Medical Institute, a nonprofit medical research organization, from 2002 to 2019.</w:t>
      </w:r>
    </w:p>
    <w:p>
      <w:pPr>
        <w:spacing w:after="0" w:line="109"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Dr. Druker has been a director of Vincerx Pharma, Inc., a biopharmaceutical company, since December 2020, and serves on its Nominating and Corporate Governance Committee. Dr. Druker has been a member of the scientific advisory board of Aptose Biosciences Inc., a biotechnology company, since 2013. Dr. Druker served on the scientific advisory board from 2016 to 2019 and, since 2021, has been a consultant to GRAIL, Inc., a biotechnology company that was acquired by Illumina, Inc. in 2021. In 2011, he founded Blueprint Medicines Corporation, a biopharmaceutical company, and remains as a scientific advisor to this company. In 2006, he founded MolecularMD, a privately-held molecular diagnostics company that was acquired by ICON plc in 2019.</w:t>
      </w:r>
    </w:p>
    <w:p>
      <w:pPr>
        <w:spacing w:after="0" w:line="109"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Dr. Druker has received numerous awards, including the Lasker-DeBakey Clinical Research Award in 2009, the Japan Prize in Healthcare and Medical Technology in 2012, the Albany Medical Center Prize in 2013, and the Sjöberg Prize in 2019, for influential work in the development of STI571 (Gleevec</w:t>
      </w:r>
      <w:r>
        <w:rPr>
          <w:rFonts w:ascii="Arial" w:cs="Arial" w:eastAsia="Arial" w:hAnsi="Arial"/>
          <w:sz w:val="12"/>
          <w:szCs w:val="12"/>
          <w:color w:val="auto"/>
        </w:rPr>
        <w:t>®</w:t>
      </w:r>
      <w:r>
        <w:rPr>
          <w:rFonts w:ascii="Arial" w:cs="Arial" w:eastAsia="Arial" w:hAnsi="Arial"/>
          <w:sz w:val="17"/>
          <w:szCs w:val="17"/>
          <w:color w:val="auto"/>
        </w:rPr>
        <w:t>) for the treatment of chronic myeloid leukemia. He was elected to the National Academy of Sciences in 2012 as well as the National Academy of Medicine in 2007. Dr. Druker received both an undergraduate degree and his medical doctorate from the University of California, San Diego.</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0171B9"/>
        </w:rPr>
        <w:t>Qualifications</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Our Board concluded that Dr. Druker should serve on our Board based on his extensive scientific research and expertise leading an important academic institution, conducting highly significant research in the area of oncology, and directly managing the care of cancer patients.</w:t>
      </w:r>
    </w:p>
    <w:p>
      <w:pPr>
        <w:spacing w:after="0" w:line="137" w:lineRule="exact"/>
        <w:rPr>
          <w:sz w:val="20"/>
          <w:szCs w:val="20"/>
          <w:color w:val="auto"/>
        </w:rPr>
      </w:pPr>
    </w:p>
    <w:p>
      <w:pPr>
        <w:sectPr>
          <w:pgSz w:w="11900" w:h="16838" w:orient="portrait"/>
          <w:cols w:equalWidth="0" w:num="2">
            <w:col w:w="2800" w:space="440"/>
            <w:col w:w="7900"/>
          </w:cols>
          <w:pgMar w:left="320" w:top="486" w:right="439" w:bottom="1440" w:gutter="0" w:footer="0" w:header="0"/>
          <w:type w:val="continuous"/>
        </w:sect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205740</wp:posOffset>
            </wp:positionV>
            <wp:extent cx="2082800" cy="2139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82800" cy="213995"/>
                    </a:xfrm>
                    <a:prstGeom prst="rect">
                      <a:avLst/>
                    </a:prstGeom>
                    <a:noFill/>
                  </pic:spPr>
                </pic:pic>
              </a:graphicData>
            </a:graphic>
          </wp:anchor>
        </w:drawing>
      </w: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35058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350583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25"/>
          <w:szCs w:val="25"/>
          <w:b w:val="1"/>
          <w:bCs w:val="1"/>
          <w:i w:val="1"/>
          <w:iCs w:val="1"/>
          <w:color w:val="0171B9"/>
        </w:rPr>
        <w:t>Robert A. Eckert</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0171B9"/>
        </w:rPr>
        <w:t>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2012</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68</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Committees:</w:t>
      </w:r>
    </w:p>
    <w:p>
      <w:pPr>
        <w:spacing w:after="0" w:line="14" w:lineRule="exact"/>
        <w:rPr>
          <w:sz w:val="20"/>
          <w:szCs w:val="20"/>
          <w:color w:val="auto"/>
        </w:rPr>
      </w:pPr>
    </w:p>
    <w:p>
      <w:pPr>
        <w:ind w:left="340" w:hanging="129"/>
        <w:spacing w:after="0" w:line="246" w:lineRule="auto"/>
        <w:rPr>
          <w:sz w:val="20"/>
          <w:szCs w:val="20"/>
          <w:color w:val="auto"/>
        </w:rPr>
      </w:pPr>
      <w:r>
        <w:rPr>
          <w:rFonts w:ascii="Arial" w:cs="Arial" w:eastAsia="Arial" w:hAnsi="Arial"/>
          <w:sz w:val="16"/>
          <w:szCs w:val="16"/>
          <w:color w:val="0171B9"/>
        </w:rPr>
        <w:t>•</w:t>
      </w:r>
      <w:r>
        <w:rPr>
          <w:rFonts w:ascii="Arial" w:cs="Arial" w:eastAsia="Arial" w:hAnsi="Arial"/>
          <w:sz w:val="16"/>
          <w:szCs w:val="16"/>
          <w:color w:val="000000"/>
        </w:rPr>
        <w:t>  Compensation and Management</w:t>
      </w:r>
      <w:r>
        <w:rPr>
          <w:rFonts w:ascii="Arial" w:cs="Arial" w:eastAsia="Arial" w:hAnsi="Arial"/>
          <w:sz w:val="16"/>
          <w:szCs w:val="16"/>
          <w:color w:val="0171B9"/>
        </w:rPr>
        <w:t xml:space="preserve"> </w:t>
      </w:r>
      <w:r>
        <w:rPr>
          <w:rFonts w:ascii="Arial" w:cs="Arial" w:eastAsia="Arial" w:hAnsi="Arial"/>
          <w:sz w:val="16"/>
          <w:szCs w:val="16"/>
          <w:color w:val="000000"/>
        </w:rPr>
        <w:t>Development (Chair)</w:t>
      </w:r>
    </w:p>
    <w:p>
      <w:pPr>
        <w:ind w:left="200"/>
        <w:spacing w:after="0" w:line="23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Executive</w:t>
      </w: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Governance and Nominating</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Other Public Company Boards: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Levi Strauss &amp; Co.</w:t>
      </w:r>
    </w:p>
    <w:p>
      <w:pPr>
        <w:ind w:left="200"/>
        <w:spacing w:after="0" w:line="232"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McDonald’s Corporation</w:t>
      </w: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Uber Technologies,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Robert A. Eckert is our lead independent director. Mr. Eckert has been an Operating Partner at FFL Partners, LLC (formerly known as Friedman Fleischer &amp; Lowe, LLP), a private equity firm, since 2014. Mr. Eckert was the Chief Executive Officer of Mattel, Inc., a toy design, manufacture and marketing company, having held this position from 2000 through 2011, and its Chairman of the Board from 2000 through 2012. He was President and Chief Executive Officer of Kraft Foods Inc., a consumer packaged food and beverage company, from 1997 to 2000, Group Vice President from 1995 to 1997, President of the Oscar Mayer Foods Division from 1993 to 1995 and held various other senior executive and other positions from 1977 to 1992.</w:t>
      </w:r>
    </w:p>
    <w:p>
      <w:pPr>
        <w:spacing w:after="0" w:line="10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Mr. Eckert has been a director of McDonald’s Corporation, a company that franchises and operates McDonald’s restaurants in the global restaurant industry, since 2003, serving as a member of the Public Policy and Strategy Committee and the Governance Committee. Mr. Eckert also has served as a director of Levi Strauss &amp; Co., a jeans and casual wear manufacturer, since 2010 and non-executive Chair of the Board since 2021, serving as the Chair of the Nominating, Governance and Corporate Citizenship Committee and a member of the Compensation and Human Capital Committee. Mr. Eckert has been a director of Uber Technologies, Inc., a personal mobility, meal delivery and logistics technology platform, since 2020, serving as the Chair of the Compensation Committee and a member of the Nominating and Governance Committee. He was appointed a director of Eyemart Express Holdings LLC, a privately-held eyewear retailer and portfolio company of FFL Partners, LLC, in 2015. Mr. Eckert is on the Global Advisory Board of the Kellogg School of Management at Northwestern University and serves on the Eller College National Board of Advisors at the University of Arizona. Mr. Eckert received an undergraduate degree from the University of Arizona and a master’s degree in business administration from the Kellogg School of Management at Northwestern University.</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0171B9"/>
        </w:rPr>
        <w:t>Qualifications</w:t>
      </w:r>
    </w:p>
    <w:p>
      <w:pPr>
        <w:spacing w:after="0" w:line="135"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Our Board concluded that Mr. Eckert should serve on our Board because of Mr. Eckert’s long-tenured experience as a chief executive officer and director of large public companies, his broad international experience in marketing and business development, and his valuable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157480</wp:posOffset>
            </wp:positionV>
            <wp:extent cx="6995160" cy="29146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29146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440"/>
            <w:col w:w="7900"/>
          </w:cols>
          <w:pgMar w:left="320" w:top="486" w:right="439" w:bottom="1440" w:gutter="0" w:footer="0" w:header="0"/>
          <w:type w:val="continuous"/>
        </w:sectPr>
      </w:pPr>
    </w:p>
    <w:p>
      <w:pPr>
        <w:spacing w:after="0" w:line="128" w:lineRule="exact"/>
        <w:rPr>
          <w:sz w:val="20"/>
          <w:szCs w:val="20"/>
          <w:color w:val="auto"/>
        </w:rPr>
      </w:pPr>
    </w:p>
    <w:p>
      <w:pPr>
        <w:ind w:left="200"/>
        <w:spacing w:after="0"/>
        <w:rPr>
          <w:sz w:val="20"/>
          <w:szCs w:val="20"/>
          <w:color w:val="auto"/>
        </w:rPr>
      </w:pPr>
      <w:r>
        <w:rPr>
          <w:rFonts w:ascii="Arial" w:cs="Arial" w:eastAsia="Arial" w:hAnsi="Arial"/>
          <w:sz w:val="25"/>
          <w:szCs w:val="25"/>
          <w:b w:val="1"/>
          <w:bCs w:val="1"/>
          <w:i w:val="1"/>
          <w:iCs w:val="1"/>
          <w:color w:val="0171B9"/>
        </w:rPr>
        <w:t>Greg C. Garland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2013</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65</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Committees:</w:t>
      </w:r>
    </w:p>
    <w:p>
      <w:pPr>
        <w:spacing w:after="0" w:line="14" w:lineRule="exact"/>
        <w:rPr>
          <w:sz w:val="20"/>
          <w:szCs w:val="20"/>
          <w:color w:val="auto"/>
        </w:rPr>
      </w:pPr>
    </w:p>
    <w:p>
      <w:pPr>
        <w:ind w:left="340" w:hanging="129"/>
        <w:spacing w:after="0" w:line="232"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Compensation and Management</w:t>
      </w:r>
      <w:r>
        <w:rPr>
          <w:rFonts w:ascii="Arial" w:cs="Arial" w:eastAsia="Arial" w:hAnsi="Arial"/>
          <w:sz w:val="17"/>
          <w:szCs w:val="17"/>
          <w:color w:val="0171B9"/>
        </w:rPr>
        <w:t xml:space="preserve"> </w:t>
      </w:r>
      <w:r>
        <w:rPr>
          <w:rFonts w:ascii="Arial" w:cs="Arial" w:eastAsia="Arial" w:hAnsi="Arial"/>
          <w:sz w:val="17"/>
          <w:szCs w:val="17"/>
          <w:color w:val="000000"/>
        </w:rPr>
        <w:t>Development</w:t>
      </w:r>
    </w:p>
    <w:p>
      <w:pPr>
        <w:ind w:left="200"/>
        <w:spacing w:after="0" w:line="232"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Executive</w:t>
      </w:r>
    </w:p>
    <w:p>
      <w:pPr>
        <w:ind w:left="340" w:right="300" w:hanging="129"/>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Governance and Nominating</w:t>
      </w:r>
      <w:r>
        <w:rPr>
          <w:rFonts w:ascii="Arial" w:cs="Arial" w:eastAsia="Arial" w:hAnsi="Arial"/>
          <w:sz w:val="17"/>
          <w:szCs w:val="17"/>
          <w:color w:val="0171B9"/>
        </w:rPr>
        <w:t xml:space="preserve"> </w:t>
      </w:r>
      <w:r>
        <w:rPr>
          <w:rFonts w:ascii="Arial" w:cs="Arial" w:eastAsia="Arial" w:hAnsi="Arial"/>
          <w:sz w:val="17"/>
          <w:szCs w:val="17"/>
          <w:color w:val="000000"/>
        </w:rPr>
        <w:t>(Chair)</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Other Public Company Boards: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Phillips 66</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Greg C. Garland is the Executive Chairman of the board of directors of Phillips 66, a diversified energy manufacturing and logistics company, having held this position since July 2022, and chairs its Executive Committee. Mr. Garland served as Chairman and Chief Executive Officer of Phillips 66 from 2012 to June 2022. Prior to Phillips 66, Mr. Garland served as Senior Vice President, Exploration and Production, Americas of ConocoPhillips from 2010 to 2012. He was President and Chief Executive Officer of Chevron Phillips Chemical Company (now a joint venture between Phillips 66 and Chevron) from 2008 to 2010 and Senior Vice President, Planning and Specialty Chemicals from 2000 to 2008. Mr. Garland served in various positions at Phillips Petroleum Company from 1980 to 2000. Mr. Garland is a member of the Engineering Advisory Council for Texas A&amp;M University. Mr. Garland received an undergraduate degree from Texas A&amp;M University.</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171B9"/>
        </w:rPr>
        <w:t>Qualifications</w:t>
      </w:r>
    </w:p>
    <w:p>
      <w:pPr>
        <w:spacing w:after="0" w:line="135"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Our Board concluded that Mr. Garland should serve on our Board because of Mr. Garland’s experience as a chief executive officer and his over 30 years of international experience in a highly regulated industry.</w:t>
      </w:r>
    </w:p>
    <w:p>
      <w:pPr>
        <w:spacing w:after="0" w:line="1487" w:lineRule="exact"/>
        <w:rPr>
          <w:sz w:val="20"/>
          <w:szCs w:val="20"/>
          <w:color w:val="auto"/>
        </w:rPr>
      </w:pPr>
    </w:p>
    <w:p>
      <w:pPr>
        <w:sectPr>
          <w:pgSz w:w="11900" w:h="16838" w:orient="portrait"/>
          <w:cols w:equalWidth="0" w:num="2">
            <w:col w:w="2800" w:space="440"/>
            <w:col w:w="7900"/>
          </w:cols>
          <w:pgMar w:left="320" w:top="486" w:right="439" w:bottom="1440" w:gutter="0" w:footer="0" w:header="0"/>
          <w:type w:val="continuous"/>
        </w:sectPr>
      </w:pPr>
    </w:p>
    <w:p>
      <w:pPr>
        <w:spacing w:after="0" w:line="107"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12</w:t>
      </w:r>
      <w:r>
        <w:rPr>
          <w:sz w:val="20"/>
          <w:szCs w:val="20"/>
          <w:color w:val="auto"/>
        </w:rPr>
        <w:tab/>
      </w:r>
      <w:r>
        <w:rPr>
          <w:sz w:val="1"/>
          <w:szCs w:val="1"/>
          <w:color w:val="auto"/>
        </w:rPr>
        <w:drawing>
          <wp:inline distT="0" distB="0" distL="0" distR="0">
            <wp:extent cx="582930" cy="1371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205740</wp:posOffset>
            </wp:positionV>
            <wp:extent cx="2082800" cy="214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82800" cy="214630"/>
                    </a:xfrm>
                    <a:prstGeom prst="rect">
                      <a:avLst/>
                    </a:prstGeom>
                    <a:noFill/>
                  </pic:spPr>
                </pic:pic>
              </a:graphicData>
            </a:graphic>
          </wp:anchor>
        </w:drawing>
      </w: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30175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301752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25"/>
          <w:szCs w:val="25"/>
          <w:b w:val="1"/>
          <w:bCs w:val="1"/>
          <w:i w:val="1"/>
          <w:iCs w:val="1"/>
          <w:color w:val="0171B9"/>
        </w:rPr>
        <w:t>Charles M. Holley,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2017</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66</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Committees: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Audit (Chair)</w:t>
      </w:r>
    </w:p>
    <w:p>
      <w:pPr>
        <w:ind w:left="200"/>
        <w:spacing w:after="0" w:line="232"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Executive</w:t>
      </w: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Governance and Nominating</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Other Public Company Boards:</w:t>
      </w:r>
    </w:p>
    <w:p>
      <w:pPr>
        <w:spacing w:after="0" w:line="14" w:lineRule="exact"/>
        <w:rPr>
          <w:sz w:val="20"/>
          <w:szCs w:val="20"/>
          <w:color w:val="auto"/>
        </w:rPr>
      </w:pPr>
    </w:p>
    <w:p>
      <w:pPr>
        <w:ind w:left="200" w:right="520"/>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Carrier Global Corporation</w:t>
      </w:r>
      <w:r>
        <w:rPr>
          <w:rFonts w:ascii="Arial" w:cs="Arial" w:eastAsia="Arial" w:hAnsi="Arial"/>
          <w:sz w:val="17"/>
          <w:szCs w:val="17"/>
          <w:color w:val="0171B9"/>
        </w:rPr>
        <w:t xml:space="preserve"> •</w:t>
      </w:r>
      <w:r>
        <w:rPr>
          <w:rFonts w:ascii="Arial" w:cs="Arial" w:eastAsia="Arial" w:hAnsi="Arial"/>
          <w:sz w:val="17"/>
          <w:szCs w:val="17"/>
          <w:color w:val="000000"/>
        </w:rPr>
        <w:t>  Phillips 66</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Audit Committee financial expert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Charles M. Holley, Jr. is the former Executive Vice President and Chief Financial Officer for Wal-Mart Stores, Inc., or Walmart, where he served from 2010 to 2015 and as Executive Vice President in January 2016. Prior to this, Mr. Holley served as Executive Vice President, Finance and Treasurer of Walmart from 2007 to 2010. From 2005 to 2006, he served as Senior Vice President of Walmart and prior to that, as Senior Vice President and Controller from 2003 to 2005. Mr. Holley served various roles in Wal-Mart International from 1994 through 2002. Prior to this, Mr. Holley served in various roles at Tandy Corporation. He spent more than ten years with Ernst &amp; Young LLP. Mr. Holley was an Independent Senior Advisor, U.S. CFO Program, at Deloitte LLP, a privately-held provider of audit, consulting, tax, and advisory services, from 2016 to 2019.</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Mr. Holley has been a director of Phillips 66, since 2019 and serves on the Audit and Finance, and Public Policy and Sustainability Committees. Mr. Holley has also been a director of Carrier Global Corporation, a provider of heating, ventilating, air conditioning (HVAC), refrigeration, fire, and security solutions, since 2020 and chairs the Audit Committee and serves as a member of the Compensation Committee. Mr. Holley is a lifetime member of the Advisory Council for the McCombs School of Business at the University of Texas at Austin and a member of the University of Texas Presidents’ Development Board. Mr. Holley received an undergraduate degree from the University of Texas at Austin and a master’s degree in business administration from the University of Houston.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0171B9"/>
        </w:rPr>
        <w:t>Qualifications</w:t>
      </w:r>
    </w:p>
    <w:p>
      <w:pPr>
        <w:spacing w:after="0" w:line="14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Board concluded that Mr. Holley should serve on our Board based on his experience as a chief financial officer of a global public company, his financial acumen, and his management and leadership skills. Given his financial and leadership experience, Mr. Holley has been determined to be an Audit Committee financial expert by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307340</wp:posOffset>
            </wp:positionV>
            <wp:extent cx="6995160" cy="33858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33858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380"/>
            <w:col w:w="7900"/>
          </w:cols>
          <w:pgMar w:left="320" w:top="486" w:right="439" w:bottom="1440" w:gutter="0" w:footer="0" w:header="0"/>
          <w:type w:val="continuous"/>
        </w:sectPr>
      </w:pPr>
    </w:p>
    <w:p>
      <w:pPr>
        <w:spacing w:after="0" w:line="363" w:lineRule="exact"/>
        <w:rPr>
          <w:sz w:val="20"/>
          <w:szCs w:val="20"/>
          <w:color w:val="auto"/>
        </w:rPr>
      </w:pPr>
    </w:p>
    <w:p>
      <w:pPr>
        <w:ind w:left="200"/>
        <w:spacing w:after="0"/>
        <w:rPr>
          <w:sz w:val="20"/>
          <w:szCs w:val="20"/>
          <w:color w:val="auto"/>
        </w:rPr>
      </w:pPr>
      <w:r>
        <w:rPr>
          <w:rFonts w:ascii="Arial" w:cs="Arial" w:eastAsia="Arial" w:hAnsi="Arial"/>
          <w:sz w:val="25"/>
          <w:szCs w:val="25"/>
          <w:b w:val="1"/>
          <w:bCs w:val="1"/>
          <w:i w:val="1"/>
          <w:iCs w:val="1"/>
          <w:color w:val="0171B9"/>
        </w:rPr>
        <w:t>S. Omar Ishrak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2021</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67</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Committees: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Compensation and Management</w:t>
      </w:r>
    </w:p>
    <w:p>
      <w:pPr>
        <w:ind w:left="340"/>
        <w:spacing w:after="0" w:line="232" w:lineRule="auto"/>
        <w:rPr>
          <w:sz w:val="20"/>
          <w:szCs w:val="20"/>
          <w:color w:val="auto"/>
        </w:rPr>
      </w:pPr>
      <w:r>
        <w:rPr>
          <w:rFonts w:ascii="Arial" w:cs="Arial" w:eastAsia="Arial" w:hAnsi="Arial"/>
          <w:sz w:val="17"/>
          <w:szCs w:val="17"/>
          <w:color w:val="auto"/>
        </w:rPr>
        <w:t>Development</w:t>
      </w:r>
    </w:p>
    <w:p>
      <w:pPr>
        <w:ind w:left="200"/>
        <w:spacing w:after="0" w:line="232"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Corporate Responsibility and</w:t>
      </w:r>
    </w:p>
    <w:p>
      <w:pPr>
        <w:ind w:left="340"/>
        <w:spacing w:after="0"/>
        <w:rPr>
          <w:sz w:val="20"/>
          <w:szCs w:val="20"/>
          <w:color w:val="auto"/>
        </w:rPr>
      </w:pPr>
      <w:r>
        <w:rPr>
          <w:rFonts w:ascii="Arial" w:cs="Arial" w:eastAsia="Arial" w:hAnsi="Arial"/>
          <w:sz w:val="17"/>
          <w:szCs w:val="17"/>
          <w:color w:val="auto"/>
        </w:rPr>
        <w:t>Compliance</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Other Public Company Boards: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Intel Corporation</w:t>
      </w:r>
    </w:p>
    <w:p>
      <w:pPr>
        <w:ind w:left="200"/>
        <w:spacing w:after="0" w:line="232"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Compute Health Acquisition</w:t>
      </w:r>
    </w:p>
    <w:p>
      <w:pPr>
        <w:ind w:left="340"/>
        <w:spacing w:after="0"/>
        <w:rPr>
          <w:sz w:val="20"/>
          <w:szCs w:val="20"/>
          <w:color w:val="auto"/>
        </w:rPr>
      </w:pPr>
      <w:r>
        <w:rPr>
          <w:rFonts w:ascii="Arial" w:cs="Arial" w:eastAsia="Arial" w:hAnsi="Arial"/>
          <w:sz w:val="17"/>
          <w:szCs w:val="17"/>
          <w:color w:val="auto"/>
        </w:rPr>
        <w:t>Corporation</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jc w:val="both"/>
        <w:ind w:right="20"/>
        <w:spacing w:after="0"/>
        <w:rPr>
          <w:sz w:val="20"/>
          <w:szCs w:val="20"/>
          <w:color w:val="auto"/>
        </w:rPr>
      </w:pPr>
      <w:r>
        <w:rPr>
          <w:rFonts w:ascii="Arial" w:cs="Arial" w:eastAsia="Arial" w:hAnsi="Arial"/>
          <w:sz w:val="17"/>
          <w:szCs w:val="17"/>
          <w:color w:val="auto"/>
        </w:rPr>
        <w:t>S. Omar Ishrak is the former Executive Chairman and Chairman of the Board of Medtronic plc, or Medtronic, a global medical technology company. Dr. Ishrak served as the Chief Executive Officer of Medtronic from 2011 to April 2020 and was Executive Chairman until December 2020. Prior to joining Medtronic, he served as President and Chief Executive Officer of GE Healthcare Systems, a provider of medical imaging and diagnostic technology and a division of GE Healthcare, from 2009 to 2011. Dr. Ishrak was President and Chief Executive Officer of GE Healthcare Clinical Systems from 2005 to 2008 and President and Chief Executive Officer of GE Healthcare Ultrasound and BMD from 1995 to 2004.</w:t>
      </w:r>
    </w:p>
    <w:p>
      <w:pPr>
        <w:spacing w:after="0" w:line="26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Dr. Ishrak has been a director of Intel Corporation, a multinational corporation and technology company, since 2017, serving as a member of the Compensation Committee and Corporate Governance and Nominating Committee, and Chairman of its Board from 2020 until January 2023. He has served as Chairman of the Board of Directors of Compute Health Acquisition Corporation, a special purpose acquisition company, since 2021. Dr. Ishrak is a member of the Board of Trustees of the Asia Society, an educational organization dedicated to promoting mutual understanding and strong partnerships between Asia and the U.S. Since 2021, Dr. Ishrak has been a senior advisor to Blackstone Life Sciences, a segment of Blackstone Inc. that invests in the biopharmaceutical and medical technology industries. Dr. Ishrak was inducted into the American Institute for Medical and Biological Engineering College of Fellows in 2016, elected as a Fellow of King’s College London in 2017, inducted into the Bakken Society in 2020, and elected to the National Academy of Engineering in 2020. Dr. Ishrak received his undergraduate degree and doctorate from the University of London, King’s College.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0171B9"/>
        </w:rPr>
        <w:t>Qualifications</w:t>
      </w:r>
    </w:p>
    <w:p>
      <w:pPr>
        <w:spacing w:after="0" w:line="13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Our Board concluded that Dr. Ishrak should serve on our Board based on Dr. Ishrak’s board and senior executive-level expertise, including his experience as chief executive officer of a global, highly regulated public company in the healthcare industry, his extensive background in medical technologies, manufacturing, international expertise and interest in Asia, and his management and leadership skills.</w:t>
      </w:r>
    </w:p>
    <w:p>
      <w:pPr>
        <w:spacing w:after="0" w:line="138" w:lineRule="exact"/>
        <w:rPr>
          <w:sz w:val="20"/>
          <w:szCs w:val="20"/>
          <w:color w:val="auto"/>
        </w:rPr>
      </w:pPr>
    </w:p>
    <w:p>
      <w:pPr>
        <w:sectPr>
          <w:pgSz w:w="11900" w:h="16838" w:orient="portrait"/>
          <w:cols w:equalWidth="0" w:num="2">
            <w:col w:w="2800" w:space="440"/>
            <w:col w:w="7900"/>
          </w:cols>
          <w:pgMar w:left="320" w:top="486" w:right="439" w:bottom="1440" w:gutter="0" w:footer="0" w:header="0"/>
          <w:type w:val="continuous"/>
        </w:sect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205740</wp:posOffset>
            </wp:positionV>
            <wp:extent cx="2082800" cy="2146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82800" cy="214630"/>
                    </a:xfrm>
                    <a:prstGeom prst="rect">
                      <a:avLst/>
                    </a:prstGeom>
                    <a:noFill/>
                  </pic:spPr>
                </pic:pic>
              </a:graphicData>
            </a:graphic>
          </wp:anchor>
        </w:drawing>
      </w: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4105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410591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25"/>
          <w:szCs w:val="25"/>
          <w:b w:val="1"/>
          <w:bCs w:val="1"/>
          <w:i w:val="1"/>
          <w:iCs w:val="1"/>
          <w:color w:val="0171B9"/>
        </w:rPr>
        <w:t>Tyler Jacks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2012</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62</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Committees: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Compensation and Management</w:t>
      </w:r>
    </w:p>
    <w:p>
      <w:pPr>
        <w:ind w:left="340"/>
        <w:spacing w:after="0" w:line="232" w:lineRule="auto"/>
        <w:rPr>
          <w:sz w:val="20"/>
          <w:szCs w:val="20"/>
          <w:color w:val="auto"/>
        </w:rPr>
      </w:pPr>
      <w:r>
        <w:rPr>
          <w:rFonts w:ascii="Arial" w:cs="Arial" w:eastAsia="Arial" w:hAnsi="Arial"/>
          <w:sz w:val="17"/>
          <w:szCs w:val="17"/>
          <w:color w:val="auto"/>
        </w:rPr>
        <w:t>Development</w:t>
      </w:r>
    </w:p>
    <w:p>
      <w:pPr>
        <w:ind w:left="200"/>
        <w:spacing w:after="0" w:line="232"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Corporate Responsibility and</w:t>
      </w:r>
    </w:p>
    <w:p>
      <w:pPr>
        <w:ind w:left="340"/>
        <w:spacing w:after="0"/>
        <w:rPr>
          <w:sz w:val="20"/>
          <w:szCs w:val="20"/>
          <w:color w:val="auto"/>
        </w:rPr>
      </w:pPr>
      <w:r>
        <w:rPr>
          <w:rFonts w:ascii="Arial" w:cs="Arial" w:eastAsia="Arial" w:hAnsi="Arial"/>
          <w:sz w:val="17"/>
          <w:szCs w:val="17"/>
          <w:color w:val="auto"/>
        </w:rPr>
        <w:t>Compliance</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Other Public Company Boards: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Thermo Fisher Scientific,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1457325</wp:posOffset>
            </wp:positionV>
            <wp:extent cx="7715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Tyler Jacks joined the faculty of Massachusetts Institute of Technology, or MIT, in 1992 and is currently the David H. Koch Professor of Biology, a position he has held since 2007, and founding director of the David H. Koch Institute for Integrative Cancer Research, which brings together biologists and engineers to improve detection, diagnosis and treatment of cancer, having served as director from 2007 to 2021. Since 2021, Dr. Jacks has served as President and director of Break Through Cancer, a foundation bringing together multidisciplinary cancer research teams selected from across five participating institutions.</w:t>
      </w:r>
      <w:r>
        <w:rPr>
          <w:rFonts w:ascii="Arial" w:cs="Arial" w:eastAsia="Arial" w:hAnsi="Arial"/>
          <w:sz w:val="12"/>
          <w:szCs w:val="12"/>
          <w:color w:val="auto"/>
        </w:rPr>
        <w:t>(1)</w:t>
      </w:r>
      <w:r>
        <w:rPr>
          <w:rFonts w:ascii="Arial" w:cs="Arial" w:eastAsia="Arial" w:hAnsi="Arial"/>
          <w:sz w:val="17"/>
          <w:szCs w:val="17"/>
          <w:color w:val="auto"/>
        </w:rPr>
        <w:t xml:space="preserve"> Dr. Jacks was an investigator with the Howard Hughes Medical Institute, a nonprofit medical research organization, from 1994 until 2021.</w:t>
      </w:r>
    </w:p>
    <w:p>
      <w:pPr>
        <w:spacing w:after="0" w:line="10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Dr. Jacks has been a director of Thermo Fisher Scientific, Inc., a life sciences supply company, since 2009, serving as the Chair of its Science and Technology Committee and as a member of its Strategy and Finance Committee and its scientific advisory board. In 2006, he co-founded T2 Biosystems, Inc., a biotechnology company, and served on its scientific advisory board until 2013. Dr. Jacks has served on the scientific advisory board of SQZ Biotechnologies Company, a biotechnology company, since 2015. Dr. Jacks served on the scientific advisory board of Aveo Pharmaceuticals Inc., a biopharmaceutical company, from 2001 until 2013. In 2015, Dr. Jacks founded Dragonfly Therapeutics, Inc., a privately-held biopharmaceutical company, and serves as the Chair of its scientific advisory board. In 2011, he was appointed to the National Cancer Advisory Board, which advises and assists the Director of the National Cancer Institute with respect to the National Cancer Program, and served as Chair until 2016. In 2016, Dr. Jacks was named to a blue ribbon panel of scientists and advisors established as a working group of the National Cancer Advisory Board and served as co-Chair advising the Cancer Moonshot</w:t>
      </w:r>
      <w:r>
        <w:rPr>
          <w:rFonts w:ascii="Arial" w:cs="Arial" w:eastAsia="Arial" w:hAnsi="Arial"/>
          <w:sz w:val="12"/>
          <w:szCs w:val="12"/>
          <w:color w:val="auto"/>
        </w:rPr>
        <w:t>SM</w:t>
      </w:r>
      <w:r>
        <w:rPr>
          <w:rFonts w:ascii="Arial" w:cs="Arial" w:eastAsia="Arial" w:hAnsi="Arial"/>
          <w:sz w:val="17"/>
          <w:szCs w:val="17"/>
          <w:color w:val="auto"/>
        </w:rPr>
        <w:t xml:space="preserve"> Task Force. Dr. Jacks was a director of MIT’s Center for Cancer Research from 2001 to 2007 and received numerous awards including the Paul Marks Prize for Cancer Research and the American Association for Cancer Research Award for Outstanding Achievement. He was elected to the National Academy of Sciences as well as the National Academy of Medicine in 2009 and received the MIT Killian Faculty Achievement Award in 2015. Dr. Jacks received an undergraduate degree from Harvard University and his doctorate from the University of California, San Francisco.</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0171B9"/>
        </w:rPr>
        <w:t>Qualifications</w:t>
      </w:r>
    </w:p>
    <w:p>
      <w:pPr>
        <w:spacing w:after="0" w:line="135"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Our Board concluded that Dr. Jacks should serve on our Board based on his extensive scientific expertise relevant to our industry, including his broad experience as a cancer researcher, pioneering uses of technology to study cancer-associated genes, and service on several scientific advisory boards and service to the National Cancer Advisory Board.</w:t>
      </w:r>
    </w:p>
    <w:p>
      <w:pPr>
        <w:spacing w:after="0" w:line="200" w:lineRule="exact"/>
        <w:rPr>
          <w:sz w:val="20"/>
          <w:szCs w:val="20"/>
          <w:color w:val="auto"/>
        </w:rPr>
      </w:pPr>
    </w:p>
    <w:p>
      <w:pPr>
        <w:sectPr>
          <w:pgSz w:w="11900" w:h="16838" w:orient="portrait"/>
          <w:cols w:equalWidth="0" w:num="2">
            <w:col w:w="2800" w:space="440"/>
            <w:col w:w="7900"/>
          </w:cols>
          <w:pgMar w:left="320" w:top="486" w:right="439" w:bottom="1440" w:gutter="0" w:footer="0" w:header="0"/>
          <w:type w:val="continuous"/>
        </w:sectPr>
      </w:pPr>
    </w:p>
    <w:p>
      <w:pPr>
        <w:spacing w:after="0" w:line="14" w:lineRule="exact"/>
        <w:rPr>
          <w:sz w:val="20"/>
          <w:szCs w:val="20"/>
          <w:color w:val="auto"/>
        </w:rPr>
      </w:pPr>
    </w:p>
    <w:p>
      <w:pPr>
        <w:ind w:left="540" w:right="20" w:hanging="424"/>
        <w:spacing w:after="0" w:line="193" w:lineRule="auto"/>
        <w:tabs>
          <w:tab w:leader="none" w:pos="54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Dana-Farber Cancer Institute, the Sidney Kimmel Comprehensive Cancer Center at Johns Hopkins, The University of Texas MD Anderson Cancer Center, Memorial Sloan Kettering Cancer Center, and the Koch Institute for Integrative Cancer Research at MIT.</w:t>
      </w:r>
    </w:p>
    <w:p>
      <w:pPr>
        <w:spacing w:after="0" w:line="118"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14</w:t>
      </w:r>
      <w:r>
        <w:rPr>
          <w:sz w:val="20"/>
          <w:szCs w:val="20"/>
          <w:color w:val="auto"/>
        </w:rPr>
        <w:tab/>
      </w:r>
      <w:r>
        <w:rPr>
          <w:sz w:val="1"/>
          <w:szCs w:val="1"/>
          <w:color w:val="auto"/>
        </w:rPr>
        <w:drawing>
          <wp:inline distT="0" distB="0" distL="0" distR="0">
            <wp:extent cx="582930" cy="1371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205740</wp:posOffset>
            </wp:positionV>
            <wp:extent cx="2082800" cy="2146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82800" cy="214630"/>
                    </a:xfrm>
                    <a:prstGeom prst="rect">
                      <a:avLst/>
                    </a:prstGeom>
                    <a:noFill/>
                  </pic:spPr>
                </pic:pic>
              </a:graphicData>
            </a:graphic>
          </wp:anchor>
        </w:drawing>
      </w: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3943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394335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25"/>
          <w:szCs w:val="25"/>
          <w:b w:val="1"/>
          <w:bCs w:val="1"/>
          <w:i w:val="1"/>
          <w:iCs w:val="1"/>
          <w:color w:val="0171B9"/>
        </w:rPr>
        <w:t>Ellen J. Kullman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2016</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67</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Committees: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Audit</w:t>
      </w: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Governance and Nominating</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Other Public Company Boards: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Dell Technologies Inc.</w:t>
      </w: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Goldman Sachs Group, Inc.</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Audit Committee financial expert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Ellen J. Kullman is Executive Chair of Carbon, Inc., or Carbon, a privately-held 3D printing company, having held this position since June 2022. Ms. Kullman served as President and Chief Executive Officer of Carbon from 2019 to June 2022, and has been a member of its board since 2016. She is the former President, Chair and Chief Executive Officer of E.I. du Pont de Nemours and Company, or DuPont, a science and technology-based company, where she served from 2009 to 2015. Prior to this, Ms. Kullman served as President of DuPont from 2008 to 2009. From 2006 through 2008, she served as Executive Vice President of DuPont. Prior to that, Ms. Kullman was Group Vice President, DuPont Safety and Protection.</w:t>
      </w:r>
    </w:p>
    <w:p>
      <w:pPr>
        <w:spacing w:after="0" w:line="109"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Ms. Kullman has been a director of Goldman Sachs Group, Inc., an investment banking firm, since 2016, chairing its Public Responsibilities Committee and serving on its Compensation and Corporate Governance and Nominating Committees. Ms. Kullman has been a director of Dell Technologies Inc., a technology company, since 2016, serving on its Audit Committee. Ms. Kullman served as a director of United Technologies Corporation, a technology products and services company, from 2011 (and as lead director from 2018), serving on its Compensation, Finance and Executive Committees, until its merger with Raytheon Company in 2020. Ms. Kullman served as a director of General Motors, from 2004 to 2008, serving on its Audit Committee.</w:t>
      </w:r>
    </w:p>
    <w:p>
      <w:pPr>
        <w:spacing w:after="0" w:line="10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Ms. Kullman has served on the Board of Trustees of Northwestern University since 2016 and is a Trustee Emerita of Tufts University School of Engineering, having served on its Board of Advisors since 2006. She served as Chair of the US-China Business Council from 2013 to 2015. Since 2016, Ms. Kullman has been a member of the Temasek Americas Advisory Panel of Temasek Holdings (Private) Limited, a privately-held investment company based in Singapore. Ms. Kullman received a bachelor of science in mechanical engineering degree from Tufts University and a master’s degree from the Kellogg School of Management at Northwestern University.</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0171B9"/>
        </w:rPr>
        <w:t>Qualifications</w:t>
      </w:r>
    </w:p>
    <w:p>
      <w:pPr>
        <w:spacing w:after="0" w:line="13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Our Board concluded that Ms. Kullman should serve on our Board based on her lengthy global experience as chief executive officer and board chair at both public and private companies, her management and leadership skills, and her experience with scientific operations, all of which provide valuable insight into the operations of our Company. Given her leadership and financial experience, Ms. Kullman has been determined to be an Audit Committee financial expert by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159385</wp:posOffset>
            </wp:positionV>
            <wp:extent cx="6995160" cy="32232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32232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380"/>
            <w:col w:w="7900"/>
          </w:cols>
          <w:pgMar w:left="320" w:top="486" w:right="439" w:bottom="1440" w:gutter="0" w:footer="0" w:header="0"/>
          <w:type w:val="continuous"/>
        </w:sectPr>
      </w:pPr>
    </w:p>
    <w:p>
      <w:pPr>
        <w:spacing w:after="0" w:line="130" w:lineRule="exact"/>
        <w:rPr>
          <w:sz w:val="20"/>
          <w:szCs w:val="20"/>
          <w:color w:val="auto"/>
        </w:rPr>
      </w:pPr>
    </w:p>
    <w:p>
      <w:pPr>
        <w:ind w:left="200"/>
        <w:spacing w:after="0"/>
        <w:rPr>
          <w:sz w:val="20"/>
          <w:szCs w:val="20"/>
          <w:color w:val="auto"/>
        </w:rPr>
      </w:pPr>
      <w:r>
        <w:rPr>
          <w:rFonts w:ascii="Arial" w:cs="Arial" w:eastAsia="Arial" w:hAnsi="Arial"/>
          <w:sz w:val="25"/>
          <w:szCs w:val="25"/>
          <w:b w:val="1"/>
          <w:bCs w:val="1"/>
          <w:i w:val="1"/>
          <w:iCs w:val="1"/>
          <w:color w:val="0171B9"/>
        </w:rPr>
        <w:t>Amy E. Miles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2020</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56</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Committees: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Audit</w:t>
      </w: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Governance and Nominating</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Other Public Company Boards: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Gap Inc.</w:t>
      </w: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Norfolk Southern Corporation</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Audit Committee financial expert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Amy E. Miles was the Chief Executive Officer and a director of Regal Entertainment Group, Inc., or Regal Entertainment, a leading theatre exhibition company, having held these positions from 2009 through 2018, and its Chair of the Board from 2015 to 2018. From 2002 to 2009, Ms. Miles served as Executive Vice President, Chief Financial Officer and Treasurer of Regal Entertainment. Ms. Miles also served as Chief Executive Officer of Regal Cinemas, Inc., or Regal Cinemas, from 2009 to 2018, and its Executive Vice President, Chief Financial Officer and Treasurer from 2000 to 2009. Ms. Miles joined Regal Cinemas in 1999 as Senior Vice President of Finance. Previously, Ms. Miles was with Deloitte &amp; Touche, LLP and PricewaterhouseCoopers LLP.</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Ms. Miles has been a director of Norfolk Southern Corporation, a transportation company, since 2014 and non-executive Chair of the Board since 2022, serving as the Chair of the Executive Committee and a member of the Governance and Nominating Committee and the Audit Committee. Ms. Miles has been a director of The Gap, Inc., an apparel retail company, since 2020, and chairs the Audit and Finance Committee and is a member of the Governance and Sustainability Committee. Ms. Miles was a director of National CineMedia, Inc., a cinema advertising company, from 2011 to 2015. She was a director of Townsquare Media, Inc., a radio, digital media, entertainment, and digital marketing solutions company, from 2014 until 2016. Ms. Miles serves on the board of trustees of the Boys and Girls Club of Eastern Tennessee. Ms. Miles received an undergraduate degree from the University of Tennessee.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0171B9"/>
        </w:rPr>
        <w:t>Qualifications</w:t>
      </w:r>
    </w:p>
    <w:p>
      <w:pPr>
        <w:spacing w:after="0" w:line="135"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Our Board concluded that Ms. Miles should serve on our Board based on Ms. Miles’ board and senior executive-level expertise, including her experience as chief executive officer and chief financial officer of a large public company and her extensive finance, accounting, and management expertise in marketing and strategic planning, and public board experience. Given her leadership and financial experience, Ms. Miles has been determined to be an Audit Committee financial expert by our Board.</w:t>
      </w:r>
    </w:p>
    <w:p>
      <w:pPr>
        <w:spacing w:after="0" w:line="139" w:lineRule="exact"/>
        <w:rPr>
          <w:sz w:val="20"/>
          <w:szCs w:val="20"/>
          <w:color w:val="auto"/>
        </w:rPr>
      </w:pPr>
    </w:p>
    <w:p>
      <w:pPr>
        <w:sectPr>
          <w:pgSz w:w="11900" w:h="16838" w:orient="portrait"/>
          <w:cols w:equalWidth="0" w:num="2">
            <w:col w:w="2860" w:space="380"/>
            <w:col w:w="7900"/>
          </w:cols>
          <w:pgMar w:left="320" w:top="486" w:right="439" w:bottom="1440" w:gutter="0" w:footer="0" w:header="0"/>
          <w:type w:val="continuous"/>
        </w:sect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205740</wp:posOffset>
            </wp:positionV>
            <wp:extent cx="2082800" cy="2146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82800" cy="214630"/>
                    </a:xfrm>
                    <a:prstGeom prst="rect">
                      <a:avLst/>
                    </a:prstGeom>
                    <a:noFill/>
                  </pic:spPr>
                </pic:pic>
              </a:graphicData>
            </a:graphic>
          </wp:anchor>
        </w:drawing>
      </w: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32658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326580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25"/>
          <w:szCs w:val="25"/>
          <w:b w:val="1"/>
          <w:bCs w:val="1"/>
          <w:i w:val="1"/>
          <w:iCs w:val="1"/>
          <w:color w:val="0171B9"/>
        </w:rPr>
        <w:t>Ronald D. Sugar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2010</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74</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Committees:</w:t>
      </w:r>
    </w:p>
    <w:p>
      <w:pPr>
        <w:spacing w:after="0" w:line="14" w:lineRule="exact"/>
        <w:rPr>
          <w:sz w:val="20"/>
          <w:szCs w:val="20"/>
          <w:color w:val="auto"/>
        </w:rPr>
      </w:pPr>
    </w:p>
    <w:p>
      <w:pPr>
        <w:ind w:left="340" w:right="220" w:hanging="129"/>
        <w:spacing w:after="0" w:line="232"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Corporate Responsibility and</w:t>
      </w:r>
      <w:r>
        <w:rPr>
          <w:rFonts w:ascii="Arial" w:cs="Arial" w:eastAsia="Arial" w:hAnsi="Arial"/>
          <w:sz w:val="17"/>
          <w:szCs w:val="17"/>
          <w:color w:val="0171B9"/>
        </w:rPr>
        <w:t xml:space="preserve"> </w:t>
      </w:r>
      <w:r>
        <w:rPr>
          <w:rFonts w:ascii="Arial" w:cs="Arial" w:eastAsia="Arial" w:hAnsi="Arial"/>
          <w:sz w:val="17"/>
          <w:szCs w:val="17"/>
          <w:color w:val="000000"/>
        </w:rPr>
        <w:t>Compliance (Chair)</w:t>
      </w:r>
    </w:p>
    <w:p>
      <w:pPr>
        <w:ind w:left="200"/>
        <w:spacing w:after="0" w:line="232"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Executive</w:t>
      </w: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Governance and Nominating</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Other Public Company Boards: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Apple Inc.</w:t>
      </w:r>
    </w:p>
    <w:p>
      <w:pPr>
        <w:ind w:left="200"/>
        <w:spacing w:after="0" w:line="232"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Chevron Corporation</w:t>
      </w: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Uber Technologies,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Ronald D. Sugar is the retired Chairman of the Board and Chief Executive Officer of Northrop Grumman Corporation, a global aerospace and defense company, having held these posts from 2003 through 2009.</w:t>
      </w:r>
    </w:p>
    <w:p>
      <w:pPr>
        <w:spacing w:after="0" w:line="10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Dr. Sugar has been a director of Chevron Corporation, a petroleum, exploration, production and refining company, since 2005, serving on the Management Compensation Committee and the Board Nominating and Governance Committee, and as lead independent director from 2015 to May 2022. Dr. Sugar has been a director of Apple Inc., a manufacturer and seller of, among other things, personal computers, mobile communication and media devices, since 2010, chairing the Audit and Finance Committee. Dr. Sugar has been a director of Uber Technologies, Inc., since 2018, serving as the Chair of the board of directors and chairing the Nominating and Governance Committee and serving on the Compensation Committee. Dr. Sugar served as a director of Air Lease Corporation, an aircraft leasing company, from 2010 to 2020, and chaired its Compensation Committee and served on the Nominating and Corporate Governance Committee. Since 2010, he has been a senior advisor to Ares Management LLC, a privately-held asset manager and registered investment advisor. In 2014, Dr. Sugar joined the Temasek Americas Advisory Panel of Temasek Holdings (Private) Limited, a privately-held investment company based in Singapore. Dr. Sugar is a member of the National Academy of Engineering, trustee of USC, member of the UCLA Anderson School of Management Board of Advisors, and director of the Los Angeles Philharmonic Association. Dr. Sugar received an undergraduate degree, master’s degree, and doctorate from the University of California, Los Angeles.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0171B9"/>
        </w:rPr>
        <w:t>Qualifications</w:t>
      </w:r>
    </w:p>
    <w:p>
      <w:pPr>
        <w:spacing w:after="0" w:line="135"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Our Board concluded that Dr. Sugar should serve on our Board because of Dr. Sugar’s board and senior executive-level expertise, including his experience as chief executive officer and board chair of a large, highly regulated, public company and his insight in the areas of operations, government affairs, science, technology and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201295</wp:posOffset>
            </wp:positionV>
            <wp:extent cx="6995160" cy="3745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37458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40" w:space="500"/>
            <w:col w:w="7900"/>
          </w:cols>
          <w:pgMar w:left="320" w:top="486" w:right="439" w:bottom="1440" w:gutter="0" w:footer="0" w:header="0"/>
          <w:type w:val="continuous"/>
        </w:sectPr>
      </w:pPr>
    </w:p>
    <w:p>
      <w:pPr>
        <w:spacing w:after="0" w:line="197" w:lineRule="exact"/>
        <w:rPr>
          <w:sz w:val="20"/>
          <w:szCs w:val="20"/>
          <w:color w:val="auto"/>
        </w:rPr>
      </w:pPr>
    </w:p>
    <w:p>
      <w:pPr>
        <w:ind w:left="200"/>
        <w:spacing w:after="0"/>
        <w:rPr>
          <w:sz w:val="20"/>
          <w:szCs w:val="20"/>
          <w:color w:val="auto"/>
        </w:rPr>
      </w:pPr>
      <w:r>
        <w:rPr>
          <w:rFonts w:ascii="Arial" w:cs="Arial" w:eastAsia="Arial" w:hAnsi="Arial"/>
          <w:sz w:val="25"/>
          <w:szCs w:val="25"/>
          <w:b w:val="1"/>
          <w:bCs w:val="1"/>
          <w:i w:val="1"/>
          <w:iCs w:val="1"/>
          <w:color w:val="0171B9"/>
        </w:rPr>
        <w:t>R. Sanders Williams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2014</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74</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Committees: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Corporate Responsibility and</w:t>
      </w:r>
    </w:p>
    <w:p>
      <w:pPr>
        <w:ind w:left="340"/>
        <w:spacing w:after="0" w:line="232" w:lineRule="auto"/>
        <w:rPr>
          <w:sz w:val="20"/>
          <w:szCs w:val="20"/>
          <w:color w:val="auto"/>
        </w:rPr>
      </w:pPr>
      <w:r>
        <w:rPr>
          <w:rFonts w:ascii="Arial" w:cs="Arial" w:eastAsia="Arial" w:hAnsi="Arial"/>
          <w:sz w:val="17"/>
          <w:szCs w:val="17"/>
          <w:color w:val="auto"/>
        </w:rPr>
        <w:t>Compliance</w:t>
      </w: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Governance and Nominating</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Other Public Company Boards: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Laboratory Corporation of</w:t>
      </w:r>
    </w:p>
    <w:p>
      <w:pPr>
        <w:ind w:left="340"/>
        <w:spacing w:after="0" w:line="232" w:lineRule="auto"/>
        <w:rPr>
          <w:sz w:val="20"/>
          <w:szCs w:val="20"/>
          <w:color w:val="auto"/>
        </w:rPr>
      </w:pPr>
      <w:r>
        <w:rPr>
          <w:rFonts w:ascii="Arial" w:cs="Arial" w:eastAsia="Arial" w:hAnsi="Arial"/>
          <w:sz w:val="17"/>
          <w:szCs w:val="17"/>
          <w:color w:val="auto"/>
        </w:rPr>
        <w:t>America Holdings</w:t>
      </w:r>
    </w:p>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Tenaya Therapeutics, Inc.</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R. Sanders Williams is the President Emeritus of Gladstone Institutes, a non-profit biomedical research enterprise, having served in this position since 2018, and was the Chief Executive Officer of the Gladstone Foundation, a not-for-profit organization supporting the Gladstone Institutes during 2018. Dr. Williams has served as Professor of Medicine at Duke University since 2018 and, from February 2021 to January 2022, acted as Interim Vice President for Research and Innovation. He has been a Professor of Medicine at the University of California, San Francisco since 2010. Dr. Williams was both President of Gladstone Institutes and its Robert W. and Linda L. Mahley Distinguished Professor of Medicine, from 2010 to 2017. Prior to this, Dr. Williams served as Senior Vice Chancellor of the Duke University School of Medicine from 2008 to 2010 and Dean of the Duke University School of Medicine from 2001 to 2008. He was the founding Dean of the Duke-NUS Graduate Medical School, Singapore, from 2003 to 2008 and served on its Governing Board from 2003 to 2010. From 1990 to 2001, Dr. Williams was Chief of Cardiology and Director of the Ryburn Center for Molecular Cardiology at the University of Texas, Southwestern Medical Center.</w:t>
      </w:r>
    </w:p>
    <w:p>
      <w:pPr>
        <w:spacing w:after="0" w:line="11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Dr. Williams has been a director of the Laboratory Corporation of America Holdings, a diagnostic technologies company, since 2007, chairing the Quality and Compliance Committee and serving as a member of the Audit Committee. Since 2016, Dr. Williams also has served as a director of Tenaya Therapeutics, Inc., a biotechnology company, chairing the Compensation Committee. Dr. Williams was a director of Bristol-Myers Squibb Company, a pharmaceutical company, from 2006 until 2013. Dr. Williams has served on the board of directors of the Gladstone Foundation, a non-profit institution that is distinct from Gladstone Institutes, since 2012. Dr. Williams was elected to the National Academy of Medicine in 2002. Dr. Williams received his undergraduate degree from Princeton University and his medical doctorate from Duke University.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0171B9"/>
        </w:rPr>
        <w:t>Qualifications</w:t>
      </w:r>
    </w:p>
    <w:p>
      <w:pPr>
        <w:spacing w:after="0" w:line="13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Our Board concluded that Dr. Williams should serve on our Board because of his broad medical and scientific background, including his leadership roles in domestic and academic science settings, his deep experience in cardiology, oversight of governance of multi-hospital healthcare provider systems, leadership and development of international medical programs in Asia, and prior industry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156845</wp:posOffset>
            </wp:positionV>
            <wp:extent cx="6998970" cy="3130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8970" cy="3130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40" w:space="500"/>
            <w:col w:w="7900"/>
          </w:cols>
          <w:pgMar w:left="320" w:top="486" w:right="439" w:bottom="1440" w:gutter="0" w:footer="0" w:header="0"/>
          <w:type w:val="continuous"/>
        </w:sectPr>
      </w:pPr>
    </w:p>
    <w:p>
      <w:pPr>
        <w:spacing w:after="0" w:line="161"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0171B9"/>
        </w:rPr>
        <w:t>THE BOARD OF DIRECTORS RECOMMENDS A VOTE “FOR” EACH OF THE ABOVE 13 NAMED NOMINEES.</w:t>
      </w:r>
    </w:p>
    <w:p>
      <w:pPr>
        <w:spacing w:after="0" w:line="277"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16</w:t>
      </w:r>
      <w:r>
        <w:rPr>
          <w:sz w:val="20"/>
          <w:szCs w:val="20"/>
          <w:color w:val="auto"/>
        </w:rPr>
        <w:tab/>
      </w:r>
      <w:r>
        <w:rPr>
          <w:sz w:val="1"/>
          <w:szCs w:val="1"/>
          <w:color w:val="auto"/>
        </w:rPr>
        <w:drawing>
          <wp:inline distT="0" distB="0" distL="0" distR="0">
            <wp:extent cx="582930" cy="13716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Corporate Governance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Board of Directors 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6995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50"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 xml:space="preserve">Our Board of Directors, or Board, is governed by our Amgen Board of Directors Corporate Governance Principles which are amended from time to time to incorporate certain current best practices in corporate governance. Our Corporate Governance Principles may be found on our website at </w:t>
      </w:r>
      <w:r>
        <w:rPr>
          <w:rFonts w:ascii="Arial" w:cs="Arial" w:eastAsia="Arial" w:hAnsi="Arial"/>
          <w:sz w:val="17"/>
          <w:szCs w:val="17"/>
          <w:i w:val="1"/>
          <w:iCs w:val="1"/>
          <w:color w:val="0171B9"/>
        </w:rPr>
        <w:t>www.amgen.com</w:t>
      </w:r>
      <w:r>
        <w:rPr>
          <w:rFonts w:ascii="Arial" w:cs="Arial" w:eastAsia="Arial" w:hAnsi="Arial"/>
          <w:sz w:val="10"/>
          <w:szCs w:val="10"/>
          <w:color w:val="auto"/>
        </w:rPr>
        <w:t>(1)</w:t>
      </w:r>
      <w:r>
        <w:rPr>
          <w:rFonts w:ascii="Arial" w:cs="Arial" w:eastAsia="Arial" w:hAnsi="Arial"/>
          <w:sz w:val="17"/>
          <w:szCs w:val="17"/>
          <w:color w:val="auto"/>
        </w:rPr>
        <w:t xml:space="preserve"> and are available in print upon written request to the Company’s Secretary at our principal executive offices at One Amgen Center Drive, Thousand Oaks, California 91320-1799. The Board’s corporate governance practices, and stockholder rights include the following:</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0171B9"/>
        </w:rPr>
        <w:t xml:space="preserve">– </w:t>
      </w:r>
      <w:r>
        <w:rPr>
          <w:rFonts w:ascii="Arial" w:cs="Arial" w:eastAsia="Arial" w:hAnsi="Arial"/>
          <w:sz w:val="17"/>
          <w:szCs w:val="17"/>
          <w:color w:val="000000"/>
        </w:rPr>
        <w:t>Audit Committee;</w:t>
      </w:r>
    </w:p>
    <w:p>
      <w:pPr>
        <w:spacing w:after="0" w:line="115" w:lineRule="exact"/>
        <w:rPr>
          <w:sz w:val="20"/>
          <w:szCs w:val="20"/>
          <w:color w:val="auto"/>
        </w:rPr>
      </w:pPr>
    </w:p>
    <w:p>
      <w:pPr>
        <w:ind w:left="220" w:right="20" w:hanging="216"/>
        <w:spacing w:after="0" w:line="267" w:lineRule="auto"/>
        <w:rPr>
          <w:sz w:val="20"/>
          <w:szCs w:val="20"/>
          <w:color w:val="auto"/>
        </w:rPr>
      </w:pP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Corporate Responsibility and Compliance Committee, or</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Compliance Committee; and</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Compensation Committee.</w:t>
      </w:r>
    </w:p>
    <w:p>
      <w:pPr>
        <w:spacing w:after="0" w:line="135"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Each director on key standing committees has been determined by the Board to be independent under The NASDAQ Stock Market listing standards and the requirements of the Securities and Exchange Commission, or SEC.</w:t>
      </w:r>
    </w:p>
    <w:p>
      <w:pPr>
        <w:spacing w:after="0" w:line="6" w:lineRule="exact"/>
        <w:rPr>
          <w:sz w:val="20"/>
          <w:szCs w:val="20"/>
          <w:color w:val="auto"/>
        </w:rPr>
      </w:pPr>
    </w:p>
    <w:p>
      <w:pPr>
        <w:sectPr>
          <w:pgSz w:w="11900" w:h="16838" w:orient="portrait"/>
          <w:cols w:equalWidth="0" w:num="2">
            <w:col w:w="5400" w:space="540"/>
            <w:col w:w="5200"/>
          </w:cols>
          <w:pgMar w:left="320" w:top="486" w:right="439" w:bottom="1440" w:gutter="0" w:footer="0" w:header="0"/>
          <w:type w:val="continuous"/>
        </w:sectPr>
      </w:pPr>
    </w:p>
    <w:p>
      <w:pPr>
        <w:ind w:left="120"/>
        <w:spacing w:after="0"/>
        <w:rPr>
          <w:sz w:val="20"/>
          <w:szCs w:val="20"/>
          <w:color w:val="auto"/>
        </w:rPr>
      </w:pPr>
      <w:r>
        <w:rPr>
          <w:rFonts w:ascii="Arial" w:cs="Arial" w:eastAsia="Arial" w:hAnsi="Arial"/>
          <w:sz w:val="20"/>
          <w:szCs w:val="20"/>
          <w:b w:val="1"/>
          <w:bCs w:val="1"/>
          <w:color w:val="auto"/>
        </w:rPr>
        <w:t>Board Governance Practices</w:t>
      </w:r>
    </w:p>
    <w:p>
      <w:pPr>
        <w:spacing w:after="0" w:line="109" w:lineRule="exact"/>
        <w:rPr>
          <w:sz w:val="20"/>
          <w:szCs w:val="20"/>
          <w:color w:val="auto"/>
        </w:rPr>
      </w:pPr>
    </w:p>
    <w:p>
      <w:pPr>
        <w:jc w:val="both"/>
        <w:ind w:left="380" w:hanging="264"/>
        <w:spacing w:after="0" w:line="236" w:lineRule="auto"/>
        <w:tabs>
          <w:tab w:leader="none" w:pos="380" w:val="left"/>
        </w:tabs>
        <w:numPr>
          <w:ilvl w:val="0"/>
          <w:numId w:val="22"/>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Lead Independent Director. </w:t>
      </w:r>
      <w:r>
        <w:rPr>
          <w:rFonts w:ascii="Arial" w:cs="Arial" w:eastAsia="Arial" w:hAnsi="Arial"/>
          <w:sz w:val="17"/>
          <w:szCs w:val="17"/>
          <w:color w:val="000000"/>
        </w:rPr>
        <w:t>The independent members of the</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Board elect a lead independent director on an annual basis. The lead independent director has robust responsibilities and authorities as discussed below. Robert A. Eckert currently serves as our lead independent director. Mr. Eckert has been elected as the lead independent director each year since our May 2016 annual meeting of stockholders and was re-elected by our Board on March 7, 2023 to continue to serve as lead independent director subject to his re-election to the Board by our stockholders at our 2023 Annual Meeting of Stockholders, or Annual Meeting.</w:t>
      </w:r>
    </w:p>
    <w:p>
      <w:pPr>
        <w:spacing w:after="0" w:line="89" w:lineRule="exact"/>
        <w:rPr>
          <w:rFonts w:ascii="Arial" w:cs="Arial" w:eastAsia="Arial" w:hAnsi="Arial"/>
          <w:sz w:val="17"/>
          <w:szCs w:val="17"/>
          <w:color w:val="0171B9"/>
        </w:rPr>
      </w:pPr>
    </w:p>
    <w:p>
      <w:pPr>
        <w:jc w:val="both"/>
        <w:ind w:left="380" w:hanging="264"/>
        <w:spacing w:after="0" w:line="249" w:lineRule="auto"/>
        <w:tabs>
          <w:tab w:leader="none" w:pos="380" w:val="left"/>
        </w:tabs>
        <w:numPr>
          <w:ilvl w:val="0"/>
          <w:numId w:val="22"/>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Regular Executive Sessions of Independent Directors. </w:t>
      </w:r>
      <w:r>
        <w:rPr>
          <w:rFonts w:ascii="Arial" w:cs="Arial" w:eastAsia="Arial" w:hAnsi="Arial"/>
          <w:sz w:val="17"/>
          <w:szCs w:val="17"/>
          <w:color w:val="000000"/>
        </w:rPr>
        <w:t>Our</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independent directors meet privately on a regular basis. Our lead independent director presides at such meetings.</w:t>
      </w:r>
    </w:p>
    <w:p>
      <w:pPr>
        <w:spacing w:after="0" w:line="80" w:lineRule="exact"/>
        <w:rPr>
          <w:rFonts w:ascii="Arial" w:cs="Arial" w:eastAsia="Arial" w:hAnsi="Arial"/>
          <w:sz w:val="17"/>
          <w:szCs w:val="17"/>
          <w:color w:val="0171B9"/>
        </w:rPr>
      </w:pPr>
    </w:p>
    <w:p>
      <w:pPr>
        <w:jc w:val="both"/>
        <w:ind w:left="380" w:hanging="264"/>
        <w:spacing w:after="0" w:line="239" w:lineRule="auto"/>
        <w:tabs>
          <w:tab w:leader="none" w:pos="380" w:val="left"/>
        </w:tabs>
        <w:numPr>
          <w:ilvl w:val="0"/>
          <w:numId w:val="22"/>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Board Access to Management. </w:t>
      </w:r>
      <w:r>
        <w:rPr>
          <w:rFonts w:ascii="Arial" w:cs="Arial" w:eastAsia="Arial" w:hAnsi="Arial"/>
          <w:sz w:val="17"/>
          <w:szCs w:val="17"/>
          <w:color w:val="000000"/>
        </w:rPr>
        <w:t>We afford our directors ready</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access to our management. Key members of management attend Board and committee meetings to present information concerning various aspects of the Company, its operations, and results, and have regular meetings in executive sessions with the Board and committees.</w:t>
      </w:r>
    </w:p>
    <w:p>
      <w:pPr>
        <w:spacing w:after="0" w:line="87" w:lineRule="exact"/>
        <w:rPr>
          <w:rFonts w:ascii="Arial" w:cs="Arial" w:eastAsia="Arial" w:hAnsi="Arial"/>
          <w:sz w:val="17"/>
          <w:szCs w:val="17"/>
          <w:color w:val="0171B9"/>
        </w:rPr>
      </w:pPr>
    </w:p>
    <w:p>
      <w:pPr>
        <w:jc w:val="both"/>
        <w:ind w:left="380" w:hanging="264"/>
        <w:spacing w:after="0" w:line="235" w:lineRule="auto"/>
        <w:tabs>
          <w:tab w:leader="none" w:pos="380" w:val="left"/>
        </w:tabs>
        <w:numPr>
          <w:ilvl w:val="0"/>
          <w:numId w:val="22"/>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Board Authority to Retain Outside Advisors. </w:t>
      </w:r>
      <w:r>
        <w:rPr>
          <w:rFonts w:ascii="Arial" w:cs="Arial" w:eastAsia="Arial" w:hAnsi="Arial"/>
          <w:sz w:val="17"/>
          <w:szCs w:val="17"/>
          <w:color w:val="000000"/>
        </w:rPr>
        <w:t>Our Board and its</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committees have the authority to retain independent advisors and counsel. The Audit Committee has the sole authority to appoint, compensate, retain, and oversee the independent registered public accountants. The Compensation and Management Development Committee, or Compensation Committee, has the sole authority to appoint, compensate, retain, and oversee compensation advisors for senior management compensation review. The Governance and Nominating Committee, or Governance Committee, has the sole authority to appoint, retain, and replace search firms to identify director candidates and compensation advisors for our directors’ compensation review.</w:t>
      </w:r>
    </w:p>
    <w:p>
      <w:pPr>
        <w:spacing w:after="0" w:line="92" w:lineRule="exact"/>
        <w:rPr>
          <w:rFonts w:ascii="Arial" w:cs="Arial" w:eastAsia="Arial" w:hAnsi="Arial"/>
          <w:sz w:val="17"/>
          <w:szCs w:val="17"/>
          <w:color w:val="0171B9"/>
        </w:rPr>
      </w:pPr>
    </w:p>
    <w:p>
      <w:pPr>
        <w:ind w:left="380" w:right="20" w:hanging="264"/>
        <w:spacing w:after="0" w:line="267" w:lineRule="auto"/>
        <w:tabs>
          <w:tab w:leader="none" w:pos="380" w:val="left"/>
        </w:tabs>
        <w:numPr>
          <w:ilvl w:val="0"/>
          <w:numId w:val="22"/>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Independent Board Members on Key Standing Committees. </w:t>
      </w:r>
      <w:r>
        <w:rPr>
          <w:rFonts w:ascii="Arial" w:cs="Arial" w:eastAsia="Arial" w:hAnsi="Arial"/>
          <w:sz w:val="17"/>
          <w:szCs w:val="17"/>
          <w:color w:val="000000"/>
        </w:rPr>
        <w:t>The Board has four key standing committees:</w:t>
      </w:r>
    </w:p>
    <w:p>
      <w:pPr>
        <w:spacing w:after="0" w:line="64" w:lineRule="exact"/>
        <w:rPr>
          <w:rFonts w:ascii="Arial" w:cs="Arial" w:eastAsia="Arial" w:hAnsi="Arial"/>
          <w:sz w:val="17"/>
          <w:szCs w:val="17"/>
          <w:color w:val="0171B9"/>
        </w:rPr>
      </w:pPr>
    </w:p>
    <w:p>
      <w:pPr>
        <w:ind w:left="340"/>
        <w:spacing w:after="0"/>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321310</wp:posOffset>
            </wp:positionV>
            <wp:extent cx="7715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both"/>
        <w:ind w:left="266" w:right="20" w:hanging="266"/>
        <w:spacing w:after="0"/>
        <w:tabs>
          <w:tab w:leader="none" w:pos="266" w:val="left"/>
        </w:tabs>
        <w:numPr>
          <w:ilvl w:val="0"/>
          <w:numId w:val="23"/>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Regular Board and Committee Evaluations. </w:t>
      </w:r>
      <w:r>
        <w:rPr>
          <w:rFonts w:ascii="Arial" w:cs="Arial" w:eastAsia="Arial" w:hAnsi="Arial"/>
          <w:sz w:val="17"/>
          <w:szCs w:val="17"/>
          <w:color w:val="000000"/>
        </w:rPr>
        <w:t>The Board and the</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Audit, Compensation, Compliance, and Governance Committees each conduct an annual evaluation process. We provide more</w:t>
      </w:r>
    </w:p>
    <w:p>
      <w:pPr>
        <w:spacing w:after="0" w:line="1" w:lineRule="exact"/>
        <w:rPr>
          <w:sz w:val="20"/>
          <w:szCs w:val="20"/>
          <w:color w:val="auto"/>
        </w:rPr>
      </w:pPr>
    </w:p>
    <w:p>
      <w:pPr>
        <w:ind w:left="266" w:right="40"/>
        <w:spacing w:after="0" w:line="243" w:lineRule="auto"/>
        <w:rPr>
          <w:sz w:val="20"/>
          <w:szCs w:val="20"/>
          <w:color w:val="auto"/>
        </w:rPr>
      </w:pPr>
      <w:r>
        <w:rPr>
          <w:rFonts w:ascii="Arial" w:cs="Arial" w:eastAsia="Arial" w:hAnsi="Arial"/>
          <w:sz w:val="17"/>
          <w:szCs w:val="17"/>
          <w:color w:val="auto"/>
        </w:rPr>
        <w:t>information regarding the Board and committee evaluations on page 27.</w:t>
      </w:r>
    </w:p>
    <w:p>
      <w:pPr>
        <w:spacing w:after="0" w:line="84" w:lineRule="exact"/>
        <w:rPr>
          <w:sz w:val="20"/>
          <w:szCs w:val="20"/>
          <w:color w:val="auto"/>
        </w:rPr>
      </w:pPr>
    </w:p>
    <w:p>
      <w:pPr>
        <w:jc w:val="both"/>
        <w:ind w:left="266" w:right="20" w:hanging="266"/>
        <w:spacing w:after="0" w:line="236" w:lineRule="auto"/>
        <w:tabs>
          <w:tab w:leader="none" w:pos="266" w:val="left"/>
        </w:tabs>
        <w:numPr>
          <w:ilvl w:val="0"/>
          <w:numId w:val="24"/>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Management Succession Oversight. </w:t>
      </w:r>
      <w:r>
        <w:rPr>
          <w:rFonts w:ascii="Arial" w:cs="Arial" w:eastAsia="Arial" w:hAnsi="Arial"/>
          <w:sz w:val="17"/>
          <w:szCs w:val="17"/>
          <w:color w:val="000000"/>
        </w:rPr>
        <w:t>Our Board oversees Chief</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Executive Officer, or CEO, and senior management succession planning. Directors engage with potential CEO, executive, and senior management successors at Board and committee meetings. The Compensation Committee has an effective process for monitoring and determining our CEO’s compensation and performance and holds an annual session on succession. All independent members of the Board are invited to attend the Compensation Committee session on succession. Our Board also establishes steps to address succession to respond to unexpected vacancies in the event of an emergency.</w:t>
      </w:r>
    </w:p>
    <w:p>
      <w:pPr>
        <w:spacing w:after="0" w:line="86" w:lineRule="exact"/>
        <w:rPr>
          <w:rFonts w:ascii="Arial" w:cs="Arial" w:eastAsia="Arial" w:hAnsi="Arial"/>
          <w:sz w:val="17"/>
          <w:szCs w:val="17"/>
          <w:color w:val="0171B9"/>
        </w:rPr>
      </w:pPr>
    </w:p>
    <w:p>
      <w:pPr>
        <w:jc w:val="both"/>
        <w:ind w:left="266" w:right="20" w:hanging="266"/>
        <w:spacing w:after="0" w:line="237" w:lineRule="auto"/>
        <w:tabs>
          <w:tab w:leader="none" w:pos="266" w:val="left"/>
        </w:tabs>
        <w:numPr>
          <w:ilvl w:val="0"/>
          <w:numId w:val="24"/>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Solicitation of Stockholder Perspectives. </w:t>
      </w:r>
      <w:r>
        <w:rPr>
          <w:rFonts w:ascii="Arial" w:cs="Arial" w:eastAsia="Arial" w:hAnsi="Arial"/>
          <w:sz w:val="17"/>
          <w:szCs w:val="17"/>
          <w:color w:val="000000"/>
        </w:rPr>
        <w:t>The Board believes</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that engagement with stockholders is a source of valuable information and perspectives on the Company. The Board has requested that management solicit input from investors on behalf of the Board and the lead independent director has also met directly with stockholders when appropriate. We provide more information regarding our stockholder engagement program on pages 53 and 54.</w:t>
      </w:r>
    </w:p>
    <w:p>
      <w:pPr>
        <w:spacing w:after="0" w:line="89" w:lineRule="exact"/>
        <w:rPr>
          <w:rFonts w:ascii="Arial" w:cs="Arial" w:eastAsia="Arial" w:hAnsi="Arial"/>
          <w:sz w:val="17"/>
          <w:szCs w:val="17"/>
          <w:color w:val="0171B9"/>
        </w:rPr>
      </w:pPr>
    </w:p>
    <w:p>
      <w:pPr>
        <w:jc w:val="both"/>
        <w:ind w:left="266" w:right="20" w:hanging="266"/>
        <w:spacing w:after="0" w:line="239" w:lineRule="auto"/>
        <w:tabs>
          <w:tab w:leader="none" w:pos="266" w:val="left"/>
        </w:tabs>
        <w:numPr>
          <w:ilvl w:val="0"/>
          <w:numId w:val="24"/>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Majority Approval Required for Director Elections. </w:t>
      </w:r>
      <w:r>
        <w:rPr>
          <w:rFonts w:ascii="Arial" w:cs="Arial" w:eastAsia="Arial" w:hAnsi="Arial"/>
          <w:sz w:val="17"/>
          <w:szCs w:val="17"/>
          <w:color w:val="000000"/>
        </w:rPr>
        <w:t>If an</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incumbent director up for re-election at a meeting of stockholders fails to receive a majority of the votes cast in favor for his or her election in an uncontested election, the Board will adhere to the director resignation policy as provided in our Amended and Restated Bylaws of Amgen Inc., or Bylaws.</w:t>
      </w:r>
    </w:p>
    <w:p>
      <w:pPr>
        <w:spacing w:after="0" w:line="87" w:lineRule="exact"/>
        <w:rPr>
          <w:rFonts w:ascii="Arial" w:cs="Arial" w:eastAsia="Arial" w:hAnsi="Arial"/>
          <w:sz w:val="17"/>
          <w:szCs w:val="17"/>
          <w:color w:val="0171B9"/>
        </w:rPr>
      </w:pPr>
    </w:p>
    <w:p>
      <w:pPr>
        <w:jc w:val="both"/>
        <w:ind w:left="266" w:right="20" w:hanging="266"/>
        <w:spacing w:after="0" w:line="238" w:lineRule="auto"/>
        <w:tabs>
          <w:tab w:leader="none" w:pos="266" w:val="left"/>
        </w:tabs>
        <w:numPr>
          <w:ilvl w:val="0"/>
          <w:numId w:val="24"/>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Director Limitation on Number of Boards. </w:t>
      </w:r>
      <w:r>
        <w:rPr>
          <w:rFonts w:ascii="Arial" w:cs="Arial" w:eastAsia="Arial" w:hAnsi="Arial"/>
          <w:sz w:val="17"/>
          <w:szCs w:val="17"/>
          <w:color w:val="000000"/>
        </w:rPr>
        <w:t>A director who is</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currently serving as our CEO should not serve on more than two outside public company boards. No director should serve on more than five public company boards (Amgen plus four outside boards). As part of its nominating process, the Governance Committee conducts an annual review of director commitment levels and shares its findings with the Board.</w:t>
      </w:r>
    </w:p>
    <w:p>
      <w:pPr>
        <w:spacing w:after="0" w:line="200" w:lineRule="exact"/>
        <w:rPr>
          <w:sz w:val="20"/>
          <w:szCs w:val="20"/>
          <w:color w:val="auto"/>
        </w:rPr>
      </w:pPr>
    </w:p>
    <w:p>
      <w:pPr>
        <w:sectPr>
          <w:pgSz w:w="11900" w:h="16838" w:orient="portrait"/>
          <w:cols w:equalWidth="0" w:num="2">
            <w:col w:w="5400" w:space="334"/>
            <w:col w:w="5406"/>
          </w:cols>
          <w:pgMar w:left="320" w:top="486" w:right="439" w:bottom="1440" w:gutter="0" w:footer="0" w:header="0"/>
          <w:type w:val="continuous"/>
        </w:sectPr>
      </w:pPr>
    </w:p>
    <w:p>
      <w:pPr>
        <w:spacing w:after="0" w:line="54"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Reference to our website is not intended to function as a hyperlink and the information contained on our website is not intended to be part of this proxy statement.</w:t>
      </w:r>
    </w:p>
    <w:p>
      <w:pPr>
        <w:spacing w:after="0" w:line="117"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jc w:val="right"/>
        <w:ind w:right="6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ectPr>
          <w:pgSz w:w="11900" w:h="16838" w:orient="portrait"/>
          <w:cols w:equalWidth="0" w:num="1">
            <w:col w:w="11120"/>
          </w:cols>
          <w:pgMar w:left="320" w:top="486" w:right="4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both"/>
        <w:ind w:left="380" w:right="20" w:hanging="264"/>
        <w:spacing w:after="0" w:line="249" w:lineRule="auto"/>
        <w:tabs>
          <w:tab w:leader="none" w:pos="380" w:val="left"/>
        </w:tabs>
        <w:numPr>
          <w:ilvl w:val="0"/>
          <w:numId w:val="26"/>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Continuous Board Refreshment. </w:t>
      </w:r>
      <w:r>
        <w:rPr>
          <w:rFonts w:ascii="Arial" w:cs="Arial" w:eastAsia="Arial" w:hAnsi="Arial"/>
          <w:sz w:val="17"/>
          <w:szCs w:val="17"/>
          <w:color w:val="000000"/>
        </w:rPr>
        <w:t>We have added eight new</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members to our Board since 2015 and our average Board tenure is approximately 6.5 years.</w:t>
      </w:r>
    </w:p>
    <w:p>
      <w:pPr>
        <w:spacing w:after="0" w:line="80" w:lineRule="exact"/>
        <w:rPr>
          <w:rFonts w:ascii="Arial" w:cs="Arial" w:eastAsia="Arial" w:hAnsi="Arial"/>
          <w:sz w:val="17"/>
          <w:szCs w:val="17"/>
          <w:color w:val="0171B9"/>
        </w:rPr>
      </w:pPr>
    </w:p>
    <w:p>
      <w:pPr>
        <w:jc w:val="both"/>
        <w:ind w:left="380" w:hanging="264"/>
        <w:spacing w:after="0" w:line="234" w:lineRule="auto"/>
        <w:tabs>
          <w:tab w:leader="none" w:pos="380" w:val="left"/>
        </w:tabs>
        <w:numPr>
          <w:ilvl w:val="0"/>
          <w:numId w:val="26"/>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Board Diversity. </w:t>
      </w:r>
      <w:r>
        <w:rPr>
          <w:rFonts w:ascii="Arial" w:cs="Arial" w:eastAsia="Arial" w:hAnsi="Arial"/>
          <w:sz w:val="17"/>
          <w:szCs w:val="17"/>
          <w:color w:val="000000"/>
        </w:rPr>
        <w:t>The Governance Committee and Board view</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diversity as a priority, consider diversity in their determinations of director candidates, and seek representation across a range of attributes. Diversity includes race, ethnicity, age, and gender and is also broadly construed to take into consideration many other factors, including industry knowledge, operational experience, scientific and academic expertise, geography, and personal background. In an effort to best support maintaining and expanding the diversity of our Board, our Governance Committee actively seeks diverse candidates, including women and candidates from underrepresented ethnic and racial groups, as part of its search for new directors. The Governance Committee and Board are committed to gender diversity. In support of this commitment, the Governance Committee and Board currently intend that the next vacancy resulting from a director retirement be filled by a person who meets our Director qualifications and enhances the Board’s gender diversity.</w:t>
      </w:r>
    </w:p>
    <w:p>
      <w:pPr>
        <w:spacing w:after="0" w:line="94" w:lineRule="exact"/>
        <w:rPr>
          <w:rFonts w:ascii="Arial" w:cs="Arial" w:eastAsia="Arial" w:hAnsi="Arial"/>
          <w:sz w:val="17"/>
          <w:szCs w:val="17"/>
          <w:color w:val="0171B9"/>
        </w:rPr>
      </w:pPr>
    </w:p>
    <w:p>
      <w:pPr>
        <w:jc w:val="both"/>
        <w:ind w:left="380" w:hanging="264"/>
        <w:spacing w:after="0" w:line="244" w:lineRule="auto"/>
        <w:tabs>
          <w:tab w:leader="none" w:pos="380" w:val="left"/>
        </w:tabs>
        <w:numPr>
          <w:ilvl w:val="0"/>
          <w:numId w:val="26"/>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Director Retirement Age. </w:t>
      </w:r>
      <w:r>
        <w:rPr>
          <w:rFonts w:ascii="Arial" w:cs="Arial" w:eastAsia="Arial" w:hAnsi="Arial"/>
          <w:sz w:val="17"/>
          <w:szCs w:val="17"/>
          <w:color w:val="000000"/>
        </w:rPr>
        <w:t>The Board has established a</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retirement age of 75. A director is expected to retire from the Board on the day of the annual meeting of stockholders following his or her 75</w:t>
      </w:r>
      <w:r>
        <w:rPr>
          <w:rFonts w:ascii="Arial" w:cs="Arial" w:eastAsia="Arial" w:hAnsi="Arial"/>
          <w:sz w:val="12"/>
          <w:szCs w:val="12"/>
          <w:color w:val="000000"/>
        </w:rPr>
        <w:t>th</w:t>
      </w:r>
      <w:r>
        <w:rPr>
          <w:rFonts w:ascii="Arial" w:cs="Arial" w:eastAsia="Arial" w:hAnsi="Arial"/>
          <w:sz w:val="17"/>
          <w:szCs w:val="17"/>
          <w:color w:val="000000"/>
        </w:rPr>
        <w:t xml:space="preserve"> birthday.</w:t>
      </w:r>
    </w:p>
    <w:p>
      <w:pPr>
        <w:spacing w:after="0" w:line="82" w:lineRule="exact"/>
        <w:rPr>
          <w:rFonts w:ascii="Arial" w:cs="Arial" w:eastAsia="Arial" w:hAnsi="Arial"/>
          <w:sz w:val="17"/>
          <w:szCs w:val="17"/>
          <w:color w:val="0171B9"/>
        </w:rPr>
      </w:pPr>
    </w:p>
    <w:p>
      <w:pPr>
        <w:jc w:val="both"/>
        <w:ind w:left="380" w:hanging="264"/>
        <w:spacing w:after="0" w:line="235" w:lineRule="auto"/>
        <w:tabs>
          <w:tab w:leader="none" w:pos="380" w:val="left"/>
        </w:tabs>
        <w:numPr>
          <w:ilvl w:val="0"/>
          <w:numId w:val="26"/>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Director Changes in Circumstances Actively Evaluated. </w:t>
      </w:r>
      <w:r>
        <w:rPr>
          <w:rFonts w:ascii="Arial" w:cs="Arial" w:eastAsia="Arial" w:hAnsi="Arial"/>
          <w:sz w:val="17"/>
          <w:szCs w:val="17"/>
          <w:color w:val="000000"/>
        </w:rPr>
        <w:t>If a</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director has a significant change in principal business or professional affiliation or responsibility, including a change in principal occupation, he or she shall offer his or her resignation to the Chair of the Governance Committee. The Governance Committee then determines whether to accept the resignation based on what it believes to be in the best interests of the Company and our stockholders. Directors notify the Chair of the Governance Committee prior to accepting an invitation to serve on a public or private company board to permit the Governance Committee to evaluate the relationship for a potential conflict of interest and to confirm that the director continues to have time available to perform his or her duties.</w:t>
      </w:r>
    </w:p>
    <w:p>
      <w:pPr>
        <w:spacing w:after="0" w:line="90" w:lineRule="exact"/>
        <w:rPr>
          <w:rFonts w:ascii="Arial" w:cs="Arial" w:eastAsia="Arial" w:hAnsi="Arial"/>
          <w:sz w:val="17"/>
          <w:szCs w:val="17"/>
          <w:color w:val="0171B9"/>
        </w:rPr>
      </w:pPr>
    </w:p>
    <w:p>
      <w:pPr>
        <w:jc w:val="both"/>
        <w:ind w:left="380" w:hanging="264"/>
        <w:spacing w:after="0"/>
        <w:tabs>
          <w:tab w:leader="none" w:pos="380" w:val="left"/>
        </w:tabs>
        <w:numPr>
          <w:ilvl w:val="0"/>
          <w:numId w:val="26"/>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Director Outside Relationships Require Pre-Approval. </w:t>
      </w:r>
      <w:r>
        <w:rPr>
          <w:rFonts w:ascii="Arial" w:cs="Arial" w:eastAsia="Arial" w:hAnsi="Arial"/>
          <w:sz w:val="17"/>
          <w:szCs w:val="17"/>
          <w:color w:val="000000"/>
        </w:rPr>
        <w:t>Without</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the prior approval of disinterested members of the Board, directors should not enter into any transaction or relationship with the Company in which they will have a financial or a personal interest or any transaction that otherwise involves a conflict of interest.</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both"/>
        <w:ind w:left="266" w:hanging="266"/>
        <w:spacing w:after="0" w:line="238" w:lineRule="auto"/>
        <w:tabs>
          <w:tab w:leader="none" w:pos="266" w:val="left"/>
        </w:tabs>
        <w:numPr>
          <w:ilvl w:val="0"/>
          <w:numId w:val="27"/>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Active Management of Director Conflicts of Interest. </w:t>
      </w:r>
      <w:r>
        <w:rPr>
          <w:rFonts w:ascii="Arial" w:cs="Arial" w:eastAsia="Arial" w:hAnsi="Arial"/>
          <w:sz w:val="17"/>
          <w:szCs w:val="17"/>
          <w:color w:val="000000"/>
        </w:rPr>
        <w:t>If an actual</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or potential conflict of interest arises for a director or a situation arises giving the appearance of an actual or potential conflict, the director must promptly inform the Chairman of the Board or the Chair of the Governance Committee. All directors are expected to recuse themselves from any discussion or decision found to affect their personal, business, or professional interests.</w:t>
      </w:r>
    </w:p>
    <w:p>
      <w:pPr>
        <w:spacing w:after="0" w:line="17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Stockholder Rights</w:t>
      </w:r>
    </w:p>
    <w:p>
      <w:pPr>
        <w:spacing w:after="0" w:line="118" w:lineRule="exact"/>
        <w:rPr>
          <w:sz w:val="20"/>
          <w:szCs w:val="20"/>
          <w:color w:val="auto"/>
        </w:rPr>
      </w:pPr>
    </w:p>
    <w:p>
      <w:pPr>
        <w:ind w:left="266" w:hanging="266"/>
        <w:spacing w:after="0" w:line="267" w:lineRule="auto"/>
        <w:tabs>
          <w:tab w:leader="none" w:pos="266" w:val="left"/>
        </w:tabs>
        <w:numPr>
          <w:ilvl w:val="0"/>
          <w:numId w:val="28"/>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Single Class of Shares. </w:t>
      </w:r>
      <w:r>
        <w:rPr>
          <w:rFonts w:ascii="Arial" w:cs="Arial" w:eastAsia="Arial" w:hAnsi="Arial"/>
          <w:sz w:val="17"/>
          <w:szCs w:val="17"/>
          <w:color w:val="000000"/>
        </w:rPr>
        <w:t>We have a single class of shares with</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equal voting rights. One share equals one vote.</w:t>
      </w:r>
    </w:p>
    <w:p>
      <w:pPr>
        <w:spacing w:after="0" w:line="64" w:lineRule="exact"/>
        <w:rPr>
          <w:rFonts w:ascii="Arial" w:cs="Arial" w:eastAsia="Arial" w:hAnsi="Arial"/>
          <w:sz w:val="17"/>
          <w:szCs w:val="17"/>
          <w:color w:val="0171B9"/>
        </w:rPr>
      </w:pPr>
    </w:p>
    <w:p>
      <w:pPr>
        <w:jc w:val="both"/>
        <w:ind w:left="266" w:hanging="266"/>
        <w:spacing w:after="0" w:line="235" w:lineRule="auto"/>
        <w:tabs>
          <w:tab w:leader="none" w:pos="266" w:val="left"/>
        </w:tabs>
        <w:numPr>
          <w:ilvl w:val="0"/>
          <w:numId w:val="28"/>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Proxy Access. </w:t>
      </w:r>
      <w:r>
        <w:rPr>
          <w:rFonts w:ascii="Arial" w:cs="Arial" w:eastAsia="Arial" w:hAnsi="Arial"/>
          <w:sz w:val="17"/>
          <w:szCs w:val="17"/>
          <w:color w:val="000000"/>
        </w:rPr>
        <w:t>Our Bylaws permit proxy access for director</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nominations. Eligible stockholders with an ownership threshold of 3% who have held their shares for at least 3 years and who otherwise meet the requirements set forth in our Bylaws may have their nominees up to the number of directors constituting the greater of 20% of the total number of directors or two nominees of our Board included in our proxy materials. Up to 20 eligible stockholders may group together to reach the 3% ownership threshold. In the course of designing our proxy access provisions, we carefully considered each element in the interest of our stockholders as a whole, including that the number of stockholders who may group together (20) would afford those stockholders likely to utilize proxy access with the opportunity to do so.</w:t>
      </w:r>
    </w:p>
    <w:p>
      <w:pPr>
        <w:spacing w:after="0" w:line="90" w:lineRule="exact"/>
        <w:rPr>
          <w:rFonts w:ascii="Arial" w:cs="Arial" w:eastAsia="Arial" w:hAnsi="Arial"/>
          <w:sz w:val="17"/>
          <w:szCs w:val="17"/>
          <w:color w:val="0171B9"/>
        </w:rPr>
      </w:pPr>
    </w:p>
    <w:p>
      <w:pPr>
        <w:jc w:val="both"/>
        <w:ind w:left="266" w:hanging="266"/>
        <w:spacing w:after="0" w:line="241" w:lineRule="auto"/>
        <w:tabs>
          <w:tab w:leader="none" w:pos="266" w:val="left"/>
        </w:tabs>
        <w:numPr>
          <w:ilvl w:val="0"/>
          <w:numId w:val="28"/>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Action by Written Consent. </w:t>
      </w:r>
      <w:r>
        <w:rPr>
          <w:rFonts w:ascii="Arial" w:cs="Arial" w:eastAsia="Arial" w:hAnsi="Arial"/>
          <w:sz w:val="17"/>
          <w:szCs w:val="17"/>
          <w:color w:val="000000"/>
        </w:rPr>
        <w:t>Our Amgen Inc. Restated Certificate</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of Incorporation permits stockholders to act by written consent in lieu of a meeting upon the request of the holders of at least 15% of our outstanding common shares who otherwise meet the requirements of our Certificate of Incorporation.</w:t>
      </w:r>
    </w:p>
    <w:p>
      <w:pPr>
        <w:spacing w:after="0" w:line="85" w:lineRule="exact"/>
        <w:rPr>
          <w:rFonts w:ascii="Arial" w:cs="Arial" w:eastAsia="Arial" w:hAnsi="Arial"/>
          <w:sz w:val="17"/>
          <w:szCs w:val="17"/>
          <w:color w:val="0171B9"/>
        </w:rPr>
      </w:pPr>
    </w:p>
    <w:p>
      <w:pPr>
        <w:jc w:val="both"/>
        <w:ind w:left="266" w:hanging="266"/>
        <w:spacing w:after="0" w:line="244" w:lineRule="auto"/>
        <w:tabs>
          <w:tab w:leader="none" w:pos="266" w:val="left"/>
        </w:tabs>
        <w:numPr>
          <w:ilvl w:val="0"/>
          <w:numId w:val="28"/>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Special Meetings. </w:t>
      </w:r>
      <w:r>
        <w:rPr>
          <w:rFonts w:ascii="Arial" w:cs="Arial" w:eastAsia="Arial" w:hAnsi="Arial"/>
          <w:sz w:val="17"/>
          <w:szCs w:val="17"/>
          <w:color w:val="000000"/>
        </w:rPr>
        <w:t>Our Bylaws permit stockholders to request that</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the Company call a special meeting upon the written request of the holders of at least 15% of our outstanding common shares who otherwise meet the requirements set forth in our Bylaws.</w:t>
      </w:r>
    </w:p>
    <w:p>
      <w:pPr>
        <w:spacing w:after="0" w:line="82" w:lineRule="exact"/>
        <w:rPr>
          <w:rFonts w:ascii="Arial" w:cs="Arial" w:eastAsia="Arial" w:hAnsi="Arial"/>
          <w:sz w:val="17"/>
          <w:szCs w:val="17"/>
          <w:color w:val="0171B9"/>
        </w:rPr>
      </w:pPr>
    </w:p>
    <w:p>
      <w:pPr>
        <w:jc w:val="both"/>
        <w:ind w:left="266" w:hanging="266"/>
        <w:spacing w:after="0" w:line="249" w:lineRule="auto"/>
        <w:tabs>
          <w:tab w:leader="none" w:pos="266" w:val="left"/>
        </w:tabs>
        <w:numPr>
          <w:ilvl w:val="0"/>
          <w:numId w:val="28"/>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No Supermajority Vote Provisions. </w:t>
      </w:r>
      <w:r>
        <w:rPr>
          <w:rFonts w:ascii="Arial" w:cs="Arial" w:eastAsia="Arial" w:hAnsi="Arial"/>
          <w:sz w:val="17"/>
          <w:szCs w:val="17"/>
          <w:color w:val="000000"/>
        </w:rPr>
        <w:t>We have a simple majority</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voting standard to amend our Certificate of Incorporation and Bylaws.</w:t>
      </w:r>
    </w:p>
    <w:p>
      <w:pPr>
        <w:spacing w:after="0" w:line="80" w:lineRule="exact"/>
        <w:rPr>
          <w:rFonts w:ascii="Arial" w:cs="Arial" w:eastAsia="Arial" w:hAnsi="Arial"/>
          <w:sz w:val="17"/>
          <w:szCs w:val="17"/>
          <w:color w:val="0171B9"/>
        </w:rPr>
      </w:pPr>
    </w:p>
    <w:p>
      <w:pPr>
        <w:ind w:left="266" w:hanging="266"/>
        <w:spacing w:after="0" w:line="267" w:lineRule="auto"/>
        <w:tabs>
          <w:tab w:leader="none" w:pos="266" w:val="left"/>
        </w:tabs>
        <w:numPr>
          <w:ilvl w:val="0"/>
          <w:numId w:val="28"/>
        </w:numPr>
        <w:rPr>
          <w:rFonts w:ascii="Arial" w:cs="Arial" w:eastAsia="Arial" w:hAnsi="Arial"/>
          <w:sz w:val="17"/>
          <w:szCs w:val="17"/>
          <w:color w:val="0171B9"/>
        </w:rPr>
      </w:pPr>
      <w:r>
        <w:rPr>
          <w:rFonts w:ascii="Arial" w:cs="Arial" w:eastAsia="Arial" w:hAnsi="Arial"/>
          <w:sz w:val="17"/>
          <w:szCs w:val="17"/>
          <w:b w:val="1"/>
          <w:bCs w:val="1"/>
          <w:i w:val="1"/>
          <w:iCs w:val="1"/>
          <w:color w:val="0171B9"/>
        </w:rPr>
        <w:t xml:space="preserve">No Poison Pill. </w:t>
      </w:r>
      <w:r>
        <w:rPr>
          <w:rFonts w:ascii="Arial" w:cs="Arial" w:eastAsia="Arial" w:hAnsi="Arial"/>
          <w:sz w:val="17"/>
          <w:szCs w:val="17"/>
          <w:color w:val="000000"/>
        </w:rPr>
        <w:t>We do not have a shareholder rights plan, or</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poison pill.</w:t>
      </w:r>
    </w:p>
    <w:p>
      <w:pPr>
        <w:spacing w:after="0" w:line="607" w:lineRule="exact"/>
        <w:rPr>
          <w:sz w:val="20"/>
          <w:szCs w:val="20"/>
          <w:color w:val="auto"/>
        </w:rPr>
      </w:pPr>
    </w:p>
    <w:p>
      <w:pPr>
        <w:sectPr>
          <w:pgSz w:w="11900" w:h="16838" w:orient="portrait"/>
          <w:cols w:equalWidth="0" w:num="2">
            <w:col w:w="5400" w:space="334"/>
            <w:col w:w="5386"/>
          </w:cols>
          <w:pgMar w:left="320" w:top="486" w:right="45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type w:val="continuous"/>
        </w:sectPr>
      </w:pPr>
    </w:p>
    <w:p>
      <w:pPr>
        <w:spacing w:after="0" w:line="317"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Our current Board leadership structure and governing documents permit the roles of Chairman and CEO to be filled by the same or different individuals.</w:t>
      </w:r>
    </w:p>
    <w:p>
      <w:pPr>
        <w:spacing w:after="0" w:line="73"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b w:val="1"/>
          <w:bCs w:val="1"/>
          <w:i w:val="1"/>
          <w:iCs w:val="1"/>
          <w:color w:val="0171B9"/>
        </w:rPr>
        <w:t xml:space="preserve">Annual Evaluation of Board Leadership Structure and Annual Election of Lead Independent Director. </w:t>
      </w:r>
      <w:r>
        <w:rPr>
          <w:rFonts w:ascii="Arial" w:cs="Arial" w:eastAsia="Arial" w:hAnsi="Arial"/>
          <w:sz w:val="17"/>
          <w:szCs w:val="17"/>
          <w:color w:val="000000"/>
        </w:rPr>
        <w:t>The Board evaluates,</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considers, and discusses the leadership structure annually. As part of this annual evaluation process, the Board reviews its leadership structure, including whether combining or separating the roles of</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6"/>
        <w:spacing w:after="0" w:line="243" w:lineRule="auto"/>
        <w:rPr>
          <w:sz w:val="20"/>
          <w:szCs w:val="20"/>
          <w:color w:val="auto"/>
        </w:rPr>
      </w:pPr>
      <w:r>
        <w:rPr>
          <w:rFonts w:ascii="Arial" w:cs="Arial" w:eastAsia="Arial" w:hAnsi="Arial"/>
          <w:sz w:val="17"/>
          <w:szCs w:val="17"/>
          <w:color w:val="auto"/>
        </w:rPr>
        <w:t>Chairman and CEO is in the best interests of the Company and our stockholders. The Board also considers:</w:t>
      </w:r>
    </w:p>
    <w:p>
      <w:pPr>
        <w:spacing w:after="0" w:line="104" w:lineRule="exact"/>
        <w:rPr>
          <w:sz w:val="20"/>
          <w:szCs w:val="20"/>
          <w:color w:val="auto"/>
        </w:rPr>
      </w:pPr>
    </w:p>
    <w:p>
      <w:pPr>
        <w:ind w:left="266" w:hanging="266"/>
        <w:spacing w:after="0" w:line="243" w:lineRule="auto"/>
        <w:tabs>
          <w:tab w:leader="none" w:pos="266" w:val="left"/>
        </w:tabs>
        <w:numPr>
          <w:ilvl w:val="0"/>
          <w:numId w:val="29"/>
        </w:numPr>
        <w:rPr>
          <w:rFonts w:ascii="Arial" w:cs="Arial" w:eastAsia="Arial" w:hAnsi="Arial"/>
          <w:sz w:val="17"/>
          <w:szCs w:val="17"/>
          <w:color w:val="0171B9"/>
        </w:rPr>
      </w:pPr>
      <w:r>
        <w:rPr>
          <w:rFonts w:ascii="Arial" w:cs="Arial" w:eastAsia="Arial" w:hAnsi="Arial"/>
          <w:sz w:val="17"/>
          <w:szCs w:val="17"/>
          <w:color w:val="auto"/>
        </w:rPr>
        <w:t>The effectiveness of the policies, practices, and people in place at the Company to help ensure strong, independent Board oversight;</w:t>
      </w:r>
    </w:p>
    <w:p>
      <w:pPr>
        <w:spacing w:after="0" w:line="103" w:lineRule="exact"/>
        <w:rPr>
          <w:rFonts w:ascii="Arial" w:cs="Arial" w:eastAsia="Arial" w:hAnsi="Arial"/>
          <w:sz w:val="17"/>
          <w:szCs w:val="17"/>
          <w:color w:val="0171B9"/>
        </w:rPr>
      </w:pPr>
    </w:p>
    <w:p>
      <w:pPr>
        <w:ind w:left="266" w:hanging="266"/>
        <w:spacing w:after="0" w:line="243" w:lineRule="auto"/>
        <w:tabs>
          <w:tab w:leader="none" w:pos="266" w:val="left"/>
        </w:tabs>
        <w:numPr>
          <w:ilvl w:val="0"/>
          <w:numId w:val="29"/>
        </w:numPr>
        <w:rPr>
          <w:rFonts w:ascii="Arial" w:cs="Arial" w:eastAsia="Arial" w:hAnsi="Arial"/>
          <w:sz w:val="17"/>
          <w:szCs w:val="17"/>
          <w:color w:val="0171B9"/>
        </w:rPr>
      </w:pPr>
      <w:r>
        <w:rPr>
          <w:rFonts w:ascii="Arial" w:cs="Arial" w:eastAsia="Arial" w:hAnsi="Arial"/>
          <w:sz w:val="17"/>
          <w:szCs w:val="17"/>
          <w:color w:val="auto"/>
        </w:rPr>
        <w:t>The Company’s performance and the effect the leadership structure could have on its performance;</w:t>
      </w:r>
    </w:p>
    <w:p>
      <w:pPr>
        <w:spacing w:after="0" w:line="103" w:lineRule="exact"/>
        <w:rPr>
          <w:rFonts w:ascii="Arial" w:cs="Arial" w:eastAsia="Arial" w:hAnsi="Arial"/>
          <w:sz w:val="17"/>
          <w:szCs w:val="17"/>
          <w:color w:val="0171B9"/>
        </w:rPr>
      </w:pPr>
    </w:p>
    <w:p>
      <w:pPr>
        <w:ind w:left="266" w:hanging="266"/>
        <w:spacing w:after="0" w:line="243" w:lineRule="auto"/>
        <w:tabs>
          <w:tab w:leader="none" w:pos="266" w:val="left"/>
        </w:tabs>
        <w:numPr>
          <w:ilvl w:val="0"/>
          <w:numId w:val="29"/>
        </w:numPr>
        <w:rPr>
          <w:rFonts w:ascii="Arial" w:cs="Arial" w:eastAsia="Arial" w:hAnsi="Arial"/>
          <w:sz w:val="17"/>
          <w:szCs w:val="17"/>
          <w:color w:val="0171B9"/>
        </w:rPr>
      </w:pPr>
      <w:r>
        <w:rPr>
          <w:rFonts w:ascii="Arial" w:cs="Arial" w:eastAsia="Arial" w:hAnsi="Arial"/>
          <w:sz w:val="17"/>
          <w:szCs w:val="17"/>
          <w:color w:val="auto"/>
        </w:rPr>
        <w:t>The Board’s performance and the effect the leadership structure could have on the Board’s performance;</w:t>
      </w:r>
    </w:p>
    <w:p>
      <w:pPr>
        <w:spacing w:after="0" w:line="200" w:lineRule="exact"/>
        <w:rPr>
          <w:sz w:val="20"/>
          <w:szCs w:val="20"/>
          <w:color w:val="auto"/>
        </w:rPr>
      </w:pPr>
    </w:p>
    <w:p>
      <w:pPr>
        <w:sectPr>
          <w:pgSz w:w="11900" w:h="16838" w:orient="portrait"/>
          <w:cols w:equalWidth="0" w:num="2">
            <w:col w:w="5400" w:space="334"/>
            <w:col w:w="5386"/>
          </w:cols>
          <w:pgMar w:left="320" w:top="486" w:right="459" w:bottom="1440" w:gutter="0" w:footer="0" w:header="0"/>
          <w:type w:val="continuous"/>
        </w:sectPr>
      </w:pPr>
    </w:p>
    <w:p>
      <w:pPr>
        <w:spacing w:after="0" w:line="55"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18</w:t>
      </w:r>
      <w:r>
        <w:rPr>
          <w:sz w:val="20"/>
          <w:szCs w:val="20"/>
          <w:color w:val="auto"/>
        </w:rPr>
        <w:tab/>
      </w:r>
      <w:r>
        <w:rPr>
          <w:sz w:val="1"/>
          <w:szCs w:val="1"/>
          <w:color w:val="auto"/>
        </w:rPr>
        <w:drawing>
          <wp:inline distT="0" distB="0" distL="0" distR="0">
            <wp:extent cx="582930" cy="13716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20"/>
          </w:cols>
          <w:pgMar w:left="320" w:top="486" w:right="4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380" w:hanging="264"/>
        <w:spacing w:after="0"/>
        <w:tabs>
          <w:tab w:leader="none" w:pos="380" w:val="left"/>
        </w:tabs>
        <w:numPr>
          <w:ilvl w:val="0"/>
          <w:numId w:val="30"/>
        </w:numPr>
        <w:rPr>
          <w:rFonts w:ascii="Arial" w:cs="Arial" w:eastAsia="Arial" w:hAnsi="Arial"/>
          <w:sz w:val="17"/>
          <w:szCs w:val="17"/>
          <w:color w:val="0171B9"/>
        </w:rPr>
      </w:pPr>
      <w:r>
        <w:rPr>
          <w:rFonts w:ascii="Arial" w:cs="Arial" w:eastAsia="Arial" w:hAnsi="Arial"/>
          <w:sz w:val="17"/>
          <w:szCs w:val="17"/>
          <w:color w:val="auto"/>
        </w:rPr>
        <w:t>The Chairman’s performance in the role;</w:t>
      </w:r>
    </w:p>
    <w:p>
      <w:pPr>
        <w:spacing w:after="0" w:line="115" w:lineRule="exact"/>
        <w:rPr>
          <w:rFonts w:ascii="Arial" w:cs="Arial" w:eastAsia="Arial" w:hAnsi="Arial"/>
          <w:sz w:val="17"/>
          <w:szCs w:val="17"/>
          <w:color w:val="0171B9"/>
        </w:rPr>
      </w:pPr>
    </w:p>
    <w:p>
      <w:pPr>
        <w:ind w:left="380" w:hanging="264"/>
        <w:spacing w:after="0"/>
        <w:tabs>
          <w:tab w:leader="none" w:pos="380" w:val="left"/>
        </w:tabs>
        <w:numPr>
          <w:ilvl w:val="0"/>
          <w:numId w:val="30"/>
        </w:numPr>
        <w:rPr>
          <w:rFonts w:ascii="Arial" w:cs="Arial" w:eastAsia="Arial" w:hAnsi="Arial"/>
          <w:sz w:val="17"/>
          <w:szCs w:val="17"/>
          <w:color w:val="0171B9"/>
        </w:rPr>
      </w:pPr>
      <w:r>
        <w:rPr>
          <w:rFonts w:ascii="Arial" w:cs="Arial" w:eastAsia="Arial" w:hAnsi="Arial"/>
          <w:sz w:val="17"/>
          <w:szCs w:val="17"/>
          <w:color w:val="auto"/>
        </w:rPr>
        <w:t>The lead independent director’s performance in the role;</w:t>
      </w:r>
    </w:p>
    <w:p>
      <w:pPr>
        <w:spacing w:after="0" w:line="115" w:lineRule="exact"/>
        <w:rPr>
          <w:rFonts w:ascii="Arial" w:cs="Arial" w:eastAsia="Arial" w:hAnsi="Arial"/>
          <w:sz w:val="17"/>
          <w:szCs w:val="17"/>
          <w:color w:val="0171B9"/>
        </w:rPr>
      </w:pPr>
    </w:p>
    <w:p>
      <w:pPr>
        <w:ind w:left="380" w:hanging="264"/>
        <w:spacing w:after="0"/>
        <w:tabs>
          <w:tab w:leader="none" w:pos="380" w:val="left"/>
        </w:tabs>
        <w:numPr>
          <w:ilvl w:val="0"/>
          <w:numId w:val="30"/>
        </w:numPr>
        <w:rPr>
          <w:rFonts w:ascii="Arial" w:cs="Arial" w:eastAsia="Arial" w:hAnsi="Arial"/>
          <w:sz w:val="17"/>
          <w:szCs w:val="17"/>
          <w:color w:val="0171B9"/>
        </w:rPr>
      </w:pPr>
      <w:r>
        <w:rPr>
          <w:rFonts w:ascii="Arial" w:cs="Arial" w:eastAsia="Arial" w:hAnsi="Arial"/>
          <w:sz w:val="17"/>
          <w:szCs w:val="17"/>
          <w:color w:val="auto"/>
        </w:rPr>
        <w:t>The views of the Company’s stockholders; and</w:t>
      </w:r>
    </w:p>
    <w:p>
      <w:pPr>
        <w:spacing w:after="0" w:line="115" w:lineRule="exact"/>
        <w:rPr>
          <w:rFonts w:ascii="Arial" w:cs="Arial" w:eastAsia="Arial" w:hAnsi="Arial"/>
          <w:sz w:val="17"/>
          <w:szCs w:val="17"/>
          <w:color w:val="0171B9"/>
        </w:rPr>
      </w:pPr>
    </w:p>
    <w:p>
      <w:pPr>
        <w:ind w:left="380" w:hanging="264"/>
        <w:spacing w:after="0"/>
        <w:tabs>
          <w:tab w:leader="none" w:pos="380" w:val="left"/>
        </w:tabs>
        <w:numPr>
          <w:ilvl w:val="0"/>
          <w:numId w:val="30"/>
        </w:numPr>
        <w:rPr>
          <w:rFonts w:ascii="Arial" w:cs="Arial" w:eastAsia="Arial" w:hAnsi="Arial"/>
          <w:sz w:val="17"/>
          <w:szCs w:val="17"/>
          <w:color w:val="0171B9"/>
        </w:rPr>
      </w:pPr>
      <w:r>
        <w:rPr>
          <w:rFonts w:ascii="Arial" w:cs="Arial" w:eastAsia="Arial" w:hAnsi="Arial"/>
          <w:sz w:val="17"/>
          <w:szCs w:val="17"/>
          <w:color w:val="auto"/>
        </w:rPr>
        <w:t>The practices at other companies and trends in governance.</w:t>
      </w:r>
    </w:p>
    <w:p>
      <w:pPr>
        <w:spacing w:after="0" w:line="102"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In the circumstance that the Board determines that it remains in the best interests of the Company and its stockholders that the CEO serve as Chairman, the independent members of the Board then elect a lead independent director from the independent members of the Board. The last review was completed in March 2023, and as a result of such review, the Board has determined that it continues to be in the best interests of the Company and our stockholders to have Robert A. Bradway, our CEO and President, serve as Chairman, coupled with an active lead independent director. As such, Mr. Bradway holds the position of Chairman, CEO, and President, and Mr. Eckert serves as the lead independent director.</w:t>
      </w:r>
    </w:p>
    <w:p>
      <w:pPr>
        <w:spacing w:after="0" w:line="80" w:lineRule="exact"/>
        <w:rPr>
          <w:sz w:val="20"/>
          <w:szCs w:val="20"/>
          <w:color w:val="auto"/>
        </w:rPr>
      </w:pPr>
    </w:p>
    <w:p>
      <w:pPr>
        <w:jc w:val="both"/>
        <w:ind w:left="120"/>
        <w:spacing w:after="0" w:line="237" w:lineRule="auto"/>
        <w:rPr>
          <w:sz w:val="20"/>
          <w:szCs w:val="20"/>
          <w:color w:val="auto"/>
        </w:rPr>
      </w:pPr>
      <w:r>
        <w:rPr>
          <w:rFonts w:ascii="Arial" w:cs="Arial" w:eastAsia="Arial" w:hAnsi="Arial"/>
          <w:sz w:val="17"/>
          <w:szCs w:val="17"/>
          <w:b w:val="1"/>
          <w:bCs w:val="1"/>
          <w:i w:val="1"/>
          <w:iCs w:val="1"/>
          <w:color w:val="0171B9"/>
        </w:rPr>
        <w:t xml:space="preserve">Overview of Lead Independent Director Responsibilities. </w:t>
      </w:r>
      <w:r>
        <w:rPr>
          <w:rFonts w:ascii="Arial" w:cs="Arial" w:eastAsia="Arial" w:hAnsi="Arial"/>
          <w:sz w:val="17"/>
          <w:szCs w:val="17"/>
          <w:color w:val="000000"/>
        </w:rPr>
        <w:t>The</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responsibilities of the lead independent director are well-defined. The lead independent director engages in regular communication with the independent directors, including in independent directors sessions. The lead independent director keeps Mr. Bradway apprised of any concerns, issues, or determinations made during the independent sessions, and consults with Mr. Bradway on other matters pertinent to the Company and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150495</wp:posOffset>
            </wp:positionV>
            <wp:extent cx="3360420" cy="30346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0420" cy="3034665"/>
                    </a:xfrm>
                    <a:prstGeom prst="rect">
                      <a:avLst/>
                    </a:prstGeom>
                    <a:noFill/>
                  </pic:spPr>
                </pic:pic>
              </a:graphicData>
            </a:graphic>
          </wp:anchor>
        </w:drawing>
      </w:r>
    </w:p>
    <w:p>
      <w:pPr>
        <w:spacing w:after="0" w:line="245" w:lineRule="exact"/>
        <w:rPr>
          <w:sz w:val="20"/>
          <w:szCs w:val="20"/>
          <w:color w:val="auto"/>
        </w:rPr>
      </w:pPr>
    </w:p>
    <w:p>
      <w:pPr>
        <w:jc w:val="center"/>
        <w:ind w:left="140"/>
        <w:spacing w:after="0"/>
        <w:rPr>
          <w:sz w:val="20"/>
          <w:szCs w:val="20"/>
          <w:color w:val="auto"/>
        </w:rPr>
      </w:pPr>
      <w:r>
        <w:rPr>
          <w:rFonts w:ascii="Arial" w:cs="Arial" w:eastAsia="Arial" w:hAnsi="Arial"/>
          <w:sz w:val="17"/>
          <w:szCs w:val="17"/>
          <w:b w:val="1"/>
          <w:bCs w:val="1"/>
          <w:color w:val="0171B9"/>
        </w:rPr>
        <w:t>Lead Independent Director Responsibilities</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lead independent director’s responsibilities outlined in our</w:t>
      </w:r>
    </w:p>
    <w:p>
      <w:pPr>
        <w:ind w:left="280"/>
        <w:spacing w:after="0"/>
        <w:rPr>
          <w:sz w:val="20"/>
          <w:szCs w:val="20"/>
          <w:color w:val="auto"/>
        </w:rPr>
      </w:pPr>
      <w:r>
        <w:rPr>
          <w:rFonts w:ascii="Arial" w:cs="Arial" w:eastAsia="Arial" w:hAnsi="Arial"/>
          <w:sz w:val="17"/>
          <w:szCs w:val="17"/>
          <w:color w:val="auto"/>
        </w:rPr>
        <w:t>Corporate Governance Principles include:</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Approving meeting agendas for the Board;</w:t>
      </w:r>
    </w:p>
    <w:p>
      <w:pPr>
        <w:spacing w:after="0" w:line="115" w:lineRule="exact"/>
        <w:rPr>
          <w:sz w:val="20"/>
          <w:szCs w:val="20"/>
          <w:color w:val="auto"/>
        </w:rPr>
      </w:pPr>
    </w:p>
    <w:p>
      <w:pPr>
        <w:jc w:val="both"/>
        <w:ind w:left="500" w:right="120" w:hanging="214"/>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Assuring that there is sufficient time for discussion of all</w:t>
      </w:r>
      <w:r>
        <w:rPr>
          <w:rFonts w:ascii="Arial" w:cs="Arial" w:eastAsia="Arial" w:hAnsi="Arial"/>
          <w:sz w:val="17"/>
          <w:szCs w:val="17"/>
          <w:color w:val="0171B9"/>
        </w:rPr>
        <w:t xml:space="preserve"> </w:t>
      </w:r>
      <w:r>
        <w:rPr>
          <w:rFonts w:ascii="Arial" w:cs="Arial" w:eastAsia="Arial" w:hAnsi="Arial"/>
          <w:sz w:val="17"/>
          <w:szCs w:val="17"/>
          <w:color w:val="000000"/>
        </w:rPr>
        <w:t>meeting agenda items;</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Previewing the information to be provided to the Board;</w:t>
      </w:r>
    </w:p>
    <w:p>
      <w:pPr>
        <w:spacing w:after="0" w:line="115" w:lineRule="exact"/>
        <w:rPr>
          <w:sz w:val="20"/>
          <w:szCs w:val="20"/>
          <w:color w:val="auto"/>
        </w:rPr>
      </w:pPr>
    </w:p>
    <w:p>
      <w:pPr>
        <w:jc w:val="both"/>
        <w:ind w:left="500" w:right="140" w:hanging="214"/>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Having the authority to call meetings of the independent</w:t>
      </w:r>
      <w:r>
        <w:rPr>
          <w:rFonts w:ascii="Arial" w:cs="Arial" w:eastAsia="Arial" w:hAnsi="Arial"/>
          <w:sz w:val="17"/>
          <w:szCs w:val="17"/>
          <w:color w:val="0171B9"/>
        </w:rPr>
        <w:t xml:space="preserve"> </w:t>
      </w:r>
      <w:r>
        <w:rPr>
          <w:rFonts w:ascii="Arial" w:cs="Arial" w:eastAsia="Arial" w:hAnsi="Arial"/>
          <w:sz w:val="17"/>
          <w:szCs w:val="17"/>
          <w:color w:val="000000"/>
        </w:rPr>
        <w:t>directors;</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Organizing and leading the Board’s evaluation of the CEO;</w:t>
      </w:r>
    </w:p>
    <w:p>
      <w:pPr>
        <w:spacing w:after="0" w:line="115" w:lineRule="exact"/>
        <w:rPr>
          <w:sz w:val="20"/>
          <w:szCs w:val="20"/>
          <w:color w:val="auto"/>
        </w:rPr>
      </w:pPr>
    </w:p>
    <w:p>
      <w:pPr>
        <w:jc w:val="both"/>
        <w:ind w:left="500" w:right="140" w:hanging="214"/>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Serving</w:t>
      </w:r>
      <w:r>
        <w:rPr>
          <w:sz w:val="20"/>
          <w:szCs w:val="20"/>
          <w:color w:val="auto"/>
        </w:rPr>
        <w:t xml:space="preserve"> </w:t>
      </w:r>
      <w:r>
        <w:rPr>
          <w:rFonts w:ascii="Arial" w:cs="Arial" w:eastAsia="Arial" w:hAnsi="Arial"/>
          <w:sz w:val="17"/>
          <w:szCs w:val="17"/>
          <w:color w:val="auto"/>
        </w:rPr>
        <w:t>as a liaison between the Chairman and the independent directors;</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Leading the Board’s annual self-evaluation;</w:t>
      </w:r>
    </w:p>
    <w:p>
      <w:pPr>
        <w:spacing w:after="0" w:line="115" w:lineRule="exact"/>
        <w:rPr>
          <w:sz w:val="20"/>
          <w:szCs w:val="20"/>
          <w:color w:val="auto"/>
        </w:rPr>
      </w:pPr>
    </w:p>
    <w:p>
      <w:pPr>
        <w:jc w:val="both"/>
        <w:ind w:left="500" w:right="140" w:hanging="214"/>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Ensuring that he/she is available for consultation and direct</w:t>
      </w:r>
      <w:r>
        <w:rPr>
          <w:rFonts w:ascii="Arial" w:cs="Arial" w:eastAsia="Arial" w:hAnsi="Arial"/>
          <w:sz w:val="17"/>
          <w:szCs w:val="17"/>
          <w:color w:val="0171B9"/>
        </w:rPr>
        <w:t xml:space="preserve"> </w:t>
      </w:r>
      <w:r>
        <w:rPr>
          <w:rFonts w:ascii="Arial" w:cs="Arial" w:eastAsia="Arial" w:hAnsi="Arial"/>
          <w:sz w:val="17"/>
          <w:szCs w:val="17"/>
          <w:color w:val="000000"/>
        </w:rPr>
        <w:t>communication, if requested by major stockholders; and</w:t>
      </w:r>
    </w:p>
    <w:p>
      <w:pPr>
        <w:spacing w:after="0" w:line="104" w:lineRule="exact"/>
        <w:rPr>
          <w:sz w:val="20"/>
          <w:szCs w:val="20"/>
          <w:color w:val="auto"/>
        </w:rPr>
      </w:pPr>
    </w:p>
    <w:p>
      <w:pPr>
        <w:jc w:val="both"/>
        <w:ind w:left="500" w:right="140" w:hanging="214"/>
        <w:spacing w:after="0" w:line="238"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Presiding at meetings of the Board at which the Chairman is</w:t>
      </w:r>
      <w:r>
        <w:rPr>
          <w:rFonts w:ascii="Arial" w:cs="Arial" w:eastAsia="Arial" w:hAnsi="Arial"/>
          <w:sz w:val="17"/>
          <w:szCs w:val="17"/>
          <w:color w:val="0171B9"/>
        </w:rPr>
        <w:t xml:space="preserve"> </w:t>
      </w:r>
      <w:r>
        <w:rPr>
          <w:rFonts w:ascii="Arial" w:cs="Arial" w:eastAsia="Arial" w:hAnsi="Arial"/>
          <w:sz w:val="17"/>
          <w:szCs w:val="17"/>
          <w:color w:val="000000"/>
        </w:rPr>
        <w:t>not present, including executive sessions of the independent directors.</w:t>
      </w:r>
    </w:p>
    <w:p>
      <w:pPr>
        <w:spacing w:after="0" w:line="309"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0171B9"/>
        </w:rPr>
        <w:t>In addition to the responsibilities outlined above, our lead independent director also:</w:t>
      </w:r>
    </w:p>
    <w:p>
      <w:pPr>
        <w:spacing w:after="0" w:line="104" w:lineRule="exact"/>
        <w:rPr>
          <w:sz w:val="20"/>
          <w:szCs w:val="20"/>
          <w:color w:val="auto"/>
        </w:rPr>
      </w:pPr>
    </w:p>
    <w:p>
      <w:pPr>
        <w:jc w:val="both"/>
        <w:ind w:left="380" w:hanging="264"/>
        <w:spacing w:after="0" w:line="238" w:lineRule="auto"/>
        <w:tabs>
          <w:tab w:leader="none" w:pos="380" w:val="left"/>
        </w:tabs>
        <w:numPr>
          <w:ilvl w:val="0"/>
          <w:numId w:val="31"/>
        </w:numPr>
        <w:rPr>
          <w:rFonts w:ascii="Arial" w:cs="Arial" w:eastAsia="Arial" w:hAnsi="Arial"/>
          <w:sz w:val="17"/>
          <w:szCs w:val="17"/>
          <w:color w:val="0171B9"/>
        </w:rPr>
      </w:pPr>
      <w:r>
        <w:rPr>
          <w:rFonts w:ascii="Arial" w:cs="Arial" w:eastAsia="Arial" w:hAnsi="Arial"/>
          <w:sz w:val="17"/>
          <w:szCs w:val="17"/>
          <w:color w:val="auto"/>
        </w:rPr>
        <w:t>Meets with the Chairman prior to each regular meeting of the Board and its committees to discuss, provide input on, and approve the agendas;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266" w:right="40" w:hanging="266"/>
        <w:spacing w:after="0" w:line="243" w:lineRule="auto"/>
        <w:tabs>
          <w:tab w:leader="none" w:pos="266" w:val="left"/>
        </w:tabs>
        <w:numPr>
          <w:ilvl w:val="0"/>
          <w:numId w:val="32"/>
        </w:numPr>
        <w:rPr>
          <w:rFonts w:ascii="Arial" w:cs="Arial" w:eastAsia="Arial" w:hAnsi="Arial"/>
          <w:sz w:val="17"/>
          <w:szCs w:val="17"/>
          <w:color w:val="0171B9"/>
        </w:rPr>
      </w:pPr>
      <w:r>
        <w:rPr>
          <w:rFonts w:ascii="Arial" w:cs="Arial" w:eastAsia="Arial" w:hAnsi="Arial"/>
          <w:sz w:val="17"/>
          <w:szCs w:val="17"/>
          <w:color w:val="auto"/>
        </w:rPr>
        <w:t>With the Chairman, determines who attends Board meetings, such as members of management or outside advisors, and presenters;</w:t>
      </w:r>
    </w:p>
    <w:p>
      <w:pPr>
        <w:spacing w:after="0" w:line="103" w:lineRule="exact"/>
        <w:rPr>
          <w:rFonts w:ascii="Arial" w:cs="Arial" w:eastAsia="Arial" w:hAnsi="Arial"/>
          <w:sz w:val="17"/>
          <w:szCs w:val="17"/>
          <w:color w:val="0171B9"/>
        </w:rPr>
      </w:pPr>
    </w:p>
    <w:p>
      <w:pPr>
        <w:ind w:left="266" w:right="20" w:hanging="266"/>
        <w:spacing w:after="0" w:line="243" w:lineRule="auto"/>
        <w:tabs>
          <w:tab w:leader="none" w:pos="266" w:val="left"/>
        </w:tabs>
        <w:numPr>
          <w:ilvl w:val="0"/>
          <w:numId w:val="32"/>
        </w:numPr>
        <w:rPr>
          <w:rFonts w:ascii="Arial" w:cs="Arial" w:eastAsia="Arial" w:hAnsi="Arial"/>
          <w:sz w:val="17"/>
          <w:szCs w:val="17"/>
          <w:color w:val="0171B9"/>
        </w:rPr>
      </w:pPr>
      <w:r>
        <w:rPr>
          <w:rFonts w:ascii="Arial" w:cs="Arial" w:eastAsia="Arial" w:hAnsi="Arial"/>
          <w:sz w:val="17"/>
          <w:szCs w:val="17"/>
          <w:color w:val="auto"/>
        </w:rPr>
        <w:t>Has one-on-one discussions with each independent director, including as part of the Board’s annual evaluation process;</w:t>
      </w:r>
    </w:p>
    <w:p>
      <w:pPr>
        <w:spacing w:after="0" w:line="103" w:lineRule="exact"/>
        <w:rPr>
          <w:rFonts w:ascii="Arial" w:cs="Arial" w:eastAsia="Arial" w:hAnsi="Arial"/>
          <w:sz w:val="17"/>
          <w:szCs w:val="17"/>
          <w:color w:val="0171B9"/>
        </w:rPr>
      </w:pPr>
    </w:p>
    <w:p>
      <w:pPr>
        <w:jc w:val="both"/>
        <w:ind w:left="266" w:right="20" w:hanging="266"/>
        <w:spacing w:after="0" w:line="238" w:lineRule="auto"/>
        <w:tabs>
          <w:tab w:leader="none" w:pos="266" w:val="left"/>
        </w:tabs>
        <w:numPr>
          <w:ilvl w:val="0"/>
          <w:numId w:val="32"/>
        </w:numPr>
        <w:rPr>
          <w:rFonts w:ascii="Arial" w:cs="Arial" w:eastAsia="Arial" w:hAnsi="Arial"/>
          <w:sz w:val="17"/>
          <w:szCs w:val="17"/>
          <w:color w:val="0171B9"/>
        </w:rPr>
      </w:pPr>
      <w:r>
        <w:rPr>
          <w:rFonts w:ascii="Arial" w:cs="Arial" w:eastAsia="Arial" w:hAnsi="Arial"/>
          <w:sz w:val="17"/>
          <w:szCs w:val="17"/>
          <w:color w:val="auto"/>
        </w:rPr>
        <w:t>Attends all committee meetings, including those committees for which he is not a member (at his discretion) and has access to all committee materials;</w:t>
      </w:r>
    </w:p>
    <w:p>
      <w:pPr>
        <w:spacing w:after="0" w:line="106" w:lineRule="exact"/>
        <w:rPr>
          <w:rFonts w:ascii="Arial" w:cs="Arial" w:eastAsia="Arial" w:hAnsi="Arial"/>
          <w:sz w:val="17"/>
          <w:szCs w:val="17"/>
          <w:color w:val="0171B9"/>
        </w:rPr>
      </w:pPr>
    </w:p>
    <w:p>
      <w:pPr>
        <w:jc w:val="both"/>
        <w:ind w:left="266" w:right="20" w:hanging="266"/>
        <w:spacing w:after="0" w:line="238" w:lineRule="auto"/>
        <w:tabs>
          <w:tab w:leader="none" w:pos="266" w:val="left"/>
        </w:tabs>
        <w:numPr>
          <w:ilvl w:val="0"/>
          <w:numId w:val="32"/>
        </w:numPr>
        <w:rPr>
          <w:rFonts w:ascii="Arial" w:cs="Arial" w:eastAsia="Arial" w:hAnsi="Arial"/>
          <w:sz w:val="17"/>
          <w:szCs w:val="17"/>
          <w:color w:val="0171B9"/>
        </w:rPr>
      </w:pPr>
      <w:r>
        <w:rPr>
          <w:rFonts w:ascii="Arial" w:cs="Arial" w:eastAsia="Arial" w:hAnsi="Arial"/>
          <w:sz w:val="17"/>
          <w:szCs w:val="17"/>
          <w:color w:val="auto"/>
        </w:rPr>
        <w:t>Attends significant management events (such as meetings of executives), providing opportunities for leadership effectiveness assessments;</w:t>
      </w:r>
    </w:p>
    <w:p>
      <w:pPr>
        <w:spacing w:after="0" w:line="106" w:lineRule="exact"/>
        <w:rPr>
          <w:rFonts w:ascii="Arial" w:cs="Arial" w:eastAsia="Arial" w:hAnsi="Arial"/>
          <w:sz w:val="17"/>
          <w:szCs w:val="17"/>
          <w:color w:val="0171B9"/>
        </w:rPr>
      </w:pPr>
    </w:p>
    <w:p>
      <w:pPr>
        <w:ind w:left="266" w:hanging="266"/>
        <w:spacing w:after="0"/>
        <w:tabs>
          <w:tab w:leader="none" w:pos="266" w:val="left"/>
        </w:tabs>
        <w:numPr>
          <w:ilvl w:val="0"/>
          <w:numId w:val="32"/>
        </w:numPr>
        <w:rPr>
          <w:rFonts w:ascii="Arial" w:cs="Arial" w:eastAsia="Arial" w:hAnsi="Arial"/>
          <w:sz w:val="17"/>
          <w:szCs w:val="17"/>
          <w:color w:val="0171B9"/>
        </w:rPr>
      </w:pPr>
      <w:r>
        <w:rPr>
          <w:rFonts w:ascii="Arial" w:cs="Arial" w:eastAsia="Arial" w:hAnsi="Arial"/>
          <w:sz w:val="17"/>
          <w:szCs w:val="17"/>
          <w:color w:val="auto"/>
        </w:rPr>
        <w:t>Has the authority to engage independent consultants;</w:t>
      </w:r>
    </w:p>
    <w:p>
      <w:pPr>
        <w:spacing w:after="0" w:line="115" w:lineRule="exact"/>
        <w:rPr>
          <w:rFonts w:ascii="Arial" w:cs="Arial" w:eastAsia="Arial" w:hAnsi="Arial"/>
          <w:sz w:val="17"/>
          <w:szCs w:val="17"/>
          <w:color w:val="0171B9"/>
        </w:rPr>
      </w:pPr>
    </w:p>
    <w:p>
      <w:pPr>
        <w:ind w:left="266" w:hanging="266"/>
        <w:spacing w:after="0"/>
        <w:tabs>
          <w:tab w:leader="none" w:pos="266" w:val="left"/>
        </w:tabs>
        <w:numPr>
          <w:ilvl w:val="0"/>
          <w:numId w:val="32"/>
        </w:numPr>
        <w:rPr>
          <w:rFonts w:ascii="Arial" w:cs="Arial" w:eastAsia="Arial" w:hAnsi="Arial"/>
          <w:sz w:val="17"/>
          <w:szCs w:val="17"/>
          <w:color w:val="0171B9"/>
        </w:rPr>
      </w:pPr>
      <w:r>
        <w:rPr>
          <w:rFonts w:ascii="Arial" w:cs="Arial" w:eastAsia="Arial" w:hAnsi="Arial"/>
          <w:sz w:val="17"/>
          <w:szCs w:val="17"/>
          <w:color w:val="auto"/>
        </w:rPr>
        <w:t>Is regularly apprised of inquiries from stockholders;</w:t>
      </w:r>
    </w:p>
    <w:p>
      <w:pPr>
        <w:spacing w:after="0" w:line="115" w:lineRule="exact"/>
        <w:rPr>
          <w:rFonts w:ascii="Arial" w:cs="Arial" w:eastAsia="Arial" w:hAnsi="Arial"/>
          <w:sz w:val="17"/>
          <w:szCs w:val="17"/>
          <w:color w:val="0171B9"/>
        </w:rPr>
      </w:pPr>
    </w:p>
    <w:p>
      <w:pPr>
        <w:ind w:left="266" w:hanging="266"/>
        <w:spacing w:after="0"/>
        <w:tabs>
          <w:tab w:leader="none" w:pos="266" w:val="left"/>
        </w:tabs>
        <w:numPr>
          <w:ilvl w:val="0"/>
          <w:numId w:val="32"/>
        </w:numPr>
        <w:rPr>
          <w:rFonts w:ascii="Arial" w:cs="Arial" w:eastAsia="Arial" w:hAnsi="Arial"/>
          <w:sz w:val="17"/>
          <w:szCs w:val="17"/>
          <w:color w:val="0171B9"/>
        </w:rPr>
      </w:pPr>
      <w:r>
        <w:rPr>
          <w:rFonts w:ascii="Arial" w:cs="Arial" w:eastAsia="Arial" w:hAnsi="Arial"/>
          <w:sz w:val="17"/>
          <w:szCs w:val="17"/>
          <w:color w:val="auto"/>
        </w:rPr>
        <w:t>Interviews Board candidates; and</w:t>
      </w:r>
    </w:p>
    <w:p>
      <w:pPr>
        <w:spacing w:after="0" w:line="115" w:lineRule="exact"/>
        <w:rPr>
          <w:rFonts w:ascii="Arial" w:cs="Arial" w:eastAsia="Arial" w:hAnsi="Arial"/>
          <w:sz w:val="17"/>
          <w:szCs w:val="17"/>
          <w:color w:val="0171B9"/>
        </w:rPr>
      </w:pPr>
    </w:p>
    <w:p>
      <w:pPr>
        <w:ind w:left="266" w:right="20" w:hanging="266"/>
        <w:spacing w:after="0" w:line="243" w:lineRule="auto"/>
        <w:tabs>
          <w:tab w:leader="none" w:pos="266" w:val="left"/>
        </w:tabs>
        <w:numPr>
          <w:ilvl w:val="0"/>
          <w:numId w:val="32"/>
        </w:numPr>
        <w:rPr>
          <w:rFonts w:ascii="Arial" w:cs="Arial" w:eastAsia="Arial" w:hAnsi="Arial"/>
          <w:sz w:val="17"/>
          <w:szCs w:val="17"/>
          <w:color w:val="0171B9"/>
        </w:rPr>
      </w:pPr>
      <w:r>
        <w:rPr>
          <w:rFonts w:ascii="Arial" w:cs="Arial" w:eastAsia="Arial" w:hAnsi="Arial"/>
          <w:sz w:val="17"/>
          <w:szCs w:val="17"/>
          <w:color w:val="auto"/>
        </w:rPr>
        <w:t>Has an increased role in crisis and risk management, as appropriate.</w:t>
      </w:r>
    </w:p>
    <w:p>
      <w:pPr>
        <w:spacing w:after="0" w:line="70" w:lineRule="exact"/>
        <w:rPr>
          <w:sz w:val="20"/>
          <w:szCs w:val="20"/>
          <w:color w:val="auto"/>
        </w:rPr>
      </w:pPr>
    </w:p>
    <w:p>
      <w:pPr>
        <w:jc w:val="both"/>
        <w:ind w:left="6" w:right="20"/>
        <w:spacing w:after="0" w:line="249" w:lineRule="auto"/>
        <w:rPr>
          <w:sz w:val="20"/>
          <w:szCs w:val="20"/>
          <w:color w:val="auto"/>
        </w:rPr>
      </w:pPr>
      <w:r>
        <w:rPr>
          <w:rFonts w:ascii="Arial" w:cs="Arial" w:eastAsia="Arial" w:hAnsi="Arial"/>
          <w:sz w:val="17"/>
          <w:szCs w:val="17"/>
          <w:b w:val="1"/>
          <w:bCs w:val="1"/>
          <w:i w:val="1"/>
          <w:iCs w:val="1"/>
          <w:color w:val="0171B9"/>
        </w:rPr>
        <w:t xml:space="preserve">Independent Directors Roles and Responsibilities. </w:t>
      </w:r>
      <w:r>
        <w:rPr>
          <w:rFonts w:ascii="Arial" w:cs="Arial" w:eastAsia="Arial" w:hAnsi="Arial"/>
          <w:sz w:val="17"/>
          <w:szCs w:val="17"/>
          <w:color w:val="000000"/>
        </w:rPr>
        <w:t>Our highly</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independent Board (12 of our 13 directors) possesses a deep and broad set of skills and experiences.</w:t>
      </w:r>
    </w:p>
    <w:p>
      <w:pPr>
        <w:spacing w:after="0" w:line="69" w:lineRule="exact"/>
        <w:rPr>
          <w:sz w:val="20"/>
          <w:szCs w:val="20"/>
          <w:color w:val="auto"/>
        </w:rPr>
      </w:pPr>
    </w:p>
    <w:p>
      <w:pPr>
        <w:jc w:val="both"/>
        <w:ind w:left="6"/>
        <w:spacing w:after="0" w:line="236" w:lineRule="auto"/>
        <w:rPr>
          <w:sz w:val="20"/>
          <w:szCs w:val="20"/>
          <w:color w:val="auto"/>
        </w:rPr>
      </w:pPr>
      <w:r>
        <w:rPr>
          <w:rFonts w:ascii="Arial" w:cs="Arial" w:eastAsia="Arial" w:hAnsi="Arial"/>
          <w:sz w:val="17"/>
          <w:szCs w:val="17"/>
          <w:i w:val="1"/>
          <w:iCs w:val="1"/>
          <w:color w:val="0171B9"/>
        </w:rPr>
        <w:t xml:space="preserve">Independent Directors Sessions. </w:t>
      </w:r>
      <w:r>
        <w:rPr>
          <w:rFonts w:ascii="Arial" w:cs="Arial" w:eastAsia="Arial" w:hAnsi="Arial"/>
          <w:sz w:val="17"/>
          <w:szCs w:val="17"/>
          <w:color w:val="000000"/>
        </w:rPr>
        <w:t>A meeting of the independent</w:t>
      </w:r>
      <w:r>
        <w:rPr>
          <w:rFonts w:ascii="Arial" w:cs="Arial" w:eastAsia="Arial" w:hAnsi="Arial"/>
          <w:sz w:val="17"/>
          <w:szCs w:val="17"/>
          <w:i w:val="1"/>
          <w:iCs w:val="1"/>
          <w:color w:val="0171B9"/>
        </w:rPr>
        <w:t xml:space="preserve"> </w:t>
      </w:r>
      <w:r>
        <w:rPr>
          <w:rFonts w:ascii="Arial" w:cs="Arial" w:eastAsia="Arial" w:hAnsi="Arial"/>
          <w:sz w:val="17"/>
          <w:szCs w:val="17"/>
          <w:color w:val="000000"/>
        </w:rPr>
        <w:t>directors is scheduled at every regular Board meeting and the independent directors meet in an executive session without Mr. Bradway to review matters, including Company performance, management effectiveness, proposed programs and transactions, and the Board meeting agenda items. These independent sessions are organized and chaired by our lead independent director and our lead independent director provides direct feedback to Mr. Bradway after these executive sessions.</w:t>
      </w:r>
    </w:p>
    <w:p>
      <w:pPr>
        <w:spacing w:after="0" w:line="79" w:lineRule="exact"/>
        <w:rPr>
          <w:sz w:val="20"/>
          <w:szCs w:val="20"/>
          <w:color w:val="auto"/>
        </w:rPr>
      </w:pPr>
    </w:p>
    <w:p>
      <w:pPr>
        <w:jc w:val="both"/>
        <w:ind w:left="6" w:right="20"/>
        <w:spacing w:after="0" w:line="243" w:lineRule="auto"/>
        <w:rPr>
          <w:sz w:val="20"/>
          <w:szCs w:val="20"/>
          <w:color w:val="auto"/>
        </w:rPr>
      </w:pPr>
      <w:r>
        <w:rPr>
          <w:rFonts w:ascii="Arial" w:cs="Arial" w:eastAsia="Arial" w:hAnsi="Arial"/>
          <w:sz w:val="17"/>
          <w:szCs w:val="17"/>
          <w:i w:val="1"/>
          <w:iCs w:val="1"/>
          <w:color w:val="0171B9"/>
        </w:rPr>
        <w:t xml:space="preserve">Independent Committee Leadership. </w:t>
      </w:r>
      <w:r>
        <w:rPr>
          <w:rFonts w:ascii="Arial" w:cs="Arial" w:eastAsia="Arial" w:hAnsi="Arial"/>
          <w:sz w:val="17"/>
          <w:szCs w:val="17"/>
          <w:color w:val="000000"/>
        </w:rPr>
        <w:t>The Audit, Compensation,</w:t>
      </w:r>
      <w:r>
        <w:rPr>
          <w:rFonts w:ascii="Arial" w:cs="Arial" w:eastAsia="Arial" w:hAnsi="Arial"/>
          <w:sz w:val="17"/>
          <w:szCs w:val="17"/>
          <w:i w:val="1"/>
          <w:iCs w:val="1"/>
          <w:color w:val="0171B9"/>
        </w:rPr>
        <w:t xml:space="preserve"> </w:t>
      </w:r>
      <w:r>
        <w:rPr>
          <w:rFonts w:ascii="Arial" w:cs="Arial" w:eastAsia="Arial" w:hAnsi="Arial"/>
          <w:sz w:val="17"/>
          <w:szCs w:val="17"/>
          <w:color w:val="000000"/>
        </w:rPr>
        <w:t>Compliance, and Governance Committees are each composed solely of, and led by, independent directors and provide independent oversight of management and its Board-delegated duties. In addition:</w:t>
      </w:r>
    </w:p>
    <w:p>
      <w:pPr>
        <w:spacing w:after="0" w:line="104" w:lineRule="exact"/>
        <w:rPr>
          <w:sz w:val="20"/>
          <w:szCs w:val="20"/>
          <w:color w:val="auto"/>
        </w:rPr>
      </w:pPr>
    </w:p>
    <w:p>
      <w:pPr>
        <w:jc w:val="both"/>
        <w:ind w:left="266" w:right="20" w:hanging="266"/>
        <w:spacing w:after="0" w:line="238" w:lineRule="auto"/>
        <w:tabs>
          <w:tab w:leader="none" w:pos="266" w:val="left"/>
        </w:tabs>
        <w:numPr>
          <w:ilvl w:val="0"/>
          <w:numId w:val="33"/>
        </w:numPr>
        <w:rPr>
          <w:rFonts w:ascii="Arial" w:cs="Arial" w:eastAsia="Arial" w:hAnsi="Arial"/>
          <w:sz w:val="17"/>
          <w:szCs w:val="17"/>
          <w:color w:val="0171B9"/>
        </w:rPr>
      </w:pPr>
      <w:r>
        <w:rPr>
          <w:rFonts w:ascii="Arial" w:cs="Arial" w:eastAsia="Arial" w:hAnsi="Arial"/>
          <w:sz w:val="17"/>
          <w:szCs w:val="17"/>
          <w:color w:val="auto"/>
        </w:rPr>
        <w:t>Each committee Chair meets with management in advance of meetings to review and refine agendas, add topics of interest, and review and comment on materials to be delivered to the committee;</w:t>
      </w:r>
    </w:p>
    <w:p>
      <w:pPr>
        <w:spacing w:after="0" w:line="106" w:lineRule="exact"/>
        <w:rPr>
          <w:rFonts w:ascii="Arial" w:cs="Arial" w:eastAsia="Arial" w:hAnsi="Arial"/>
          <w:sz w:val="17"/>
          <w:szCs w:val="17"/>
          <w:color w:val="0171B9"/>
        </w:rPr>
      </w:pPr>
    </w:p>
    <w:p>
      <w:pPr>
        <w:ind w:left="266" w:right="40" w:hanging="266"/>
        <w:spacing w:after="0" w:line="243" w:lineRule="auto"/>
        <w:tabs>
          <w:tab w:leader="none" w:pos="266" w:val="left"/>
        </w:tabs>
        <w:numPr>
          <w:ilvl w:val="0"/>
          <w:numId w:val="33"/>
        </w:numPr>
        <w:rPr>
          <w:rFonts w:ascii="Arial" w:cs="Arial" w:eastAsia="Arial" w:hAnsi="Arial"/>
          <w:sz w:val="17"/>
          <w:szCs w:val="17"/>
          <w:color w:val="0171B9"/>
        </w:rPr>
      </w:pPr>
      <w:r>
        <w:rPr>
          <w:rFonts w:ascii="Arial" w:cs="Arial" w:eastAsia="Arial" w:hAnsi="Arial"/>
          <w:sz w:val="17"/>
          <w:szCs w:val="17"/>
          <w:color w:val="auto"/>
        </w:rPr>
        <w:t>Each committee Chair provides a report summarizing committee meetings to the full Board at each regular meeting of the Board;</w:t>
      </w:r>
    </w:p>
    <w:p>
      <w:pPr>
        <w:spacing w:after="0" w:line="103" w:lineRule="exact"/>
        <w:rPr>
          <w:rFonts w:ascii="Arial" w:cs="Arial" w:eastAsia="Arial" w:hAnsi="Arial"/>
          <w:sz w:val="17"/>
          <w:szCs w:val="17"/>
          <w:color w:val="0171B9"/>
        </w:rPr>
      </w:pPr>
    </w:p>
    <w:p>
      <w:pPr>
        <w:jc w:val="both"/>
        <w:ind w:left="266" w:right="20" w:hanging="266"/>
        <w:spacing w:after="0" w:line="236" w:lineRule="auto"/>
        <w:tabs>
          <w:tab w:leader="none" w:pos="266" w:val="left"/>
        </w:tabs>
        <w:numPr>
          <w:ilvl w:val="0"/>
          <w:numId w:val="33"/>
        </w:numPr>
        <w:rPr>
          <w:rFonts w:ascii="Arial" w:cs="Arial" w:eastAsia="Arial" w:hAnsi="Arial"/>
          <w:sz w:val="17"/>
          <w:szCs w:val="17"/>
          <w:color w:val="0171B9"/>
        </w:rPr>
      </w:pPr>
      <w:r>
        <w:rPr>
          <w:rFonts w:ascii="Arial" w:cs="Arial" w:eastAsia="Arial" w:hAnsi="Arial"/>
          <w:sz w:val="17"/>
          <w:szCs w:val="17"/>
          <w:color w:val="auto"/>
        </w:rPr>
        <w:t>Each committee meeting includes adequate time for executive session and the committees meet in executive session on a regular basis with no members of management present (unless otherwise requested by the committee);</w:t>
      </w:r>
    </w:p>
    <w:p>
      <w:pPr>
        <w:spacing w:after="0" w:line="108" w:lineRule="exact"/>
        <w:rPr>
          <w:rFonts w:ascii="Arial" w:cs="Arial" w:eastAsia="Arial" w:hAnsi="Arial"/>
          <w:sz w:val="17"/>
          <w:szCs w:val="17"/>
          <w:color w:val="0171B9"/>
        </w:rPr>
      </w:pPr>
    </w:p>
    <w:p>
      <w:pPr>
        <w:jc w:val="both"/>
        <w:ind w:left="266" w:right="20" w:hanging="266"/>
        <w:spacing w:after="0" w:line="238" w:lineRule="auto"/>
        <w:tabs>
          <w:tab w:leader="none" w:pos="266" w:val="left"/>
        </w:tabs>
        <w:numPr>
          <w:ilvl w:val="0"/>
          <w:numId w:val="33"/>
        </w:numPr>
        <w:rPr>
          <w:rFonts w:ascii="Arial" w:cs="Arial" w:eastAsia="Arial" w:hAnsi="Arial"/>
          <w:sz w:val="17"/>
          <w:szCs w:val="17"/>
          <w:color w:val="0171B9"/>
        </w:rPr>
      </w:pPr>
      <w:r>
        <w:rPr>
          <w:rFonts w:ascii="Arial" w:cs="Arial" w:eastAsia="Arial" w:hAnsi="Arial"/>
          <w:sz w:val="17"/>
          <w:szCs w:val="17"/>
          <w:color w:val="auto"/>
        </w:rPr>
        <w:t>Each committee effectively manages its Board-delegated duties and communicates regularly with the Chairman, lead independent director, the Board, and members of management; and</w:t>
      </w:r>
    </w:p>
    <w:p>
      <w:pPr>
        <w:spacing w:after="0" w:line="106" w:lineRule="exact"/>
        <w:rPr>
          <w:rFonts w:ascii="Arial" w:cs="Arial" w:eastAsia="Arial" w:hAnsi="Arial"/>
          <w:sz w:val="17"/>
          <w:szCs w:val="17"/>
          <w:color w:val="0171B9"/>
        </w:rPr>
      </w:pPr>
    </w:p>
    <w:p>
      <w:pPr>
        <w:ind w:left="266" w:hanging="266"/>
        <w:spacing w:after="0"/>
        <w:tabs>
          <w:tab w:leader="none" w:pos="266" w:val="left"/>
        </w:tabs>
        <w:numPr>
          <w:ilvl w:val="0"/>
          <w:numId w:val="33"/>
        </w:numPr>
        <w:rPr>
          <w:rFonts w:ascii="Arial" w:cs="Arial" w:eastAsia="Arial" w:hAnsi="Arial"/>
          <w:sz w:val="17"/>
          <w:szCs w:val="17"/>
          <w:color w:val="0171B9"/>
        </w:rPr>
      </w:pPr>
      <w:r>
        <w:rPr>
          <w:rFonts w:ascii="Arial" w:cs="Arial" w:eastAsia="Arial" w:hAnsi="Arial"/>
          <w:sz w:val="17"/>
          <w:szCs w:val="17"/>
          <w:color w:val="auto"/>
        </w:rPr>
        <w:t>Every director has access to all committee materials.</w:t>
      </w:r>
    </w:p>
    <w:p>
      <w:pPr>
        <w:spacing w:after="0" w:line="82" w:lineRule="exact"/>
        <w:rPr>
          <w:sz w:val="20"/>
          <w:szCs w:val="20"/>
          <w:color w:val="auto"/>
        </w:rPr>
      </w:pPr>
    </w:p>
    <w:p>
      <w:pPr>
        <w:jc w:val="both"/>
        <w:ind w:left="6"/>
        <w:spacing w:after="0" w:line="244" w:lineRule="auto"/>
        <w:rPr>
          <w:sz w:val="20"/>
          <w:szCs w:val="20"/>
          <w:color w:val="auto"/>
        </w:rPr>
      </w:pPr>
      <w:r>
        <w:rPr>
          <w:rFonts w:ascii="Arial" w:cs="Arial" w:eastAsia="Arial" w:hAnsi="Arial"/>
          <w:sz w:val="17"/>
          <w:szCs w:val="17"/>
          <w:b w:val="1"/>
          <w:bCs w:val="1"/>
          <w:i w:val="1"/>
          <w:iCs w:val="1"/>
          <w:color w:val="0171B9"/>
        </w:rPr>
        <w:t xml:space="preserve">Corporate Governance Structure. </w:t>
      </w:r>
      <w:r>
        <w:rPr>
          <w:rFonts w:ascii="Arial" w:cs="Arial" w:eastAsia="Arial" w:hAnsi="Arial"/>
          <w:sz w:val="17"/>
          <w:szCs w:val="17"/>
          <w:color w:val="000000"/>
        </w:rPr>
        <w:t>The Board believes our corporate</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governance structure, with its strong emphasis on independence, an active lead independent director, and strong Board and committee involvement, provides sound and robust oversight of management.</w:t>
      </w:r>
    </w:p>
    <w:p>
      <w:pPr>
        <w:spacing w:after="0" w:line="200" w:lineRule="exact"/>
        <w:rPr>
          <w:sz w:val="20"/>
          <w:szCs w:val="20"/>
          <w:color w:val="auto"/>
        </w:rPr>
      </w:pPr>
    </w:p>
    <w:p>
      <w:pPr>
        <w:spacing w:after="0" w:line="337"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-162560</wp:posOffset>
            </wp:positionV>
            <wp:extent cx="58293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2">
            <w:col w:w="5400" w:space="334"/>
            <w:col w:w="5406"/>
          </w:cols>
          <w:pgMar w:left="320" w:top="486" w:right="4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both"/>
        <w:ind w:left="120"/>
        <w:spacing w:after="0"/>
        <w:rPr>
          <w:sz w:val="20"/>
          <w:szCs w:val="20"/>
          <w:color w:val="auto"/>
        </w:rPr>
      </w:pPr>
      <w:r>
        <w:rPr>
          <w:rFonts w:ascii="Arial" w:cs="Arial" w:eastAsia="Arial" w:hAnsi="Arial"/>
          <w:sz w:val="17"/>
          <w:szCs w:val="17"/>
          <w:i w:val="1"/>
          <w:iCs w:val="1"/>
          <w:color w:val="0171B9"/>
        </w:rPr>
        <w:t xml:space="preserve">Benefits of Combined Leadership Structure. </w:t>
      </w:r>
      <w:r>
        <w:rPr>
          <w:rFonts w:ascii="Arial" w:cs="Arial" w:eastAsia="Arial" w:hAnsi="Arial"/>
          <w:sz w:val="17"/>
          <w:szCs w:val="17"/>
          <w:color w:val="000000"/>
        </w:rPr>
        <w:t>Following the annual</w:t>
      </w:r>
      <w:r>
        <w:rPr>
          <w:rFonts w:ascii="Arial" w:cs="Arial" w:eastAsia="Arial" w:hAnsi="Arial"/>
          <w:sz w:val="17"/>
          <w:szCs w:val="17"/>
          <w:i w:val="1"/>
          <w:iCs w:val="1"/>
          <w:color w:val="0171B9"/>
        </w:rPr>
        <w:t xml:space="preserve"> </w:t>
      </w:r>
      <w:r>
        <w:rPr>
          <w:rFonts w:ascii="Arial" w:cs="Arial" w:eastAsia="Arial" w:hAnsi="Arial"/>
          <w:sz w:val="17"/>
          <w:szCs w:val="17"/>
          <w:color w:val="000000"/>
        </w:rPr>
        <w:t>evaluation of the governance structure, the Board continues to believe that the Company and our stockholders are best served by having Mr. Bradway in the role of Chairman (subject to his re-election to the Board) and CEO for the following reasons:</w:t>
      </w:r>
    </w:p>
    <w:p>
      <w:pPr>
        <w:spacing w:after="0" w:line="107" w:lineRule="exact"/>
        <w:rPr>
          <w:sz w:val="20"/>
          <w:szCs w:val="20"/>
          <w:color w:val="auto"/>
        </w:rPr>
      </w:pPr>
    </w:p>
    <w:p>
      <w:pPr>
        <w:jc w:val="both"/>
        <w:ind w:left="380" w:hanging="264"/>
        <w:spacing w:after="0" w:line="236" w:lineRule="auto"/>
        <w:tabs>
          <w:tab w:leader="none" w:pos="380" w:val="left"/>
        </w:tabs>
        <w:numPr>
          <w:ilvl w:val="0"/>
          <w:numId w:val="34"/>
        </w:numPr>
        <w:rPr>
          <w:rFonts w:ascii="Arial" w:cs="Arial" w:eastAsia="Arial" w:hAnsi="Arial"/>
          <w:sz w:val="17"/>
          <w:szCs w:val="17"/>
          <w:color w:val="0171B9"/>
        </w:rPr>
      </w:pPr>
      <w:r>
        <w:rPr>
          <w:rFonts w:ascii="Arial" w:cs="Arial" w:eastAsia="Arial" w:hAnsi="Arial"/>
          <w:sz w:val="17"/>
          <w:szCs w:val="17"/>
          <w:color w:val="auto"/>
        </w:rPr>
        <w:t>Mr. Bradway is most familiar with our business and the unique challenges we face. Mr. Bradway’s day-to-day insight into our challenges facilitates timely deliberation by the Board of important matters.</w:t>
      </w:r>
    </w:p>
    <w:p>
      <w:pPr>
        <w:spacing w:after="0" w:line="108" w:lineRule="exact"/>
        <w:rPr>
          <w:rFonts w:ascii="Arial" w:cs="Arial" w:eastAsia="Arial" w:hAnsi="Arial"/>
          <w:sz w:val="17"/>
          <w:szCs w:val="17"/>
          <w:color w:val="0171B9"/>
        </w:rPr>
      </w:pPr>
    </w:p>
    <w:p>
      <w:pPr>
        <w:jc w:val="both"/>
        <w:ind w:left="380" w:right="20" w:hanging="264"/>
        <w:spacing w:after="0" w:line="235" w:lineRule="auto"/>
        <w:tabs>
          <w:tab w:leader="none" w:pos="380" w:val="left"/>
        </w:tabs>
        <w:numPr>
          <w:ilvl w:val="0"/>
          <w:numId w:val="34"/>
        </w:numPr>
        <w:rPr>
          <w:rFonts w:ascii="Arial" w:cs="Arial" w:eastAsia="Arial" w:hAnsi="Arial"/>
          <w:sz w:val="17"/>
          <w:szCs w:val="17"/>
          <w:color w:val="0171B9"/>
        </w:rPr>
      </w:pPr>
      <w:r>
        <w:rPr>
          <w:rFonts w:ascii="Arial" w:cs="Arial" w:eastAsia="Arial" w:hAnsi="Arial"/>
          <w:sz w:val="17"/>
          <w:szCs w:val="17"/>
          <w:color w:val="auto"/>
        </w:rPr>
        <w:t>Mr. Bradway has and will continue to identify agenda items and lead effective discussions on the important matters affecting us. Mr. Bradway’s knowledge and extensive experience regarding our operations and the highly-regulated industries and markets in which we compete position him to identify and prioritize matters for Board review and deliberation.</w:t>
      </w:r>
    </w:p>
    <w:p>
      <w:pPr>
        <w:spacing w:after="0" w:line="107" w:lineRule="exact"/>
        <w:rPr>
          <w:rFonts w:ascii="Arial" w:cs="Arial" w:eastAsia="Arial" w:hAnsi="Arial"/>
          <w:sz w:val="17"/>
          <w:szCs w:val="17"/>
          <w:color w:val="0171B9"/>
        </w:rPr>
      </w:pPr>
    </w:p>
    <w:p>
      <w:pPr>
        <w:jc w:val="both"/>
        <w:ind w:left="380" w:hanging="264"/>
        <w:spacing w:after="0"/>
        <w:tabs>
          <w:tab w:leader="none" w:pos="380" w:val="left"/>
        </w:tabs>
        <w:numPr>
          <w:ilvl w:val="0"/>
          <w:numId w:val="34"/>
        </w:numPr>
        <w:rPr>
          <w:rFonts w:ascii="Arial" w:cs="Arial" w:eastAsia="Arial" w:hAnsi="Arial"/>
          <w:sz w:val="17"/>
          <w:szCs w:val="17"/>
          <w:color w:val="0171B9"/>
        </w:rPr>
      </w:pPr>
      <w:r>
        <w:rPr>
          <w:rFonts w:ascii="Arial" w:cs="Arial" w:eastAsia="Arial" w:hAnsi="Arial"/>
          <w:sz w:val="17"/>
          <w:szCs w:val="17"/>
          <w:color w:val="auto"/>
        </w:rPr>
        <w:t>As Chairman and CEO, Mr. Bradway serves as an important bridge between the Board and management and provides critical leadership for carrying out our strategic initiatives and confronting our challenges. The Board believes that Mr. Bradway brings a unique, stockholder-focused insight to assist the Company to most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266" w:right="20"/>
        <w:spacing w:after="0" w:line="243" w:lineRule="auto"/>
        <w:rPr>
          <w:sz w:val="20"/>
          <w:szCs w:val="20"/>
          <w:color w:val="auto"/>
        </w:rPr>
      </w:pPr>
      <w:r>
        <w:rPr>
          <w:rFonts w:ascii="Arial" w:cs="Arial" w:eastAsia="Arial" w:hAnsi="Arial"/>
          <w:sz w:val="17"/>
          <w:szCs w:val="17"/>
          <w:color w:val="auto"/>
        </w:rPr>
        <w:t>effectively execute its strategy and business plans to maximize stockholder value.</w:t>
      </w:r>
    </w:p>
    <w:p>
      <w:pPr>
        <w:spacing w:after="0" w:line="104" w:lineRule="exact"/>
        <w:rPr>
          <w:sz w:val="20"/>
          <w:szCs w:val="20"/>
          <w:color w:val="auto"/>
        </w:rPr>
      </w:pPr>
    </w:p>
    <w:p>
      <w:pPr>
        <w:jc w:val="both"/>
        <w:ind w:left="266" w:right="20" w:hanging="266"/>
        <w:spacing w:after="0" w:line="236" w:lineRule="auto"/>
        <w:tabs>
          <w:tab w:leader="none" w:pos="266" w:val="left"/>
        </w:tabs>
        <w:numPr>
          <w:ilvl w:val="0"/>
          <w:numId w:val="35"/>
        </w:numPr>
        <w:rPr>
          <w:rFonts w:ascii="Arial" w:cs="Arial" w:eastAsia="Arial" w:hAnsi="Arial"/>
          <w:sz w:val="17"/>
          <w:szCs w:val="17"/>
          <w:color w:val="0171B9"/>
        </w:rPr>
      </w:pPr>
      <w:r>
        <w:rPr>
          <w:rFonts w:ascii="Arial" w:cs="Arial" w:eastAsia="Arial" w:hAnsi="Arial"/>
          <w:sz w:val="17"/>
          <w:szCs w:val="17"/>
          <w:color w:val="auto"/>
        </w:rPr>
        <w:t>The strength and effectiveness of the communications between Mr. Bradway as our Chairman and Mr. Eckert as our lead independent director result in comprehensive Board oversight of the issues, plans, and prospects of our Company.</w:t>
      </w:r>
    </w:p>
    <w:p>
      <w:pPr>
        <w:spacing w:after="0" w:line="108" w:lineRule="exact"/>
        <w:rPr>
          <w:rFonts w:ascii="Arial" w:cs="Arial" w:eastAsia="Arial" w:hAnsi="Arial"/>
          <w:sz w:val="17"/>
          <w:szCs w:val="17"/>
          <w:color w:val="0171B9"/>
        </w:rPr>
      </w:pPr>
    </w:p>
    <w:p>
      <w:pPr>
        <w:jc w:val="both"/>
        <w:ind w:left="266" w:right="20" w:hanging="266"/>
        <w:spacing w:after="0" w:line="235" w:lineRule="auto"/>
        <w:tabs>
          <w:tab w:leader="none" w:pos="266" w:val="left"/>
        </w:tabs>
        <w:numPr>
          <w:ilvl w:val="0"/>
          <w:numId w:val="35"/>
        </w:numPr>
        <w:rPr>
          <w:rFonts w:ascii="Arial" w:cs="Arial" w:eastAsia="Arial" w:hAnsi="Arial"/>
          <w:sz w:val="17"/>
          <w:szCs w:val="17"/>
          <w:color w:val="0171B9"/>
        </w:rPr>
      </w:pPr>
      <w:r>
        <w:rPr>
          <w:rFonts w:ascii="Arial" w:cs="Arial" w:eastAsia="Arial" w:hAnsi="Arial"/>
          <w:sz w:val="17"/>
          <w:szCs w:val="17"/>
          <w:color w:val="auto"/>
        </w:rPr>
        <w:t>This leadership structure provides the Board with more complete and timely information about the Company, a unified structure and consistent leadership direction internally and externally and provides a collaborative and collegial environment for Board decision making.</w:t>
      </w:r>
    </w:p>
    <w:p>
      <w:pPr>
        <w:spacing w:after="0" w:line="78" w:lineRule="exact"/>
        <w:rPr>
          <w:sz w:val="20"/>
          <w:szCs w:val="20"/>
          <w:color w:val="auto"/>
        </w:rPr>
      </w:pPr>
    </w:p>
    <w:p>
      <w:pPr>
        <w:jc w:val="both"/>
        <w:ind w:left="6"/>
        <w:spacing w:after="0" w:line="237" w:lineRule="auto"/>
        <w:rPr>
          <w:sz w:val="20"/>
          <w:szCs w:val="20"/>
          <w:color w:val="auto"/>
        </w:rPr>
      </w:pPr>
      <w:r>
        <w:rPr>
          <w:rFonts w:ascii="Arial" w:cs="Arial" w:eastAsia="Arial" w:hAnsi="Arial"/>
          <w:sz w:val="17"/>
          <w:szCs w:val="17"/>
          <w:i w:val="1"/>
          <w:iCs w:val="1"/>
          <w:color w:val="0171B9"/>
        </w:rPr>
        <w:t xml:space="preserve">Flexibility of the Leadership Structure. </w:t>
      </w:r>
      <w:r>
        <w:rPr>
          <w:rFonts w:ascii="Arial" w:cs="Arial" w:eastAsia="Arial" w:hAnsi="Arial"/>
          <w:sz w:val="17"/>
          <w:szCs w:val="17"/>
          <w:color w:val="000000"/>
        </w:rPr>
        <w:t>The Board is committed to high</w:t>
      </w:r>
      <w:r>
        <w:rPr>
          <w:rFonts w:ascii="Arial" w:cs="Arial" w:eastAsia="Arial" w:hAnsi="Arial"/>
          <w:sz w:val="17"/>
          <w:szCs w:val="17"/>
          <w:i w:val="1"/>
          <w:iCs w:val="1"/>
          <w:color w:val="0171B9"/>
        </w:rPr>
        <w:t xml:space="preserve"> </w:t>
      </w:r>
      <w:r>
        <w:rPr>
          <w:rFonts w:ascii="Arial" w:cs="Arial" w:eastAsia="Arial" w:hAnsi="Arial"/>
          <w:sz w:val="17"/>
          <w:szCs w:val="17"/>
          <w:color w:val="000000"/>
        </w:rPr>
        <w:t>standards of corporate governance. The Board values its flexibility to select its optimal leadership structure to best serve the Company’s and stockholders’ best interests based on the qualifications of individuals available, circumstances existing at the time, and Company’s particular needs. As such, the Board annually evaluates whether combining or separating the roles of Chairman and CEO is in the best interests of the Company and our stockholders.</w:t>
      </w:r>
    </w:p>
    <w:p>
      <w:pPr>
        <w:spacing w:after="0" w:line="420" w:lineRule="exact"/>
        <w:rPr>
          <w:sz w:val="20"/>
          <w:szCs w:val="20"/>
          <w:color w:val="auto"/>
        </w:rPr>
      </w:pPr>
    </w:p>
    <w:p>
      <w:pPr>
        <w:sectPr>
          <w:pgSz w:w="11900" w:h="16838" w:orient="portrait"/>
          <w:cols w:equalWidth="0" w:num="2">
            <w:col w:w="5400" w:space="334"/>
            <w:col w:w="5406"/>
          </w:cols>
          <w:pgMar w:left="320" w:top="486" w:right="439" w:bottom="1440" w:gutter="0" w:footer="0" w:header="0"/>
          <w:type w:val="continuous"/>
        </w:sect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The 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p>
      <w:pPr>
        <w:spacing w:after="0" w:line="317"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Our Board oversees an enterprise-wide approach to risk management, which is designed to support execution of our strategy and achievement of the Company’s objectives to improve long-term operational and financial performance and enhance stockholder interests. Our Board believes that a fundamental part of risk management is understanding the risks that we face, adopting appropriate controls and mitigation activities for such risks, monitoring these risks, and responding to emerging developments for such risks.</w:t>
      </w:r>
    </w:p>
    <w:p>
      <w:pPr>
        <w:spacing w:after="0" w:line="95" w:lineRule="exact"/>
        <w:rPr>
          <w:sz w:val="20"/>
          <w:szCs w:val="20"/>
          <w:color w:val="auto"/>
        </w:rPr>
      </w:pPr>
    </w:p>
    <w:p>
      <w:pPr>
        <w:jc w:val="both"/>
        <w:ind w:left="120"/>
        <w:spacing w:after="0" w:line="232" w:lineRule="auto"/>
        <w:rPr>
          <w:sz w:val="20"/>
          <w:szCs w:val="20"/>
          <w:color w:val="auto"/>
        </w:rPr>
      </w:pPr>
      <w:r>
        <w:rPr>
          <w:rFonts w:ascii="Arial" w:cs="Arial" w:eastAsia="Arial" w:hAnsi="Arial"/>
          <w:sz w:val="17"/>
          <w:szCs w:val="17"/>
          <w:color w:val="auto"/>
        </w:rPr>
        <w:t>We have a Company-wide Enterprise Risk Management, or ERM, program, to identify, assess, manage, report, and monitor enterprise-level risks that may affect our ability to achieve the Company’s objectives. The ERM program is overseen by our Executive Vice President and Chief Financial Officer and chaired by our Chief Audit Executive. Annually, we evaluate the greatest risks to our business, their underlying risk drivers, and the associated mitigation activities, maturity, and controls. Our Enterprise Risk Council, a cross-functional group of the Company’s business leaders representing all key business functions, works to identify and assess risks that meet the pre-established criteria constituting an enterprise-level risk, and confirms that there is clear accountability and appropriate mitigation plans are in place, including monitoring and reporting. Additionally, emerging risks that do not rise to the level of enterprise-level risks, are assessed, discussed, and actively managed and monitored. We believe that the areas of risk that are fundamental to the success of our enterprise and rise to enterprise-level risks include the areas of product development, safety and surveillance, supply and quality, value (which includes pricing) and access, sales and promotion, business development, as well as protecting our assets (financial, intellectual</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property, and information, including cybersecurity), all of which are managed by senior executive management reporting directly to our CEO. The enterprise-level risks are overseen by the Board and the appropriate Board committee (as discussed further below). The Board receives regular risk reporting from senior management, including an annual detailed review of the ERM program and key enterprise-level and emerging risks, as well as during the Board’s annual strategic planning process, annual budget reviews and approvals, capital plan reviews and approvals, and through reviews of compliance issues at the applicable committees of our Board, as appropriate. For example, the risks associated with the COVID-19 pandemic have had the potential to affect areas of enterprise-level risk overseen by our Board, Audit Committee, Compensation Committee, and Compliance Committee and, as such, our risk mitigation plans and the effects of COVID-19 have been a topic regularly brought to and reviewed by the Board and its committees. For topics allocated to specific committees for their oversight, such as antitrust and competition regulation that is an area of the Compliance Committee’s responsibilities (as discussed below), that committee’s Chair oversees the committee’s annual calendar and meeting agendas so that the Company’s activities in support of its compliance with antitrust and competition regulation are assessed regularly, including a full annual review of Amgen’s policies, processes, and training to support such compliance, as well as regular updates of any significant industry developments at each committee meeting. As is the practice for each of our committee Chairs, the Compliance Committee Chair reports out on these and other activities to the Board for its information and oversight at each regular Board meeting.</w:t>
      </w:r>
    </w:p>
    <w:p>
      <w:pPr>
        <w:spacing w:after="0" w:line="497"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74"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20</w:t>
      </w:r>
      <w:r>
        <w:rPr>
          <w:sz w:val="20"/>
          <w:szCs w:val="20"/>
          <w:color w:val="auto"/>
        </w:rPr>
        <w:tab/>
      </w:r>
      <w:r>
        <w:rPr>
          <w:sz w:val="1"/>
          <w:szCs w:val="1"/>
          <w:color w:val="auto"/>
        </w:rPr>
        <w:drawing>
          <wp:inline distT="0" distB="0" distL="0" distR="0">
            <wp:extent cx="582930" cy="1371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ind w:left="872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pacing w:after="0" w:line="367"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Each Board committee has primary risk oversight responsibilities aligned with its areas of focus. At each regular meeting, or more frequently as needed, the Board receives and considers committee reports, and such reports may provide additional detail on risk management issues and management’s response.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5440" w:type="dxa"/>
            <w:vAlign w:val="bottom"/>
            <w:shd w:val="clear" w:color="auto" w:fill="0171B9"/>
          </w:tcPr>
          <w:p>
            <w:pPr>
              <w:ind w:left="80"/>
              <w:spacing w:after="0"/>
              <w:rPr>
                <w:sz w:val="20"/>
                <w:szCs w:val="20"/>
                <w:color w:val="auto"/>
              </w:rPr>
            </w:pPr>
            <w:r>
              <w:rPr>
                <w:rFonts w:ascii="Arial" w:cs="Arial" w:eastAsia="Arial" w:hAnsi="Arial"/>
                <w:sz w:val="16"/>
                <w:szCs w:val="16"/>
                <w:b w:val="1"/>
                <w:bCs w:val="1"/>
                <w:color w:val="FFFFFF"/>
              </w:rPr>
              <w:t>Committee</w:t>
            </w:r>
          </w:p>
        </w:tc>
        <w:tc>
          <w:tcPr>
            <w:tcW w:w="5580" w:type="dxa"/>
            <w:vAlign w:val="bottom"/>
            <w:shd w:val="clear" w:color="auto" w:fill="0171B9"/>
          </w:tcPr>
          <w:p>
            <w:pPr>
              <w:ind w:left="120"/>
              <w:spacing w:after="0"/>
              <w:rPr>
                <w:sz w:val="20"/>
                <w:szCs w:val="20"/>
                <w:color w:val="auto"/>
              </w:rPr>
            </w:pPr>
            <w:r>
              <w:rPr>
                <w:rFonts w:ascii="Arial" w:cs="Arial" w:eastAsia="Arial" w:hAnsi="Arial"/>
                <w:sz w:val="16"/>
                <w:szCs w:val="16"/>
                <w:b w:val="1"/>
                <w:bCs w:val="1"/>
                <w:color w:val="FFFFFF"/>
              </w:rPr>
              <w:t>Primary Risk Oversight Responsibilities</w:t>
            </w:r>
          </w:p>
        </w:tc>
      </w:tr>
      <w:tr>
        <w:trPr>
          <w:trHeight w:val="264"/>
        </w:trPr>
        <w:tc>
          <w:tcPr>
            <w:tcW w:w="5440" w:type="dxa"/>
            <w:vAlign w:val="bottom"/>
            <w:shd w:val="clear" w:color="auto" w:fill="CCE2F1"/>
          </w:tcPr>
          <w:p>
            <w:pPr>
              <w:ind w:left="80"/>
              <w:spacing w:after="0"/>
              <w:rPr>
                <w:sz w:val="20"/>
                <w:szCs w:val="20"/>
                <w:color w:val="auto"/>
              </w:rPr>
            </w:pPr>
            <w:r>
              <w:rPr>
                <w:rFonts w:ascii="Arial" w:cs="Arial" w:eastAsia="Arial" w:hAnsi="Arial"/>
                <w:sz w:val="16"/>
                <w:szCs w:val="16"/>
                <w:b w:val="1"/>
                <w:bCs w:val="1"/>
                <w:color w:val="auto"/>
              </w:rPr>
              <w:t>Governance and Nominating</w:t>
            </w:r>
          </w:p>
        </w:tc>
        <w:tc>
          <w:tcPr>
            <w:tcW w:w="5580" w:type="dxa"/>
            <w:vAlign w:val="bottom"/>
            <w:shd w:val="clear" w:color="auto" w:fill="CCE2F1"/>
          </w:tcPr>
          <w:p>
            <w:pPr>
              <w:ind w:left="12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Oversees governance risk, including the assessment of each</w:t>
            </w:r>
          </w:p>
        </w:tc>
      </w:tr>
      <w:tr>
        <w:trPr>
          <w:trHeight w:val="189"/>
        </w:trPr>
        <w:tc>
          <w:tcPr>
            <w:tcW w:w="5440" w:type="dxa"/>
            <w:vAlign w:val="bottom"/>
            <w:shd w:val="clear" w:color="auto" w:fill="CCE2F1"/>
          </w:tcPr>
          <w:p>
            <w:pPr>
              <w:spacing w:after="0"/>
              <w:rPr>
                <w:sz w:val="16"/>
                <w:szCs w:val="16"/>
                <w:color w:val="auto"/>
              </w:rPr>
            </w:pPr>
          </w:p>
        </w:tc>
        <w:tc>
          <w:tcPr>
            <w:tcW w:w="5580" w:type="dxa"/>
            <w:vAlign w:val="bottom"/>
            <w:shd w:val="clear" w:color="auto" w:fill="CCE2F1"/>
          </w:tcPr>
          <w:p>
            <w:pPr>
              <w:ind w:left="340"/>
              <w:spacing w:after="0" w:line="189" w:lineRule="exact"/>
              <w:rPr>
                <w:sz w:val="20"/>
                <w:szCs w:val="20"/>
                <w:color w:val="auto"/>
              </w:rPr>
            </w:pPr>
            <w:r>
              <w:rPr>
                <w:rFonts w:ascii="Arial" w:cs="Arial" w:eastAsia="Arial" w:hAnsi="Arial"/>
                <w:sz w:val="17"/>
                <w:szCs w:val="17"/>
                <w:color w:val="auto"/>
              </w:rPr>
              <w:t>member of the Board’s independence, as well as the compliance</w:t>
            </w:r>
          </w:p>
        </w:tc>
      </w:tr>
      <w:tr>
        <w:trPr>
          <w:trHeight w:val="189"/>
        </w:trPr>
        <w:tc>
          <w:tcPr>
            <w:tcW w:w="5440" w:type="dxa"/>
            <w:vAlign w:val="bottom"/>
            <w:shd w:val="clear" w:color="auto" w:fill="CCE2F1"/>
          </w:tcPr>
          <w:p>
            <w:pPr>
              <w:spacing w:after="0"/>
              <w:rPr>
                <w:sz w:val="16"/>
                <w:szCs w:val="16"/>
                <w:color w:val="auto"/>
              </w:rPr>
            </w:pPr>
          </w:p>
        </w:tc>
        <w:tc>
          <w:tcPr>
            <w:tcW w:w="5580" w:type="dxa"/>
            <w:vAlign w:val="bottom"/>
            <w:shd w:val="clear" w:color="auto" w:fill="CCE2F1"/>
          </w:tcPr>
          <w:p>
            <w:pPr>
              <w:ind w:left="340"/>
              <w:spacing w:after="0" w:line="189" w:lineRule="exact"/>
              <w:rPr>
                <w:sz w:val="20"/>
                <w:szCs w:val="20"/>
                <w:color w:val="auto"/>
              </w:rPr>
            </w:pPr>
            <w:r>
              <w:rPr>
                <w:rFonts w:ascii="Arial" w:cs="Arial" w:eastAsia="Arial" w:hAnsi="Arial"/>
                <w:sz w:val="17"/>
                <w:szCs w:val="17"/>
                <w:color w:val="auto"/>
              </w:rPr>
              <w:t>with our Corporate Governance Principles and Board of Directors’</w:t>
            </w:r>
          </w:p>
        </w:tc>
      </w:tr>
      <w:tr>
        <w:trPr>
          <w:trHeight w:val="189"/>
        </w:trPr>
        <w:tc>
          <w:tcPr>
            <w:tcW w:w="5440" w:type="dxa"/>
            <w:vAlign w:val="bottom"/>
            <w:shd w:val="clear" w:color="auto" w:fill="CCE2F1"/>
          </w:tcPr>
          <w:p>
            <w:pPr>
              <w:spacing w:after="0"/>
              <w:rPr>
                <w:sz w:val="16"/>
                <w:szCs w:val="16"/>
                <w:color w:val="auto"/>
              </w:rPr>
            </w:pPr>
          </w:p>
        </w:tc>
        <w:tc>
          <w:tcPr>
            <w:tcW w:w="5580" w:type="dxa"/>
            <w:vAlign w:val="bottom"/>
            <w:shd w:val="clear" w:color="auto" w:fill="CCE2F1"/>
          </w:tcPr>
          <w:p>
            <w:pPr>
              <w:ind w:left="340"/>
              <w:spacing w:after="0" w:line="189" w:lineRule="exact"/>
              <w:rPr>
                <w:sz w:val="20"/>
                <w:szCs w:val="20"/>
                <w:color w:val="auto"/>
              </w:rPr>
            </w:pPr>
            <w:r>
              <w:rPr>
                <w:rFonts w:ascii="Arial" w:cs="Arial" w:eastAsia="Arial" w:hAnsi="Arial"/>
                <w:sz w:val="17"/>
                <w:szCs w:val="17"/>
                <w:color w:val="auto"/>
              </w:rPr>
              <w:t>Code of Conduct. Also oversees Board and committee evaluations</w:t>
            </w:r>
          </w:p>
        </w:tc>
      </w:tr>
      <w:tr>
        <w:trPr>
          <w:trHeight w:val="229"/>
        </w:trPr>
        <w:tc>
          <w:tcPr>
            <w:tcW w:w="5440" w:type="dxa"/>
            <w:vAlign w:val="bottom"/>
            <w:tcBorders>
              <w:bottom w:val="single" w:sz="8" w:color="CCE2F1"/>
            </w:tcBorders>
            <w:shd w:val="clear" w:color="auto" w:fill="CCE2F1"/>
          </w:tcPr>
          <w:p>
            <w:pPr>
              <w:spacing w:after="0"/>
              <w:rPr>
                <w:sz w:val="19"/>
                <w:szCs w:val="19"/>
                <w:color w:val="auto"/>
              </w:rPr>
            </w:pPr>
          </w:p>
        </w:tc>
        <w:tc>
          <w:tcPr>
            <w:tcW w:w="5580" w:type="dxa"/>
            <w:vAlign w:val="bottom"/>
            <w:tcBorders>
              <w:bottom w:val="single" w:sz="8" w:color="CCE2F1"/>
            </w:tcBorders>
            <w:shd w:val="clear" w:color="auto" w:fill="CCE2F1"/>
          </w:tcPr>
          <w:p>
            <w:pPr>
              <w:ind w:left="340"/>
              <w:spacing w:after="0"/>
              <w:rPr>
                <w:sz w:val="20"/>
                <w:szCs w:val="20"/>
                <w:color w:val="auto"/>
              </w:rPr>
            </w:pPr>
            <w:r>
              <w:rPr>
                <w:rFonts w:ascii="Arial" w:cs="Arial" w:eastAsia="Arial" w:hAnsi="Arial"/>
                <w:sz w:val="17"/>
                <w:szCs w:val="17"/>
                <w:color w:val="auto"/>
              </w:rPr>
              <w:t>and Board succession planning.</w:t>
            </w:r>
          </w:p>
        </w:tc>
      </w:tr>
      <w:tr>
        <w:trPr>
          <w:trHeight w:val="264"/>
        </w:trPr>
        <w:tc>
          <w:tcPr>
            <w:tcW w:w="5440" w:type="dxa"/>
            <w:vAlign w:val="bottom"/>
          </w:tcPr>
          <w:p>
            <w:pPr>
              <w:ind w:left="80"/>
              <w:spacing w:after="0"/>
              <w:rPr>
                <w:sz w:val="20"/>
                <w:szCs w:val="20"/>
                <w:color w:val="auto"/>
              </w:rPr>
            </w:pPr>
            <w:r>
              <w:rPr>
                <w:rFonts w:ascii="Arial" w:cs="Arial" w:eastAsia="Arial" w:hAnsi="Arial"/>
                <w:sz w:val="16"/>
                <w:szCs w:val="16"/>
                <w:b w:val="1"/>
                <w:bCs w:val="1"/>
                <w:color w:val="auto"/>
              </w:rPr>
              <w:t>Audit</w:t>
            </w:r>
          </w:p>
        </w:tc>
        <w:tc>
          <w:tcPr>
            <w:tcW w:w="5580" w:type="dxa"/>
            <w:vAlign w:val="bottom"/>
          </w:tcPr>
          <w:p>
            <w:pPr>
              <w:ind w:left="12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Oversees internal controls over financial reporting, as well as</w:t>
            </w:r>
          </w:p>
        </w:tc>
      </w:tr>
      <w:tr>
        <w:trPr>
          <w:trHeight w:val="189"/>
        </w:trPr>
        <w:tc>
          <w:tcPr>
            <w:tcW w:w="5440" w:type="dxa"/>
            <w:vAlign w:val="bottom"/>
          </w:tcPr>
          <w:p>
            <w:pPr>
              <w:spacing w:after="0"/>
              <w:rPr>
                <w:sz w:val="16"/>
                <w:szCs w:val="16"/>
                <w:color w:val="auto"/>
              </w:rPr>
            </w:pPr>
          </w:p>
        </w:tc>
        <w:tc>
          <w:tcPr>
            <w:tcW w:w="5580" w:type="dxa"/>
            <w:vAlign w:val="bottom"/>
          </w:tcPr>
          <w:p>
            <w:pPr>
              <w:ind w:left="340"/>
              <w:spacing w:after="0" w:line="189" w:lineRule="exact"/>
              <w:rPr>
                <w:sz w:val="20"/>
                <w:szCs w:val="20"/>
                <w:color w:val="auto"/>
              </w:rPr>
            </w:pPr>
            <w:r>
              <w:rPr>
                <w:rFonts w:ascii="Arial" w:cs="Arial" w:eastAsia="Arial" w:hAnsi="Arial"/>
                <w:sz w:val="17"/>
                <w:szCs w:val="17"/>
                <w:color w:val="auto"/>
              </w:rPr>
              <w:t>internal audit and independent registered public accountants, as</w:t>
            </w:r>
          </w:p>
        </w:tc>
      </w:tr>
      <w:tr>
        <w:trPr>
          <w:trHeight w:val="189"/>
        </w:trPr>
        <w:tc>
          <w:tcPr>
            <w:tcW w:w="5440" w:type="dxa"/>
            <w:vAlign w:val="bottom"/>
          </w:tcPr>
          <w:p>
            <w:pPr>
              <w:spacing w:after="0"/>
              <w:rPr>
                <w:sz w:val="16"/>
                <w:szCs w:val="16"/>
                <w:color w:val="auto"/>
              </w:rPr>
            </w:pPr>
          </w:p>
        </w:tc>
        <w:tc>
          <w:tcPr>
            <w:tcW w:w="5580" w:type="dxa"/>
            <w:vAlign w:val="bottom"/>
          </w:tcPr>
          <w:p>
            <w:pPr>
              <w:ind w:left="340"/>
              <w:spacing w:after="0" w:line="189" w:lineRule="exact"/>
              <w:rPr>
                <w:sz w:val="20"/>
                <w:szCs w:val="20"/>
                <w:color w:val="auto"/>
              </w:rPr>
            </w:pPr>
            <w:r>
              <w:rPr>
                <w:rFonts w:ascii="Arial" w:cs="Arial" w:eastAsia="Arial" w:hAnsi="Arial"/>
                <w:sz w:val="17"/>
                <w:szCs w:val="17"/>
                <w:color w:val="auto"/>
              </w:rPr>
              <w:t>well as financial risk, such as capital risk, tax risk, sourcing risk,</w:t>
            </w:r>
          </w:p>
        </w:tc>
      </w:tr>
      <w:tr>
        <w:trPr>
          <w:trHeight w:val="205"/>
        </w:trPr>
        <w:tc>
          <w:tcPr>
            <w:tcW w:w="5440" w:type="dxa"/>
            <w:vAlign w:val="bottom"/>
          </w:tcPr>
          <w:p>
            <w:pPr>
              <w:spacing w:after="0"/>
              <w:rPr>
                <w:sz w:val="17"/>
                <w:szCs w:val="17"/>
                <w:color w:val="auto"/>
              </w:rPr>
            </w:pPr>
          </w:p>
        </w:tc>
        <w:tc>
          <w:tcPr>
            <w:tcW w:w="5580" w:type="dxa"/>
            <w:vAlign w:val="bottom"/>
          </w:tcPr>
          <w:p>
            <w:pPr>
              <w:ind w:left="340"/>
              <w:spacing w:after="0"/>
              <w:rPr>
                <w:sz w:val="20"/>
                <w:szCs w:val="20"/>
                <w:color w:val="auto"/>
              </w:rPr>
            </w:pPr>
            <w:r>
              <w:rPr>
                <w:rFonts w:ascii="Arial" w:cs="Arial" w:eastAsia="Arial" w:hAnsi="Arial"/>
                <w:sz w:val="17"/>
                <w:szCs w:val="17"/>
                <w:color w:val="auto"/>
              </w:rPr>
              <w:t>and financial compliance risk.</w:t>
            </w:r>
          </w:p>
        </w:tc>
      </w:tr>
      <w:tr>
        <w:trPr>
          <w:trHeight w:val="45"/>
        </w:trPr>
        <w:tc>
          <w:tcPr>
            <w:tcW w:w="54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64"/>
        </w:trPr>
        <w:tc>
          <w:tcPr>
            <w:tcW w:w="5440" w:type="dxa"/>
            <w:vAlign w:val="bottom"/>
            <w:shd w:val="clear" w:color="auto" w:fill="CCE2F1"/>
          </w:tcPr>
          <w:p>
            <w:pPr>
              <w:ind w:left="80"/>
              <w:spacing w:after="0"/>
              <w:rPr>
                <w:sz w:val="20"/>
                <w:szCs w:val="20"/>
                <w:color w:val="auto"/>
              </w:rPr>
            </w:pPr>
            <w:r>
              <w:rPr>
                <w:rFonts w:ascii="Arial" w:cs="Arial" w:eastAsia="Arial" w:hAnsi="Arial"/>
                <w:sz w:val="16"/>
                <w:szCs w:val="16"/>
                <w:b w:val="1"/>
                <w:bCs w:val="1"/>
                <w:color w:val="auto"/>
              </w:rPr>
              <w:t>Compensation and Management Development</w:t>
            </w:r>
          </w:p>
        </w:tc>
        <w:tc>
          <w:tcPr>
            <w:tcW w:w="5580" w:type="dxa"/>
            <w:vAlign w:val="bottom"/>
            <w:shd w:val="clear" w:color="auto" w:fill="CCE2F1"/>
          </w:tcPr>
          <w:p>
            <w:pPr>
              <w:ind w:left="12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Oversees human capital management, as well as executive talent</w:t>
            </w:r>
          </w:p>
        </w:tc>
      </w:tr>
      <w:tr>
        <w:trPr>
          <w:trHeight w:val="189"/>
        </w:trPr>
        <w:tc>
          <w:tcPr>
            <w:tcW w:w="5440" w:type="dxa"/>
            <w:vAlign w:val="bottom"/>
            <w:shd w:val="clear" w:color="auto" w:fill="CCE2F1"/>
          </w:tcPr>
          <w:p>
            <w:pPr>
              <w:spacing w:after="0"/>
              <w:rPr>
                <w:sz w:val="16"/>
                <w:szCs w:val="16"/>
                <w:color w:val="auto"/>
              </w:rPr>
            </w:pPr>
          </w:p>
        </w:tc>
        <w:tc>
          <w:tcPr>
            <w:tcW w:w="5580" w:type="dxa"/>
            <w:vAlign w:val="bottom"/>
            <w:shd w:val="clear" w:color="auto" w:fill="CCE2F1"/>
          </w:tcPr>
          <w:p>
            <w:pPr>
              <w:ind w:left="340"/>
              <w:spacing w:after="0" w:line="189" w:lineRule="exact"/>
              <w:rPr>
                <w:sz w:val="20"/>
                <w:szCs w:val="20"/>
                <w:color w:val="auto"/>
              </w:rPr>
            </w:pPr>
            <w:r>
              <w:rPr>
                <w:rFonts w:ascii="Arial" w:cs="Arial" w:eastAsia="Arial" w:hAnsi="Arial"/>
                <w:sz w:val="17"/>
                <w:szCs w:val="17"/>
                <w:color w:val="auto"/>
              </w:rPr>
              <w:t>management,  development,  and  succession  planning.  Also</w:t>
            </w:r>
          </w:p>
        </w:tc>
      </w:tr>
      <w:tr>
        <w:trPr>
          <w:trHeight w:val="189"/>
        </w:trPr>
        <w:tc>
          <w:tcPr>
            <w:tcW w:w="5440" w:type="dxa"/>
            <w:vAlign w:val="bottom"/>
            <w:shd w:val="clear" w:color="auto" w:fill="CCE2F1"/>
          </w:tcPr>
          <w:p>
            <w:pPr>
              <w:spacing w:after="0"/>
              <w:rPr>
                <w:sz w:val="16"/>
                <w:szCs w:val="16"/>
                <w:color w:val="auto"/>
              </w:rPr>
            </w:pPr>
          </w:p>
        </w:tc>
        <w:tc>
          <w:tcPr>
            <w:tcW w:w="5580" w:type="dxa"/>
            <w:vAlign w:val="bottom"/>
            <w:shd w:val="clear" w:color="auto" w:fill="CCE2F1"/>
          </w:tcPr>
          <w:p>
            <w:pPr>
              <w:ind w:left="340"/>
              <w:spacing w:after="0" w:line="189" w:lineRule="exact"/>
              <w:rPr>
                <w:sz w:val="20"/>
                <w:szCs w:val="20"/>
                <w:color w:val="auto"/>
              </w:rPr>
            </w:pPr>
            <w:r>
              <w:rPr>
                <w:rFonts w:ascii="Arial" w:cs="Arial" w:eastAsia="Arial" w:hAnsi="Arial"/>
                <w:sz w:val="17"/>
                <w:szCs w:val="17"/>
                <w:color w:val="auto"/>
              </w:rPr>
              <w:t>oversees labor and employment and diversity, inclusion, and</w:t>
            </w:r>
          </w:p>
        </w:tc>
      </w:tr>
      <w:tr>
        <w:trPr>
          <w:trHeight w:val="189"/>
        </w:trPr>
        <w:tc>
          <w:tcPr>
            <w:tcW w:w="5440" w:type="dxa"/>
            <w:vAlign w:val="bottom"/>
            <w:shd w:val="clear" w:color="auto" w:fill="CCE2F1"/>
          </w:tcPr>
          <w:p>
            <w:pPr>
              <w:spacing w:after="0"/>
              <w:rPr>
                <w:sz w:val="16"/>
                <w:szCs w:val="16"/>
                <w:color w:val="auto"/>
              </w:rPr>
            </w:pPr>
          </w:p>
        </w:tc>
        <w:tc>
          <w:tcPr>
            <w:tcW w:w="5580" w:type="dxa"/>
            <w:vAlign w:val="bottom"/>
            <w:shd w:val="clear" w:color="auto" w:fill="CCE2F1"/>
          </w:tcPr>
          <w:p>
            <w:pPr>
              <w:ind w:left="340"/>
              <w:spacing w:after="0" w:line="189" w:lineRule="exact"/>
              <w:rPr>
                <w:sz w:val="20"/>
                <w:szCs w:val="20"/>
                <w:color w:val="auto"/>
              </w:rPr>
            </w:pPr>
            <w:r>
              <w:rPr>
                <w:rFonts w:ascii="Arial" w:cs="Arial" w:eastAsia="Arial" w:hAnsi="Arial"/>
                <w:sz w:val="17"/>
                <w:szCs w:val="17"/>
                <w:color w:val="auto"/>
              </w:rPr>
              <w:t>belonging activities, our compensation policies and practices and</w:t>
            </w:r>
          </w:p>
        </w:tc>
      </w:tr>
      <w:tr>
        <w:trPr>
          <w:trHeight w:val="189"/>
        </w:trPr>
        <w:tc>
          <w:tcPr>
            <w:tcW w:w="5440" w:type="dxa"/>
            <w:vAlign w:val="bottom"/>
            <w:shd w:val="clear" w:color="auto" w:fill="CCE2F1"/>
          </w:tcPr>
          <w:p>
            <w:pPr>
              <w:spacing w:after="0"/>
              <w:rPr>
                <w:sz w:val="16"/>
                <w:szCs w:val="16"/>
                <w:color w:val="auto"/>
              </w:rPr>
            </w:pPr>
          </w:p>
        </w:tc>
        <w:tc>
          <w:tcPr>
            <w:tcW w:w="5580" w:type="dxa"/>
            <w:vAlign w:val="bottom"/>
            <w:shd w:val="clear" w:color="auto" w:fill="CCE2F1"/>
          </w:tcPr>
          <w:p>
            <w:pPr>
              <w:ind w:left="340"/>
              <w:spacing w:after="0" w:line="189" w:lineRule="exact"/>
              <w:rPr>
                <w:sz w:val="20"/>
                <w:szCs w:val="20"/>
                <w:color w:val="auto"/>
              </w:rPr>
            </w:pPr>
            <w:r>
              <w:rPr>
                <w:rFonts w:ascii="Arial" w:cs="Arial" w:eastAsia="Arial" w:hAnsi="Arial"/>
                <w:sz w:val="17"/>
                <w:szCs w:val="17"/>
                <w:color w:val="auto"/>
              </w:rPr>
              <w:t>incentive program administration and design, including whether</w:t>
            </w:r>
          </w:p>
        </w:tc>
      </w:tr>
      <w:tr>
        <w:trPr>
          <w:trHeight w:val="189"/>
        </w:trPr>
        <w:tc>
          <w:tcPr>
            <w:tcW w:w="5440" w:type="dxa"/>
            <w:vAlign w:val="bottom"/>
            <w:shd w:val="clear" w:color="auto" w:fill="CCE2F1"/>
          </w:tcPr>
          <w:p>
            <w:pPr>
              <w:spacing w:after="0"/>
              <w:rPr>
                <w:sz w:val="16"/>
                <w:szCs w:val="16"/>
                <w:color w:val="auto"/>
              </w:rPr>
            </w:pPr>
          </w:p>
        </w:tc>
        <w:tc>
          <w:tcPr>
            <w:tcW w:w="5580" w:type="dxa"/>
            <w:vAlign w:val="bottom"/>
            <w:shd w:val="clear" w:color="auto" w:fill="CCE2F1"/>
          </w:tcPr>
          <w:p>
            <w:pPr>
              <w:ind w:left="340"/>
              <w:spacing w:after="0" w:line="189" w:lineRule="exact"/>
              <w:rPr>
                <w:sz w:val="20"/>
                <w:szCs w:val="20"/>
                <w:color w:val="auto"/>
              </w:rPr>
            </w:pPr>
            <w:r>
              <w:rPr>
                <w:rFonts w:ascii="Arial" w:cs="Arial" w:eastAsia="Arial" w:hAnsi="Arial"/>
                <w:sz w:val="17"/>
                <w:szCs w:val="17"/>
                <w:color w:val="auto"/>
              </w:rPr>
              <w:t>such policies, practices, and incentive programs balance risk-</w:t>
            </w:r>
          </w:p>
        </w:tc>
      </w:tr>
      <w:tr>
        <w:trPr>
          <w:trHeight w:val="189"/>
        </w:trPr>
        <w:tc>
          <w:tcPr>
            <w:tcW w:w="5440" w:type="dxa"/>
            <w:vAlign w:val="bottom"/>
            <w:shd w:val="clear" w:color="auto" w:fill="CCE2F1"/>
          </w:tcPr>
          <w:p>
            <w:pPr>
              <w:spacing w:after="0"/>
              <w:rPr>
                <w:sz w:val="16"/>
                <w:szCs w:val="16"/>
                <w:color w:val="auto"/>
              </w:rPr>
            </w:pPr>
          </w:p>
        </w:tc>
        <w:tc>
          <w:tcPr>
            <w:tcW w:w="5580" w:type="dxa"/>
            <w:vAlign w:val="bottom"/>
            <w:shd w:val="clear" w:color="auto" w:fill="CCE2F1"/>
          </w:tcPr>
          <w:p>
            <w:pPr>
              <w:ind w:left="340"/>
              <w:spacing w:after="0" w:line="189" w:lineRule="exact"/>
              <w:rPr>
                <w:sz w:val="20"/>
                <w:szCs w:val="20"/>
                <w:color w:val="auto"/>
              </w:rPr>
            </w:pPr>
            <w:r>
              <w:rPr>
                <w:rFonts w:ascii="Arial" w:cs="Arial" w:eastAsia="Arial" w:hAnsi="Arial"/>
                <w:sz w:val="17"/>
                <w:szCs w:val="17"/>
                <w:color w:val="auto"/>
              </w:rPr>
              <w:t>taking and rewards in an appropriate manner (as discussed further</w:t>
            </w:r>
          </w:p>
        </w:tc>
      </w:tr>
      <w:tr>
        <w:trPr>
          <w:trHeight w:val="189"/>
        </w:trPr>
        <w:tc>
          <w:tcPr>
            <w:tcW w:w="5440" w:type="dxa"/>
            <w:vAlign w:val="bottom"/>
            <w:shd w:val="clear" w:color="auto" w:fill="CCE2F1"/>
          </w:tcPr>
          <w:p>
            <w:pPr>
              <w:spacing w:after="0"/>
              <w:rPr>
                <w:sz w:val="16"/>
                <w:szCs w:val="16"/>
                <w:color w:val="auto"/>
              </w:rPr>
            </w:pPr>
          </w:p>
        </w:tc>
        <w:tc>
          <w:tcPr>
            <w:tcW w:w="5580" w:type="dxa"/>
            <w:vAlign w:val="bottom"/>
            <w:shd w:val="clear" w:color="auto" w:fill="CCE2F1"/>
          </w:tcPr>
          <w:p>
            <w:pPr>
              <w:ind w:left="340"/>
              <w:spacing w:after="0" w:line="189" w:lineRule="exact"/>
              <w:rPr>
                <w:sz w:val="20"/>
                <w:szCs w:val="20"/>
                <w:color w:val="auto"/>
              </w:rPr>
            </w:pPr>
            <w:r>
              <w:rPr>
                <w:rFonts w:ascii="Arial" w:cs="Arial" w:eastAsia="Arial" w:hAnsi="Arial"/>
                <w:sz w:val="17"/>
                <w:szCs w:val="17"/>
                <w:color w:val="auto"/>
              </w:rPr>
              <w:t>below), align with stockholders’ interests, and are consistent with</w:t>
            </w:r>
          </w:p>
        </w:tc>
      </w:tr>
      <w:tr>
        <w:trPr>
          <w:trHeight w:val="229"/>
        </w:trPr>
        <w:tc>
          <w:tcPr>
            <w:tcW w:w="5440" w:type="dxa"/>
            <w:vAlign w:val="bottom"/>
            <w:tcBorders>
              <w:bottom w:val="single" w:sz="8" w:color="CCE2F1"/>
            </w:tcBorders>
            <w:shd w:val="clear" w:color="auto" w:fill="CCE2F1"/>
          </w:tcPr>
          <w:p>
            <w:pPr>
              <w:spacing w:after="0"/>
              <w:rPr>
                <w:sz w:val="19"/>
                <w:szCs w:val="19"/>
                <w:color w:val="auto"/>
              </w:rPr>
            </w:pPr>
          </w:p>
        </w:tc>
        <w:tc>
          <w:tcPr>
            <w:tcW w:w="5580" w:type="dxa"/>
            <w:vAlign w:val="bottom"/>
            <w:tcBorders>
              <w:bottom w:val="single" w:sz="8" w:color="CCE2F1"/>
            </w:tcBorders>
            <w:shd w:val="clear" w:color="auto" w:fill="CCE2F1"/>
          </w:tcPr>
          <w:p>
            <w:pPr>
              <w:ind w:left="340"/>
              <w:spacing w:after="0"/>
              <w:rPr>
                <w:sz w:val="20"/>
                <w:szCs w:val="20"/>
                <w:color w:val="auto"/>
              </w:rPr>
            </w:pPr>
            <w:r>
              <w:rPr>
                <w:rFonts w:ascii="Arial" w:cs="Arial" w:eastAsia="Arial" w:hAnsi="Arial"/>
                <w:sz w:val="17"/>
                <w:szCs w:val="17"/>
                <w:color w:val="auto"/>
              </w:rPr>
              <w:t>emerging best practices.</w:t>
            </w:r>
          </w:p>
        </w:tc>
      </w:tr>
      <w:tr>
        <w:trPr>
          <w:trHeight w:val="264"/>
        </w:trPr>
        <w:tc>
          <w:tcPr>
            <w:tcW w:w="5440" w:type="dxa"/>
            <w:vAlign w:val="bottom"/>
          </w:tcPr>
          <w:p>
            <w:pPr>
              <w:ind w:left="80"/>
              <w:spacing w:after="0"/>
              <w:rPr>
                <w:sz w:val="20"/>
                <w:szCs w:val="20"/>
                <w:color w:val="auto"/>
              </w:rPr>
            </w:pPr>
            <w:r>
              <w:rPr>
                <w:rFonts w:ascii="Arial" w:cs="Arial" w:eastAsia="Arial" w:hAnsi="Arial"/>
                <w:sz w:val="16"/>
                <w:szCs w:val="16"/>
                <w:b w:val="1"/>
                <w:bCs w:val="1"/>
                <w:color w:val="auto"/>
              </w:rPr>
              <w:t>Corporate Responsibility and Compliance</w:t>
            </w:r>
          </w:p>
        </w:tc>
        <w:tc>
          <w:tcPr>
            <w:tcW w:w="5580" w:type="dxa"/>
            <w:vAlign w:val="bottom"/>
          </w:tcPr>
          <w:p>
            <w:pPr>
              <w:ind w:left="12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Oversees non-financial compliance risk, such as regulatory risks</w:t>
            </w:r>
          </w:p>
        </w:tc>
      </w:tr>
      <w:tr>
        <w:trPr>
          <w:trHeight w:val="189"/>
        </w:trPr>
        <w:tc>
          <w:tcPr>
            <w:tcW w:w="5440" w:type="dxa"/>
            <w:vAlign w:val="bottom"/>
          </w:tcPr>
          <w:p>
            <w:pPr>
              <w:spacing w:after="0"/>
              <w:rPr>
                <w:sz w:val="16"/>
                <w:szCs w:val="16"/>
                <w:color w:val="auto"/>
              </w:rPr>
            </w:pPr>
          </w:p>
        </w:tc>
        <w:tc>
          <w:tcPr>
            <w:tcW w:w="5580" w:type="dxa"/>
            <w:vAlign w:val="bottom"/>
          </w:tcPr>
          <w:p>
            <w:pPr>
              <w:ind w:left="340"/>
              <w:spacing w:after="0" w:line="189" w:lineRule="exact"/>
              <w:rPr>
                <w:sz w:val="20"/>
                <w:szCs w:val="20"/>
                <w:color w:val="auto"/>
              </w:rPr>
            </w:pPr>
            <w:r>
              <w:rPr>
                <w:rFonts w:ascii="Arial" w:cs="Arial" w:eastAsia="Arial" w:hAnsi="Arial"/>
                <w:sz w:val="17"/>
                <w:szCs w:val="17"/>
                <w:color w:val="auto"/>
              </w:rPr>
              <w:t>associated with the requirements of U.S. federal health care</w:t>
            </w:r>
          </w:p>
        </w:tc>
      </w:tr>
      <w:tr>
        <w:trPr>
          <w:trHeight w:val="189"/>
        </w:trPr>
        <w:tc>
          <w:tcPr>
            <w:tcW w:w="5440" w:type="dxa"/>
            <w:vAlign w:val="bottom"/>
          </w:tcPr>
          <w:p>
            <w:pPr>
              <w:spacing w:after="0"/>
              <w:rPr>
                <w:sz w:val="16"/>
                <w:szCs w:val="16"/>
                <w:color w:val="auto"/>
              </w:rPr>
            </w:pPr>
          </w:p>
        </w:tc>
        <w:tc>
          <w:tcPr>
            <w:tcW w:w="5580" w:type="dxa"/>
            <w:vAlign w:val="bottom"/>
          </w:tcPr>
          <w:p>
            <w:pPr>
              <w:ind w:left="340"/>
              <w:spacing w:after="0" w:line="189" w:lineRule="exact"/>
              <w:rPr>
                <w:sz w:val="20"/>
                <w:szCs w:val="20"/>
                <w:color w:val="auto"/>
              </w:rPr>
            </w:pPr>
            <w:r>
              <w:rPr>
                <w:rFonts w:ascii="Arial" w:cs="Arial" w:eastAsia="Arial" w:hAnsi="Arial"/>
                <w:sz w:val="17"/>
                <w:szCs w:val="17"/>
                <w:color w:val="auto"/>
              </w:rPr>
              <w:t>programs, Food and Drug Administration, and other regulatory</w:t>
            </w:r>
          </w:p>
        </w:tc>
      </w:tr>
      <w:tr>
        <w:trPr>
          <w:trHeight w:val="189"/>
        </w:trPr>
        <w:tc>
          <w:tcPr>
            <w:tcW w:w="5440" w:type="dxa"/>
            <w:vAlign w:val="bottom"/>
          </w:tcPr>
          <w:p>
            <w:pPr>
              <w:spacing w:after="0"/>
              <w:rPr>
                <w:sz w:val="16"/>
                <w:szCs w:val="16"/>
                <w:color w:val="auto"/>
              </w:rPr>
            </w:pPr>
          </w:p>
        </w:tc>
        <w:tc>
          <w:tcPr>
            <w:tcW w:w="5580" w:type="dxa"/>
            <w:vAlign w:val="bottom"/>
          </w:tcPr>
          <w:p>
            <w:pPr>
              <w:ind w:left="340"/>
              <w:spacing w:after="0" w:line="189" w:lineRule="exact"/>
              <w:rPr>
                <w:sz w:val="20"/>
                <w:szCs w:val="20"/>
                <w:color w:val="auto"/>
              </w:rPr>
            </w:pPr>
            <w:r>
              <w:rPr>
                <w:rFonts w:ascii="Arial" w:cs="Arial" w:eastAsia="Arial" w:hAnsi="Arial"/>
                <w:sz w:val="17"/>
                <w:szCs w:val="17"/>
                <w:color w:val="auto"/>
              </w:rPr>
              <w:t>agencies, and risks associated with privacy, trade compliance,</w:t>
            </w:r>
          </w:p>
        </w:tc>
      </w:tr>
      <w:tr>
        <w:trPr>
          <w:trHeight w:val="189"/>
        </w:trPr>
        <w:tc>
          <w:tcPr>
            <w:tcW w:w="5440" w:type="dxa"/>
            <w:vAlign w:val="bottom"/>
          </w:tcPr>
          <w:p>
            <w:pPr>
              <w:spacing w:after="0"/>
              <w:rPr>
                <w:sz w:val="16"/>
                <w:szCs w:val="16"/>
                <w:color w:val="auto"/>
              </w:rPr>
            </w:pPr>
          </w:p>
        </w:tc>
        <w:tc>
          <w:tcPr>
            <w:tcW w:w="5580" w:type="dxa"/>
            <w:vAlign w:val="bottom"/>
          </w:tcPr>
          <w:p>
            <w:pPr>
              <w:ind w:left="340"/>
              <w:spacing w:after="0" w:line="189" w:lineRule="exact"/>
              <w:rPr>
                <w:sz w:val="20"/>
                <w:szCs w:val="20"/>
                <w:color w:val="auto"/>
              </w:rPr>
            </w:pPr>
            <w:r>
              <w:rPr>
                <w:rFonts w:ascii="Arial" w:cs="Arial" w:eastAsia="Arial" w:hAnsi="Arial"/>
                <w:sz w:val="17"/>
                <w:szCs w:val="17"/>
                <w:color w:val="auto"/>
              </w:rPr>
              <w:t>antitrust  and  competition,  anti-bribery  and  anti-corruption,</w:t>
            </w:r>
          </w:p>
        </w:tc>
      </w:tr>
      <w:tr>
        <w:trPr>
          <w:trHeight w:val="189"/>
        </w:trPr>
        <w:tc>
          <w:tcPr>
            <w:tcW w:w="5440" w:type="dxa"/>
            <w:vAlign w:val="bottom"/>
          </w:tcPr>
          <w:p>
            <w:pPr>
              <w:spacing w:after="0"/>
              <w:rPr>
                <w:sz w:val="16"/>
                <w:szCs w:val="16"/>
                <w:color w:val="auto"/>
              </w:rPr>
            </w:pPr>
          </w:p>
        </w:tc>
        <w:tc>
          <w:tcPr>
            <w:tcW w:w="5580" w:type="dxa"/>
            <w:vAlign w:val="bottom"/>
          </w:tcPr>
          <w:p>
            <w:pPr>
              <w:ind w:left="340"/>
              <w:spacing w:after="0" w:line="189" w:lineRule="exact"/>
              <w:rPr>
                <w:sz w:val="20"/>
                <w:szCs w:val="20"/>
                <w:color w:val="auto"/>
              </w:rPr>
            </w:pPr>
            <w:r>
              <w:rPr>
                <w:rFonts w:ascii="Arial" w:cs="Arial" w:eastAsia="Arial" w:hAnsi="Arial"/>
                <w:sz w:val="17"/>
                <w:szCs w:val="17"/>
                <w:color w:val="auto"/>
              </w:rPr>
              <w:t>information systems and security (including cybersecurity), value</w:t>
            </w:r>
          </w:p>
        </w:tc>
      </w:tr>
      <w:tr>
        <w:trPr>
          <w:trHeight w:val="189"/>
        </w:trPr>
        <w:tc>
          <w:tcPr>
            <w:tcW w:w="5440" w:type="dxa"/>
            <w:vAlign w:val="bottom"/>
          </w:tcPr>
          <w:p>
            <w:pPr>
              <w:spacing w:after="0"/>
              <w:rPr>
                <w:sz w:val="16"/>
                <w:szCs w:val="16"/>
                <w:color w:val="auto"/>
              </w:rPr>
            </w:pPr>
          </w:p>
        </w:tc>
        <w:tc>
          <w:tcPr>
            <w:tcW w:w="5580" w:type="dxa"/>
            <w:vAlign w:val="bottom"/>
          </w:tcPr>
          <w:p>
            <w:pPr>
              <w:ind w:left="340"/>
              <w:spacing w:after="0" w:line="189" w:lineRule="exact"/>
              <w:rPr>
                <w:sz w:val="20"/>
                <w:szCs w:val="20"/>
                <w:color w:val="auto"/>
              </w:rPr>
            </w:pPr>
            <w:r>
              <w:rPr>
                <w:rFonts w:ascii="Arial" w:cs="Arial" w:eastAsia="Arial" w:hAnsi="Arial"/>
                <w:sz w:val="17"/>
                <w:szCs w:val="17"/>
                <w:color w:val="auto"/>
              </w:rPr>
              <w:t>(which includes pricing philosophy and practice) and access,</w:t>
            </w:r>
          </w:p>
        </w:tc>
      </w:tr>
      <w:tr>
        <w:trPr>
          <w:trHeight w:val="189"/>
        </w:trPr>
        <w:tc>
          <w:tcPr>
            <w:tcW w:w="5440" w:type="dxa"/>
            <w:vAlign w:val="bottom"/>
          </w:tcPr>
          <w:p>
            <w:pPr>
              <w:spacing w:after="0"/>
              <w:rPr>
                <w:sz w:val="16"/>
                <w:szCs w:val="16"/>
                <w:color w:val="auto"/>
              </w:rPr>
            </w:pPr>
          </w:p>
        </w:tc>
        <w:tc>
          <w:tcPr>
            <w:tcW w:w="5580" w:type="dxa"/>
            <w:vAlign w:val="bottom"/>
          </w:tcPr>
          <w:p>
            <w:pPr>
              <w:ind w:left="340"/>
              <w:spacing w:after="0" w:line="189" w:lineRule="exact"/>
              <w:rPr>
                <w:sz w:val="20"/>
                <w:szCs w:val="20"/>
                <w:color w:val="auto"/>
              </w:rPr>
            </w:pPr>
            <w:r>
              <w:rPr>
                <w:rFonts w:ascii="Arial" w:cs="Arial" w:eastAsia="Arial" w:hAnsi="Arial"/>
                <w:sz w:val="17"/>
                <w:szCs w:val="17"/>
                <w:color w:val="auto"/>
              </w:rPr>
              <w:t>government affairs, public policy, and aspects of environmental</w:t>
            </w:r>
          </w:p>
        </w:tc>
      </w:tr>
      <w:tr>
        <w:trPr>
          <w:trHeight w:val="189"/>
        </w:trPr>
        <w:tc>
          <w:tcPr>
            <w:tcW w:w="5440" w:type="dxa"/>
            <w:vAlign w:val="bottom"/>
          </w:tcPr>
          <w:p>
            <w:pPr>
              <w:spacing w:after="0"/>
              <w:rPr>
                <w:sz w:val="16"/>
                <w:szCs w:val="16"/>
                <w:color w:val="auto"/>
              </w:rPr>
            </w:pPr>
          </w:p>
        </w:tc>
        <w:tc>
          <w:tcPr>
            <w:tcW w:w="5580" w:type="dxa"/>
            <w:vAlign w:val="bottom"/>
          </w:tcPr>
          <w:p>
            <w:pPr>
              <w:ind w:left="340"/>
              <w:spacing w:after="0" w:line="189" w:lineRule="exact"/>
              <w:rPr>
                <w:sz w:val="20"/>
                <w:szCs w:val="20"/>
                <w:color w:val="auto"/>
              </w:rPr>
            </w:pPr>
            <w:r>
              <w:rPr>
                <w:rFonts w:ascii="Arial" w:cs="Arial" w:eastAsia="Arial" w:hAnsi="Arial"/>
                <w:sz w:val="17"/>
                <w:szCs w:val="17"/>
                <w:color w:val="auto"/>
              </w:rPr>
              <w:t>sustainability, social responsibility, and corporate governance, or</w:t>
            </w:r>
          </w:p>
        </w:tc>
      </w:tr>
      <w:tr>
        <w:trPr>
          <w:trHeight w:val="189"/>
        </w:trPr>
        <w:tc>
          <w:tcPr>
            <w:tcW w:w="5440" w:type="dxa"/>
            <w:vAlign w:val="bottom"/>
          </w:tcPr>
          <w:p>
            <w:pPr>
              <w:spacing w:after="0"/>
              <w:rPr>
                <w:sz w:val="16"/>
                <w:szCs w:val="16"/>
                <w:color w:val="auto"/>
              </w:rPr>
            </w:pPr>
          </w:p>
        </w:tc>
        <w:tc>
          <w:tcPr>
            <w:tcW w:w="5580" w:type="dxa"/>
            <w:vAlign w:val="bottom"/>
          </w:tcPr>
          <w:p>
            <w:pPr>
              <w:ind w:left="340"/>
              <w:spacing w:after="0" w:line="189" w:lineRule="exact"/>
              <w:rPr>
                <w:sz w:val="20"/>
                <w:szCs w:val="20"/>
                <w:color w:val="auto"/>
              </w:rPr>
            </w:pPr>
            <w:r>
              <w:rPr>
                <w:rFonts w:ascii="Arial" w:cs="Arial" w:eastAsia="Arial" w:hAnsi="Arial"/>
                <w:sz w:val="17"/>
                <w:szCs w:val="17"/>
                <w:color w:val="auto"/>
              </w:rPr>
              <w:t>ESG  (including  environmental  sustainability  and  corporate</w:t>
            </w:r>
          </w:p>
        </w:tc>
      </w:tr>
      <w:tr>
        <w:trPr>
          <w:trHeight w:val="189"/>
        </w:trPr>
        <w:tc>
          <w:tcPr>
            <w:tcW w:w="5440" w:type="dxa"/>
            <w:vAlign w:val="bottom"/>
          </w:tcPr>
          <w:p>
            <w:pPr>
              <w:spacing w:after="0"/>
              <w:rPr>
                <w:sz w:val="16"/>
                <w:szCs w:val="16"/>
                <w:color w:val="auto"/>
              </w:rPr>
            </w:pPr>
          </w:p>
        </w:tc>
        <w:tc>
          <w:tcPr>
            <w:tcW w:w="5580" w:type="dxa"/>
            <w:vAlign w:val="bottom"/>
          </w:tcPr>
          <w:p>
            <w:pPr>
              <w:ind w:left="340"/>
              <w:spacing w:after="0" w:line="189" w:lineRule="exact"/>
              <w:rPr>
                <w:sz w:val="20"/>
                <w:szCs w:val="20"/>
                <w:color w:val="auto"/>
              </w:rPr>
            </w:pPr>
            <w:r>
              <w:rPr>
                <w:rFonts w:ascii="Arial" w:cs="Arial" w:eastAsia="Arial" w:hAnsi="Arial"/>
                <w:sz w:val="17"/>
                <w:szCs w:val="17"/>
                <w:color w:val="auto"/>
              </w:rPr>
              <w:t>philanthropy), and our reputation. Also oversees staff member</w:t>
            </w:r>
          </w:p>
        </w:tc>
      </w:tr>
      <w:tr>
        <w:trPr>
          <w:trHeight w:val="205"/>
        </w:trPr>
        <w:tc>
          <w:tcPr>
            <w:tcW w:w="5440" w:type="dxa"/>
            <w:vAlign w:val="bottom"/>
          </w:tcPr>
          <w:p>
            <w:pPr>
              <w:spacing w:after="0"/>
              <w:rPr>
                <w:sz w:val="17"/>
                <w:szCs w:val="17"/>
                <w:color w:val="auto"/>
              </w:rPr>
            </w:pPr>
          </w:p>
        </w:tc>
        <w:tc>
          <w:tcPr>
            <w:tcW w:w="5580" w:type="dxa"/>
            <w:vAlign w:val="bottom"/>
          </w:tcPr>
          <w:p>
            <w:pPr>
              <w:ind w:left="340"/>
              <w:spacing w:after="0"/>
              <w:rPr>
                <w:sz w:val="20"/>
                <w:szCs w:val="20"/>
                <w:color w:val="auto"/>
              </w:rPr>
            </w:pPr>
            <w:r>
              <w:rPr>
                <w:rFonts w:ascii="Arial" w:cs="Arial" w:eastAsia="Arial" w:hAnsi="Arial"/>
                <w:sz w:val="17"/>
                <w:szCs w:val="17"/>
                <w:color w:val="auto"/>
              </w:rPr>
              <w:t>compliance with the global Code of Conduct.</w:t>
            </w:r>
          </w:p>
        </w:tc>
      </w:tr>
      <w:tr>
        <w:trPr>
          <w:trHeight w:val="45"/>
        </w:trPr>
        <w:tc>
          <w:tcPr>
            <w:tcW w:w="5440" w:type="dxa"/>
            <w:vAlign w:val="bottom"/>
            <w:tcBorders>
              <w:bottom w:val="single" w:sz="8" w:color="0171B9"/>
            </w:tcBorders>
          </w:tcPr>
          <w:p>
            <w:pPr>
              <w:spacing w:after="0"/>
              <w:rPr>
                <w:sz w:val="3"/>
                <w:szCs w:val="3"/>
                <w:color w:val="auto"/>
              </w:rPr>
            </w:pPr>
          </w:p>
        </w:tc>
        <w:tc>
          <w:tcPr>
            <w:tcW w:w="5580" w:type="dxa"/>
            <w:vAlign w:val="bottom"/>
            <w:tcBorders>
              <w:bottom w:val="single" w:sz="8" w:color="0171B9"/>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-3950970</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71"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b w:val="1"/>
          <w:bCs w:val="1"/>
          <w:i w:val="1"/>
          <w:iCs w:val="1"/>
          <w:color w:val="0171B9"/>
        </w:rPr>
        <w:t xml:space="preserve">COVID-19 Impacts to Enterprise Risk and Our Response. </w:t>
      </w:r>
      <w:r>
        <w:rPr>
          <w:rFonts w:ascii="Arial" w:cs="Arial" w:eastAsia="Arial" w:hAnsi="Arial"/>
          <w:sz w:val="17"/>
          <w:szCs w:val="17"/>
          <w:color w:val="000000"/>
        </w:rPr>
        <w:t>The</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far-reaching effects of COVID-19 prompted the Company to consider enterprise risk focused on rare, but high-impact events, such as global pandemics. Our business resilience program is designed to enable us to effectively prepare for and respond to crisis incidents at the global, regional, and local levels.</w:t>
      </w:r>
    </w:p>
    <w:p>
      <w:pPr>
        <w:spacing w:after="0" w:line="94" w:lineRule="exact"/>
        <w:rPr>
          <w:sz w:val="20"/>
          <w:szCs w:val="20"/>
          <w:color w:val="auto"/>
        </w:rPr>
      </w:pPr>
    </w:p>
    <w:p>
      <w:pPr>
        <w:jc w:val="both"/>
        <w:ind w:left="120"/>
        <w:spacing w:after="0" w:line="256" w:lineRule="auto"/>
        <w:rPr>
          <w:sz w:val="20"/>
          <w:szCs w:val="20"/>
          <w:color w:val="auto"/>
        </w:rPr>
      </w:pPr>
      <w:r>
        <w:rPr>
          <w:rFonts w:ascii="Arial" w:cs="Arial" w:eastAsia="Arial" w:hAnsi="Arial"/>
          <w:sz w:val="17"/>
          <w:szCs w:val="17"/>
          <w:color w:val="auto"/>
        </w:rPr>
        <w:t>Since the beginning of the pandemic in early 2020, we have activated appropriate crisis management and business continuity plans and responded to the challenges presented to the operations of our business and focused on the experiences of our customers, patients, staff members, and communities. Multiple enhancements were made to our overall resilience during this pandemic, including investments in systems,</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automation, and innovation designed to support a remote work environment and the effective operation of our business while undertaking activities to help address the pandemic and the health and safety of our staff members.</w:t>
      </w:r>
    </w:p>
    <w:p>
      <w:pPr>
        <w:spacing w:after="0" w:line="10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We have been able to effectively serve physicians and patients as we have avoided disruptions to delivery and shortages of our supply of medicines. With respect to our drug development activities, we continue to work to mitigate COVID-19 effects on future study enrollment in our clinical trials around the world and remain focused on effectively supporting the delivery of care and investigational drug supply to patients enrolled in our active clinical sites.</w:t>
      </w:r>
    </w:p>
    <w:p>
      <w:pPr>
        <w:spacing w:after="0" w:line="622"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71" w:lineRule="exact"/>
        <w:rPr>
          <w:sz w:val="20"/>
          <w:szCs w:val="20"/>
          <w:color w:val="auto"/>
        </w:r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Codes of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317"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 xml:space="preserve">Our Board has adopted an Amgen Board of Directors’ Code of Conduct (that applies to our Board) and a global Code of Conduct (that applies to our Board, all our staff, and others conducting business on our behalf). Annual training on the global Code of Conduct is required of all of our staff and our Board participates in such training. We also have a code of ethics for senior financial officers. To view our codes of business conduct and ethics, please visit our website at </w:t>
      </w:r>
      <w:r>
        <w:rPr>
          <w:rFonts w:ascii="Arial" w:cs="Arial" w:eastAsia="Arial" w:hAnsi="Arial"/>
          <w:sz w:val="17"/>
          <w:szCs w:val="17"/>
          <w:i w:val="1"/>
          <w:iCs w:val="1"/>
          <w:color w:val="0171B9"/>
        </w:rPr>
        <w:t>www.amgen.com</w:t>
      </w:r>
      <w:r>
        <w:rPr>
          <w:rFonts w:ascii="Arial" w:cs="Arial" w:eastAsia="Arial" w:hAnsi="Arial"/>
          <w:sz w:val="17"/>
          <w:szCs w:val="17"/>
          <w:color w:val="auto"/>
        </w:rPr>
        <w:t>.</w:t>
      </w: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intend to disclose any future amendments to certain provisions of our codes of business conduct and ethics, or waivers of such provisions, applicable to our directors and executive officers on our website if such disclosure is required by SEC or NASDAQ rules. There were no waivers of any of our codes of business conduct or code of ethics in 2022.</w:t>
      </w:r>
    </w:p>
    <w:p>
      <w:pPr>
        <w:spacing w:after="0" w:line="576"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15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p>
      <w:pPr>
        <w:spacing w:after="0" w:line="304"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The Board held 9 meetings in 2022 and all of the directors attended at least 75% of the total number of meetings of the Board and committees on which they served. Michael V. Drake was appointed to the Board effective in August 2022 and attended all of the meetings of the Board and of the committees on which he served after the date of his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appointment. It is the Company’s policy that all current directors attend our annual meetings of stockholders barring unforeseen circumstances or irresolvable conflicts. Each of our directors serving at the time of our 2022 Annual Meeting attended our 2022 Annual Meeting.</w:t>
      </w:r>
    </w:p>
    <w:p>
      <w:pPr>
        <w:spacing w:after="0" w:line="579"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15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Communication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p>
      <w:pPr>
        <w:spacing w:after="0" w:line="317"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Our annual meeting of stockholders provides an opportunity each year for stockholders to ask questions of our lead independent director and other members of the Board on appropriate matters. In addition, stockholders may communicate in writing with any particular director, any committee of the Board, or the directors as a group, by sending such written communication to our Secretary at our principal executive offices at One Amgen Center Drive, Thousand Oaks, California 91320-1799. Copies of written communications received at such address will be provided to the Board or the relevant director unless such communications are considered, in the reasonable judgment of our Secretary, to be inappropriate for submission to the intended recipient(s). Examples of stockholder communications that would be considered inappropriate for submission to the Board include,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177165</wp:posOffset>
            </wp:positionV>
            <wp:extent cx="7715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limitation, customer complaints, solicitations, communications that do not relate directly or indirectly to our business, or communications that relate to improper or irrelevant topics. The Secretary or his designee may analyze and prepare a response to the information contained in communications received and may deliver a copy of the communication to other Company staff members or agents who are responsible for analyzing or responding to complaints or requests. Communications concerning potential director nominees submitted by any of our stockholders will be forwarded to the Chair of the Governance Committee. For information on our engagement with our stockholders since the 2022 Annual Meeting, please see pages 53 and 54 of our Compensation Discussion and Analysis.</w:t>
      </w:r>
    </w:p>
    <w:p>
      <w:pPr>
        <w:spacing w:after="0" w:line="579"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57" w:lineRule="exact"/>
        <w:rPr>
          <w:sz w:val="20"/>
          <w:szCs w:val="20"/>
          <w:color w:val="auto"/>
        </w:rPr>
      </w:pPr>
    </w:p>
    <w:p>
      <w:pPr>
        <w:ind w:left="440" w:hanging="324"/>
        <w:spacing w:after="0"/>
        <w:tabs>
          <w:tab w:leader="none" w:pos="440"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Reference to our website is not intended to function as a hyperlink and the information contained on our website is not intended to be part of this proxy statement.</w:t>
      </w:r>
    </w:p>
    <w:p>
      <w:pPr>
        <w:spacing w:after="0" w:line="117"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22</w:t>
      </w:r>
      <w:r>
        <w:rPr>
          <w:sz w:val="20"/>
          <w:szCs w:val="20"/>
          <w:color w:val="auto"/>
        </w:rPr>
        <w:tab/>
      </w:r>
      <w:r>
        <w:rPr>
          <w:sz w:val="1"/>
          <w:szCs w:val="1"/>
          <w:color w:val="auto"/>
        </w:rPr>
        <w:drawing>
          <wp:inline distT="0" distB="0" distL="0" distR="0">
            <wp:extent cx="582930" cy="13716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Board Committees and Charters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317"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The Board has four key standing committees: the Governance Committee; Audit Committee; Compliance Committee; and Compensation Committee. The Compensation Committee has delegated certain responsibilities to an Equity Award Committee. In addition, an Executive Committee of the Board has all of the powers and authority of the Board in the management of our business and affairs, except with respect to certain enumerated matters, including Board composition and compensation, changes to our Certificate of Incorporation, or any other matter expressly prohibited by law or our</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Certificate of Incorporation. The Executive Committee did not meet in 2022. The Board maintains charters for each of its standing committees and these charters are evaluated annually. In addition, the Board has adopted a written set of Corporate Governance Principles and the Amgen Board of Directors’ Code of Conduct that generally formalize practices we have in place. To view the charters of our standing Board committees, our Corporate Governance Principles, and the Board of Directors’ Code of Conduct, please visit our website at </w:t>
      </w:r>
      <w:r>
        <w:rPr>
          <w:rFonts w:ascii="Arial" w:cs="Arial" w:eastAsia="Arial" w:hAnsi="Arial"/>
          <w:sz w:val="17"/>
          <w:szCs w:val="17"/>
          <w:i w:val="1"/>
          <w:iCs w:val="1"/>
          <w:color w:val="0171B9"/>
        </w:rPr>
        <w:t>www.amgen.com</w:t>
      </w:r>
      <w:r>
        <w:rPr>
          <w:rFonts w:ascii="Arial" w:cs="Arial" w:eastAsia="Arial" w:hAnsi="Arial"/>
          <w:sz w:val="17"/>
          <w:szCs w:val="17"/>
          <w:color w:val="000000"/>
        </w:rPr>
        <w:t>.</w:t>
      </w:r>
      <w:r>
        <w:rPr>
          <w:rFonts w:ascii="Arial" w:cs="Arial" w:eastAsia="Arial" w:hAnsi="Arial"/>
          <w:sz w:val="10"/>
          <w:szCs w:val="10"/>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243205</wp:posOffset>
            </wp:positionV>
            <wp:extent cx="6995160" cy="3566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3566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263" w:lineRule="exact"/>
        <w:rPr>
          <w:sz w:val="20"/>
          <w:szCs w:val="20"/>
          <w:color w:val="auto"/>
        </w:rPr>
      </w:pPr>
    </w:p>
    <w:p>
      <w:pPr>
        <w:ind w:left="200" w:right="480"/>
        <w:spacing w:after="0" w:line="286" w:lineRule="auto"/>
        <w:rPr>
          <w:sz w:val="20"/>
          <w:szCs w:val="20"/>
          <w:color w:val="auto"/>
        </w:rPr>
      </w:pPr>
      <w:r>
        <w:rPr>
          <w:rFonts w:ascii="Arial" w:cs="Arial" w:eastAsia="Arial" w:hAnsi="Arial"/>
          <w:sz w:val="25"/>
          <w:szCs w:val="25"/>
          <w:b w:val="1"/>
          <w:bCs w:val="1"/>
          <w:i w:val="1"/>
          <w:iCs w:val="1"/>
          <w:color w:val="0171B9"/>
        </w:rPr>
        <w:t>Governance and Nominating Committee</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Current Members:</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Greg C. Garland (Chair)</w:t>
      </w:r>
    </w:p>
    <w:p>
      <w:pPr>
        <w:ind w:left="200"/>
        <w:spacing w:after="0" w:line="232" w:lineRule="auto"/>
        <w:rPr>
          <w:sz w:val="20"/>
          <w:szCs w:val="20"/>
          <w:color w:val="auto"/>
        </w:rPr>
      </w:pPr>
      <w:r>
        <w:rPr>
          <w:rFonts w:ascii="Arial" w:cs="Arial" w:eastAsia="Arial" w:hAnsi="Arial"/>
          <w:sz w:val="17"/>
          <w:szCs w:val="17"/>
          <w:color w:val="auto"/>
        </w:rPr>
        <w:t>Michael V. Drake (since August 3, 2022)</w:t>
      </w:r>
    </w:p>
    <w:p>
      <w:pPr>
        <w:ind w:left="200"/>
        <w:spacing w:after="0" w:line="232" w:lineRule="auto"/>
        <w:rPr>
          <w:sz w:val="20"/>
          <w:szCs w:val="20"/>
          <w:color w:val="auto"/>
        </w:rPr>
      </w:pPr>
      <w:r>
        <w:rPr>
          <w:rFonts w:ascii="Arial" w:cs="Arial" w:eastAsia="Arial" w:hAnsi="Arial"/>
          <w:sz w:val="17"/>
          <w:szCs w:val="17"/>
          <w:color w:val="auto"/>
        </w:rPr>
        <w:t>Robert A. Eckert</w:t>
      </w:r>
    </w:p>
    <w:p>
      <w:pPr>
        <w:ind w:left="200"/>
        <w:spacing w:after="0" w:line="232" w:lineRule="auto"/>
        <w:rPr>
          <w:sz w:val="20"/>
          <w:szCs w:val="20"/>
          <w:color w:val="auto"/>
        </w:rPr>
      </w:pPr>
      <w:r>
        <w:rPr>
          <w:rFonts w:ascii="Arial" w:cs="Arial" w:eastAsia="Arial" w:hAnsi="Arial"/>
          <w:sz w:val="17"/>
          <w:szCs w:val="17"/>
          <w:color w:val="auto"/>
        </w:rPr>
        <w:t>Charles M. Holley, Jr.</w:t>
      </w:r>
    </w:p>
    <w:p>
      <w:pPr>
        <w:ind w:left="200"/>
        <w:spacing w:after="0" w:line="232" w:lineRule="auto"/>
        <w:rPr>
          <w:sz w:val="20"/>
          <w:szCs w:val="20"/>
          <w:color w:val="auto"/>
        </w:rPr>
      </w:pPr>
      <w:r>
        <w:rPr>
          <w:rFonts w:ascii="Arial" w:cs="Arial" w:eastAsia="Arial" w:hAnsi="Arial"/>
          <w:sz w:val="17"/>
          <w:szCs w:val="17"/>
          <w:color w:val="auto"/>
        </w:rPr>
        <w:t>Ellen J. Kullman</w:t>
      </w:r>
    </w:p>
    <w:p>
      <w:pPr>
        <w:ind w:left="200"/>
        <w:spacing w:after="0" w:line="232" w:lineRule="auto"/>
        <w:rPr>
          <w:sz w:val="20"/>
          <w:szCs w:val="20"/>
          <w:color w:val="auto"/>
        </w:rPr>
      </w:pPr>
      <w:r>
        <w:rPr>
          <w:rFonts w:ascii="Arial" w:cs="Arial" w:eastAsia="Arial" w:hAnsi="Arial"/>
          <w:sz w:val="17"/>
          <w:szCs w:val="17"/>
          <w:color w:val="auto"/>
        </w:rPr>
        <w:t>Amy E. Miles</w:t>
      </w:r>
    </w:p>
    <w:p>
      <w:pPr>
        <w:ind w:left="200"/>
        <w:spacing w:after="0" w:line="232" w:lineRule="auto"/>
        <w:rPr>
          <w:sz w:val="20"/>
          <w:szCs w:val="20"/>
          <w:color w:val="auto"/>
        </w:rPr>
      </w:pPr>
      <w:r>
        <w:rPr>
          <w:rFonts w:ascii="Arial" w:cs="Arial" w:eastAsia="Arial" w:hAnsi="Arial"/>
          <w:sz w:val="17"/>
          <w:szCs w:val="17"/>
          <w:color w:val="auto"/>
        </w:rPr>
        <w:t>Ronald D. Sugar</w:t>
      </w:r>
    </w:p>
    <w:p>
      <w:pPr>
        <w:ind w:left="200"/>
        <w:spacing w:after="0"/>
        <w:rPr>
          <w:sz w:val="20"/>
          <w:szCs w:val="20"/>
          <w:color w:val="auto"/>
        </w:rPr>
      </w:pPr>
      <w:r>
        <w:rPr>
          <w:rFonts w:ascii="Arial" w:cs="Arial" w:eastAsia="Arial" w:hAnsi="Arial"/>
          <w:sz w:val="17"/>
          <w:szCs w:val="17"/>
          <w:color w:val="auto"/>
        </w:rPr>
        <w:t>R. Sanders Williams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Number of Meetings Held in 2022: </w:t>
      </w:r>
      <w:r>
        <w:rPr>
          <w:rFonts w:ascii="Arial" w:cs="Arial" w:eastAsia="Arial" w:hAnsi="Arial"/>
          <w:sz w:val="18"/>
          <w:szCs w:val="18"/>
          <w:b w:val="1"/>
          <w:bCs w:val="1"/>
          <w:color w:val="0171B9"/>
        </w:rPr>
        <w:t>5</w:t>
      </w:r>
    </w:p>
    <w:p>
      <w:pPr>
        <w:spacing w:after="0" w:line="116" w:lineRule="exact"/>
        <w:rPr>
          <w:sz w:val="20"/>
          <w:szCs w:val="20"/>
          <w:color w:val="auto"/>
        </w:rPr>
      </w:pPr>
    </w:p>
    <w:p>
      <w:pPr>
        <w:jc w:val="both"/>
        <w:ind w:left="200"/>
        <w:spacing w:after="0" w:line="243" w:lineRule="auto"/>
        <w:rPr>
          <w:sz w:val="20"/>
          <w:szCs w:val="20"/>
          <w:color w:val="auto"/>
        </w:rPr>
      </w:pPr>
      <w:r>
        <w:rPr>
          <w:rFonts w:ascii="Arial" w:cs="Arial" w:eastAsia="Arial" w:hAnsi="Arial"/>
          <w:sz w:val="17"/>
          <w:szCs w:val="17"/>
          <w:i w:val="1"/>
          <w:iCs w:val="1"/>
          <w:color w:val="auto"/>
        </w:rPr>
        <w:t>Each member has been determined by the Board to be independent under The NASDAQ Stock Market listing standards and the requirements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1424305</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and Key Responsibilities:</w:t>
      </w:r>
    </w:p>
    <w:p>
      <w:pPr>
        <w:spacing w:after="0" w:line="134" w:lineRule="exact"/>
        <w:rPr>
          <w:sz w:val="20"/>
          <w:szCs w:val="20"/>
          <w:color w:val="auto"/>
        </w:rPr>
      </w:pPr>
    </w:p>
    <w:p>
      <w:pPr>
        <w:jc w:val="both"/>
        <w:ind w:left="200" w:right="20" w:hanging="214"/>
        <w:spacing w:after="0" w:line="236"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Determines Board membership qualifications and maintains, with the approval of the Board,</w:t>
      </w:r>
      <w:r>
        <w:rPr>
          <w:rFonts w:ascii="Arial" w:cs="Arial" w:eastAsia="Arial" w:hAnsi="Arial"/>
          <w:sz w:val="17"/>
          <w:szCs w:val="17"/>
          <w:color w:val="0171B9"/>
        </w:rPr>
        <w:t xml:space="preserve"> </w:t>
      </w:r>
      <w:r>
        <w:rPr>
          <w:rFonts w:ascii="Arial" w:cs="Arial" w:eastAsia="Arial" w:hAnsi="Arial"/>
          <w:sz w:val="17"/>
          <w:szCs w:val="17"/>
          <w:color w:val="000000"/>
        </w:rPr>
        <w:t xml:space="preserve">guidelines for selecting nominees to serve on the Board and considering stockholder recommendations for nominees. The Amgen Inc. Board of Directors Guidelines for Director Qualifications and Evaluations are included in this proxy statement as </w:t>
      </w:r>
      <w:r>
        <w:rPr>
          <w:rFonts w:ascii="Arial" w:cs="Arial" w:eastAsia="Arial" w:hAnsi="Arial"/>
          <w:sz w:val="17"/>
          <w:szCs w:val="17"/>
          <w:b w:val="1"/>
          <w:bCs w:val="1"/>
          <w:color w:val="000000"/>
        </w:rPr>
        <w:t>Appendix A</w:t>
      </w:r>
      <w:r>
        <w:rPr>
          <w:rFonts w:ascii="Arial" w:cs="Arial" w:eastAsia="Arial" w:hAnsi="Arial"/>
          <w:sz w:val="17"/>
          <w:szCs w:val="17"/>
          <w:color w:val="000000"/>
        </w:rPr>
        <w:t>.</w:t>
      </w:r>
    </w:p>
    <w:p>
      <w:pPr>
        <w:spacing w:after="0" w:line="109" w:lineRule="exact"/>
        <w:rPr>
          <w:sz w:val="20"/>
          <w:szCs w:val="20"/>
          <w:color w:val="auto"/>
        </w:rPr>
      </w:pPr>
    </w:p>
    <w:p>
      <w:pPr>
        <w:jc w:val="both"/>
        <w:ind w:left="200" w:hanging="214"/>
        <w:spacing w:after="0" w:line="238"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Selects, evaluates, and recommends to the Board nominees to stand for election at the annual</w:t>
      </w:r>
      <w:r>
        <w:rPr>
          <w:rFonts w:ascii="Arial" w:cs="Arial" w:eastAsia="Arial" w:hAnsi="Arial"/>
          <w:sz w:val="17"/>
          <w:szCs w:val="17"/>
          <w:color w:val="0171B9"/>
        </w:rPr>
        <w:t xml:space="preserve"> </w:t>
      </w:r>
      <w:r>
        <w:rPr>
          <w:rFonts w:ascii="Arial" w:cs="Arial" w:eastAsia="Arial" w:hAnsi="Arial"/>
          <w:sz w:val="17"/>
          <w:szCs w:val="17"/>
          <w:color w:val="000000"/>
        </w:rPr>
        <w:t>meeting of stockholders and to fill vacancies as they arise as more fully described in “Process for Selecting Directors, Director Qualifications, and Board Diversity” below.</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Recommends to the Board the appointment of a lead director.</w:t>
      </w:r>
    </w:p>
    <w:p>
      <w:pPr>
        <w:spacing w:after="0" w:line="115" w:lineRule="exact"/>
        <w:rPr>
          <w:sz w:val="20"/>
          <w:szCs w:val="20"/>
          <w:color w:val="auto"/>
        </w:rPr>
      </w:pPr>
    </w:p>
    <w:p>
      <w:pPr>
        <w:jc w:val="both"/>
        <w:ind w:left="200" w:right="20" w:hanging="214"/>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Reviews the performance of the Board and its committees and is responsible for ensuring the</w:t>
      </w:r>
      <w:r>
        <w:rPr>
          <w:rFonts w:ascii="Arial" w:cs="Arial" w:eastAsia="Arial" w:hAnsi="Arial"/>
          <w:sz w:val="17"/>
          <w:szCs w:val="17"/>
          <w:color w:val="0171B9"/>
        </w:rPr>
        <w:t xml:space="preserve"> </w:t>
      </w:r>
      <w:r>
        <w:rPr>
          <w:rFonts w:ascii="Arial" w:cs="Arial" w:eastAsia="Arial" w:hAnsi="Arial"/>
          <w:sz w:val="17"/>
          <w:szCs w:val="17"/>
          <w:color w:val="000000"/>
        </w:rPr>
        <w:t>availability of an orientation program for new Board members and director education.</w:t>
      </w:r>
    </w:p>
    <w:p>
      <w:pPr>
        <w:spacing w:after="0" w:line="104" w:lineRule="exact"/>
        <w:rPr>
          <w:sz w:val="20"/>
          <w:szCs w:val="20"/>
          <w:color w:val="auto"/>
        </w:rPr>
      </w:pPr>
    </w:p>
    <w:p>
      <w:pPr>
        <w:jc w:val="both"/>
        <w:ind w:left="200" w:right="20" w:hanging="214"/>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Recommends to the Board nominees for appointment as executive officers and certain other</w:t>
      </w:r>
      <w:r>
        <w:rPr>
          <w:rFonts w:ascii="Arial" w:cs="Arial" w:eastAsia="Arial" w:hAnsi="Arial"/>
          <w:sz w:val="17"/>
          <w:szCs w:val="17"/>
          <w:color w:val="0171B9"/>
        </w:rPr>
        <w:t xml:space="preserve"> </w:t>
      </w:r>
      <w:r>
        <w:rPr>
          <w:rFonts w:ascii="Arial" w:cs="Arial" w:eastAsia="Arial" w:hAnsi="Arial"/>
          <w:sz w:val="17"/>
          <w:szCs w:val="17"/>
          <w:color w:val="000000"/>
        </w:rPr>
        <w:t>officers.</w:t>
      </w:r>
    </w:p>
    <w:p>
      <w:pPr>
        <w:spacing w:after="0" w:line="104" w:lineRule="exact"/>
        <w:rPr>
          <w:sz w:val="20"/>
          <w:szCs w:val="20"/>
          <w:color w:val="auto"/>
        </w:rPr>
      </w:pPr>
    </w:p>
    <w:p>
      <w:pPr>
        <w:jc w:val="both"/>
        <w:ind w:left="200" w:right="20" w:hanging="214"/>
        <w:spacing w:after="0" w:line="236"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Evaluates</w:t>
      </w:r>
      <w:r>
        <w:rPr>
          <w:sz w:val="20"/>
          <w:szCs w:val="20"/>
          <w:color w:val="auto"/>
        </w:rPr>
        <w:t xml:space="preserve"> </w:t>
      </w:r>
      <w:r>
        <w:rPr>
          <w:rFonts w:ascii="Arial" w:cs="Arial" w:eastAsia="Arial" w:hAnsi="Arial"/>
          <w:sz w:val="17"/>
          <w:szCs w:val="17"/>
          <w:color w:val="auto"/>
        </w:rPr>
        <w:t>and makes recommendations to our Board regarding compensation for non-employee Board members, including minimum retention and ownership levels of Company stock by Board members. (Any Board member who is also an employee of the Company does not receive separate compensation for service on the Board.)</w:t>
      </w:r>
    </w:p>
    <w:p>
      <w:pPr>
        <w:spacing w:after="0" w:line="109" w:lineRule="exact"/>
        <w:rPr>
          <w:sz w:val="20"/>
          <w:szCs w:val="20"/>
          <w:color w:val="auto"/>
        </w:rPr>
      </w:pPr>
    </w:p>
    <w:p>
      <w:pPr>
        <w:jc w:val="both"/>
        <w:ind w:left="200" w:right="20" w:hanging="214"/>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Monitors the independence of the Board and evaluates questions of possible conflicts of</w:t>
      </w:r>
      <w:r>
        <w:rPr>
          <w:rFonts w:ascii="Arial" w:cs="Arial" w:eastAsia="Arial" w:hAnsi="Arial"/>
          <w:sz w:val="17"/>
          <w:szCs w:val="17"/>
          <w:color w:val="0171B9"/>
        </w:rPr>
        <w:t xml:space="preserve"> </w:t>
      </w:r>
      <w:r>
        <w:rPr>
          <w:rFonts w:ascii="Arial" w:cs="Arial" w:eastAsia="Arial" w:hAnsi="Arial"/>
          <w:sz w:val="17"/>
          <w:szCs w:val="17"/>
          <w:color w:val="000000"/>
        </w:rPr>
        <w:t>interest of members of the Board.</w:t>
      </w:r>
    </w:p>
    <w:p>
      <w:pPr>
        <w:spacing w:after="0" w:line="104" w:lineRule="exact"/>
        <w:rPr>
          <w:sz w:val="20"/>
          <w:szCs w:val="20"/>
          <w:color w:val="auto"/>
        </w:rPr>
      </w:pPr>
    </w:p>
    <w:p>
      <w:pPr>
        <w:jc w:val="both"/>
        <w:ind w:left="200" w:right="20" w:hanging="214"/>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Oversees the Board’s Corporate Governance Principles and the Amgen Board of Directors’</w:t>
      </w:r>
      <w:r>
        <w:rPr>
          <w:rFonts w:ascii="Arial" w:cs="Arial" w:eastAsia="Arial" w:hAnsi="Arial"/>
          <w:sz w:val="17"/>
          <w:szCs w:val="17"/>
          <w:color w:val="0171B9"/>
        </w:rPr>
        <w:t xml:space="preserve"> </w:t>
      </w:r>
      <w:r>
        <w:rPr>
          <w:rFonts w:ascii="Arial" w:cs="Arial" w:eastAsia="Arial" w:hAnsi="Arial"/>
          <w:sz w:val="17"/>
          <w:szCs w:val="17"/>
          <w:color w:val="000000"/>
        </w:rPr>
        <w:t>Code of Conduct applicable to members of the Board.</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Governance Committee has authority to delegate these functions to a subcommittee of its members, but no delegation of authority was made in 2022.</w:t>
      </w:r>
    </w:p>
    <w:p>
      <w:pPr>
        <w:spacing w:after="0" w:line="200" w:lineRule="exact"/>
        <w:rPr>
          <w:sz w:val="20"/>
          <w:szCs w:val="20"/>
          <w:color w:val="auto"/>
        </w:rPr>
      </w:pPr>
    </w:p>
    <w:p>
      <w:pPr>
        <w:sectPr>
          <w:pgSz w:w="11900" w:h="16838" w:orient="portrait"/>
          <w:cols w:equalWidth="0" w:num="2">
            <w:col w:w="3440" w:space="340"/>
            <w:col w:w="7360"/>
          </w:cols>
          <w:pgMar w:left="320" w:top="486" w:right="439" w:bottom="1440" w:gutter="0" w:footer="0" w:header="0"/>
          <w:type w:val="continuous"/>
        </w:sectPr>
      </w:pPr>
    </w:p>
    <w:p>
      <w:pPr>
        <w:spacing w:after="0" w:line="198"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22"/>
          <w:szCs w:val="22"/>
          <w:color w:val="auto"/>
          <w:vertAlign w:val="superscript"/>
        </w:rPr>
      </w:pPr>
      <w:r>
        <w:rPr>
          <w:rFonts w:ascii="Arial" w:cs="Arial" w:eastAsia="Arial" w:hAnsi="Arial"/>
          <w:sz w:val="14"/>
          <w:szCs w:val="14"/>
          <w:color w:val="auto"/>
        </w:rPr>
        <w:t>Reference to our website is not intended to function as a hyperlink and the information contained on our website is not intended to be part of this proxy statement.</w:t>
      </w:r>
    </w:p>
    <w:p>
      <w:pPr>
        <w:spacing w:after="0" w:line="117"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Summary of Current Director Core Experiences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317"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Our Board consists of a diverse group of highly qualified leaders in their respective fields. Most of our directors have senior leadership experience at large companies or institutions, and have gained significant and diverse management experience (including strategic and financial planning, public company financial reporting, compliance, risk management, and leadership development). Many of our directors also have public company experience (serving as chief executive officers or chief financial officers, on boards of directors and board</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committees) and an understanding of corporate governance practices and trends, as well as scientific expertise and healthcare industry experience, and bring unique perspectives to the Board. The Board and the Governance Committee believe the skills, qualities, attributes, experience, and variety of backgrounds of our directors provide us with a diverse range of perspectives to effectively address our Company’s evolving needs and represent the best interests of our stockholders.</w:t>
      </w:r>
    </w:p>
    <w:p>
      <w:pPr>
        <w:spacing w:after="0" w:line="581"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36"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b w:val="1"/>
          <w:bCs w:val="1"/>
          <w:i w:val="1"/>
          <w:iCs w:val="1"/>
          <w:color w:val="0171B9"/>
        </w:rPr>
        <w:t xml:space="preserve">Our Board possesses a deep and broad set of skills and experiences that facilitate strong oversight and strategic direction for a leading global innovator in biotechnology. </w:t>
      </w:r>
      <w:r>
        <w:rPr>
          <w:rFonts w:ascii="Arial" w:cs="Arial" w:eastAsia="Arial" w:hAnsi="Arial"/>
          <w:sz w:val="17"/>
          <w:szCs w:val="17"/>
          <w:color w:val="000000"/>
        </w:rPr>
        <w:t>The following chart summarizes the competencies of each director currently represented on our</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Board. The details of each director nominee’s competencies are included in each director nominee’s 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7029450" cy="22802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2945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0" w:right="20"/>
        <w:spacing w:after="0" w:line="223" w:lineRule="exact"/>
        <w:rPr>
          <w:sz w:val="20"/>
          <w:szCs w:val="20"/>
          <w:color w:val="auto"/>
        </w:rPr>
      </w:pPr>
      <w:r>
        <w:rPr>
          <w:rFonts w:ascii="Arial" w:cs="Arial" w:eastAsia="Arial" w:hAnsi="Arial"/>
          <w:sz w:val="17"/>
          <w:szCs w:val="17"/>
          <w:color w:val="auto"/>
        </w:rPr>
        <w:t>The lack of a “</w:t>
      </w:r>
      <w:r>
        <w:rPr>
          <w:rFonts w:ascii="MS PGothic" w:cs="MS PGothic" w:eastAsia="MS PGothic" w:hAnsi="MS PGothic"/>
          <w:sz w:val="17"/>
          <w:szCs w:val="17"/>
          <w:color w:val="auto"/>
        </w:rPr>
        <w:t>✓</w:t>
      </w:r>
      <w:r>
        <w:rPr>
          <w:rFonts w:ascii="Arial" w:cs="Arial" w:eastAsia="Arial" w:hAnsi="Arial"/>
          <w:sz w:val="17"/>
          <w:szCs w:val="17"/>
          <w:color w:val="auto"/>
        </w:rPr>
        <w:t xml:space="preserve">” for a particular item does not mean that the director does not possess that qualification, characteristic, skill, or experience. Each of our Board members have experience and/or skills in the enumerated areas, however, the </w:t>
      </w:r>
      <w:r>
        <w:rPr>
          <w:rFonts w:ascii="MS PGothic" w:cs="MS PGothic" w:eastAsia="MS PGothic" w:hAnsi="MS PGothic"/>
          <w:sz w:val="17"/>
          <w:szCs w:val="17"/>
          <w:color w:val="auto"/>
        </w:rPr>
        <w:t>✓</w:t>
      </w:r>
      <w:r>
        <w:rPr>
          <w:rFonts w:ascii="Arial" w:cs="Arial" w:eastAsia="Arial" w:hAnsi="Arial"/>
          <w:sz w:val="17"/>
          <w:szCs w:val="17"/>
          <w:color w:val="auto"/>
        </w:rPr>
        <w:t xml:space="preserve"> is designed to indicate that a director has a particular strength in that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148590</wp:posOffset>
            </wp:positionV>
            <wp:extent cx="5709285" cy="16541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0928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24</w:t>
      </w:r>
      <w:r>
        <w:rPr>
          <w:sz w:val="20"/>
          <w:szCs w:val="20"/>
          <w:color w:val="auto"/>
        </w:rPr>
        <w:tab/>
      </w:r>
      <w:r>
        <w:rPr>
          <w:sz w:val="1"/>
          <w:szCs w:val="1"/>
          <w:color w:val="auto"/>
        </w:rPr>
        <w:drawing>
          <wp:inline distT="0" distB="0" distL="0" distR="0">
            <wp:extent cx="582930" cy="13716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ind w:left="872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pacing w:after="0" w:line="367"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In compliance with NASDAQ’s Board Diversity Rule, the table below provides certain highlights of the composition of our Board members and nominees.</w:t>
      </w: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FFFFFF"/>
        </w:rPr>
        <w:t>Board Diversity Matrix (As of January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-113030</wp:posOffset>
            </wp:positionV>
            <wp:extent cx="4620260" cy="16459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620260" cy="1645920"/>
                    </a:xfrm>
                    <a:prstGeom prst="rect">
                      <a:avLst/>
                    </a:prstGeom>
                    <a:noFill/>
                  </pic:spPr>
                </pic:pic>
              </a:graphicData>
            </a:graphic>
          </wp:anchor>
        </w:drawing>
      </w:r>
    </w:p>
    <w:p>
      <w:pPr>
        <w:spacing w:after="0" w:line="3" w:lineRule="exact"/>
        <w:rPr>
          <w:sz w:val="20"/>
          <w:szCs w:val="20"/>
          <w:color w:val="auto"/>
        </w:rPr>
      </w:pPr>
    </w:p>
    <w:tbl>
      <w:tblPr>
        <w:tblLayout w:type="fixed"/>
        <w:tblInd w:w="2000" w:type="dxa"/>
        <w:tblCellMar>
          <w:top w:w="0" w:type="dxa"/>
          <w:left w:w="0" w:type="dxa"/>
          <w:bottom w:w="0" w:type="dxa"/>
          <w:right w:w="0" w:type="dxa"/>
        </w:tblCellMar>
      </w:tblPr>
      <w:tr>
        <w:trPr>
          <w:trHeight w:val="233"/>
        </w:trPr>
        <w:tc>
          <w:tcPr>
            <w:tcW w:w="53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Total Number of Directors</w:t>
            </w:r>
          </w:p>
        </w:tc>
        <w:tc>
          <w:tcPr>
            <w:tcW w:w="9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695"/>
              <w:spacing w:after="0"/>
              <w:rPr>
                <w:sz w:val="20"/>
                <w:szCs w:val="20"/>
                <w:color w:val="auto"/>
              </w:rPr>
            </w:pPr>
            <w:r>
              <w:rPr>
                <w:rFonts w:ascii="Arial" w:cs="Arial" w:eastAsia="Arial" w:hAnsi="Arial"/>
                <w:sz w:val="17"/>
                <w:szCs w:val="17"/>
                <w:color w:val="auto"/>
              </w:rPr>
              <w:t>13</w:t>
            </w:r>
          </w:p>
        </w:tc>
      </w:tr>
      <w:tr>
        <w:trPr>
          <w:trHeight w:val="44"/>
        </w:trPr>
        <w:tc>
          <w:tcPr>
            <w:tcW w:w="532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82"/>
        </w:trPr>
        <w:tc>
          <w:tcPr>
            <w:tcW w:w="5320" w:type="dxa"/>
            <w:vAlign w:val="bottom"/>
            <w:tcBorders>
              <w:bottom w:val="single" w:sz="8" w:color="CCCCCC"/>
              <w:right w:val="single" w:sz="8" w:color="auto"/>
            </w:tcBorders>
            <w:shd w:val="clear" w:color="auto" w:fill="CCCCCC"/>
          </w:tcPr>
          <w:p>
            <w:pPr>
              <w:spacing w:after="0"/>
              <w:rPr>
                <w:sz w:val="24"/>
                <w:szCs w:val="24"/>
                <w:color w:val="auto"/>
              </w:rPr>
            </w:pPr>
          </w:p>
        </w:tc>
        <w:tc>
          <w:tcPr>
            <w:tcW w:w="920" w:type="dxa"/>
            <w:vAlign w:val="bottom"/>
            <w:tcBorders>
              <w:bottom w:val="single" w:sz="8" w:color="CCCCCC"/>
            </w:tcBorders>
            <w:shd w:val="clear" w:color="auto" w:fill="CCCCCC"/>
          </w:tcPr>
          <w:p>
            <w:pPr>
              <w:jc w:val="center"/>
              <w:ind w:left="155"/>
              <w:spacing w:after="0"/>
              <w:rPr>
                <w:sz w:val="20"/>
                <w:szCs w:val="20"/>
                <w:color w:val="auto"/>
              </w:rPr>
            </w:pPr>
            <w:r>
              <w:rPr>
                <w:rFonts w:ascii="Arial" w:cs="Arial" w:eastAsia="Arial" w:hAnsi="Arial"/>
                <w:sz w:val="17"/>
                <w:szCs w:val="17"/>
                <w:b w:val="1"/>
                <w:bCs w:val="1"/>
                <w:color w:val="auto"/>
              </w:rPr>
              <w:t>Female</w:t>
            </w:r>
          </w:p>
        </w:tc>
        <w:tc>
          <w:tcPr>
            <w:tcW w:w="180" w:type="dxa"/>
            <w:vAlign w:val="bottom"/>
            <w:tcBorders>
              <w:bottom w:val="single" w:sz="8" w:color="CCCCCC"/>
              <w:right w:val="single" w:sz="8" w:color="auto"/>
            </w:tcBorders>
            <w:shd w:val="clear" w:color="auto" w:fill="CCCCCC"/>
          </w:tcPr>
          <w:p>
            <w:pPr>
              <w:spacing w:after="0"/>
              <w:rPr>
                <w:sz w:val="24"/>
                <w:szCs w:val="24"/>
                <w:color w:val="auto"/>
              </w:rPr>
            </w:pPr>
          </w:p>
        </w:tc>
        <w:tc>
          <w:tcPr>
            <w:tcW w:w="840" w:type="dxa"/>
            <w:vAlign w:val="bottom"/>
            <w:tcBorders>
              <w:bottom w:val="single" w:sz="8" w:color="CCCCCC"/>
            </w:tcBorders>
            <w:shd w:val="clear" w:color="auto" w:fill="CCCCCC"/>
          </w:tcPr>
          <w:p>
            <w:pPr>
              <w:ind w:left="280"/>
              <w:spacing w:after="0"/>
              <w:rPr>
                <w:sz w:val="20"/>
                <w:szCs w:val="20"/>
                <w:color w:val="auto"/>
              </w:rPr>
            </w:pPr>
            <w:r>
              <w:rPr>
                <w:rFonts w:ascii="Arial" w:cs="Arial" w:eastAsia="Arial" w:hAnsi="Arial"/>
                <w:sz w:val="17"/>
                <w:szCs w:val="17"/>
                <w:b w:val="1"/>
                <w:bCs w:val="1"/>
                <w:color w:val="auto"/>
              </w:rPr>
              <w:t>Male</w:t>
            </w:r>
          </w:p>
        </w:tc>
      </w:tr>
      <w:tr>
        <w:trPr>
          <w:trHeight w:val="282"/>
        </w:trPr>
        <w:tc>
          <w:tcPr>
            <w:tcW w:w="5320" w:type="dxa"/>
            <w:vAlign w:val="bottom"/>
            <w:tcBorders>
              <w:top w:val="single" w:sz="8" w:color="auto"/>
              <w:bottom w:val="single" w:sz="8" w:color="CCCCCC"/>
              <w:right w:val="single" w:sz="8" w:color="CCCCCC"/>
            </w:tcBorders>
            <w:shd w:val="clear" w:color="auto" w:fill="CCCCCC"/>
          </w:tcPr>
          <w:p>
            <w:pPr>
              <w:ind w:left="140"/>
              <w:spacing w:after="0"/>
              <w:rPr>
                <w:sz w:val="20"/>
                <w:szCs w:val="20"/>
                <w:color w:val="auto"/>
              </w:rPr>
            </w:pPr>
            <w:r>
              <w:rPr>
                <w:rFonts w:ascii="Arial" w:cs="Arial" w:eastAsia="Arial" w:hAnsi="Arial"/>
                <w:sz w:val="17"/>
                <w:szCs w:val="17"/>
                <w:b w:val="1"/>
                <w:bCs w:val="1"/>
                <w:color w:val="auto"/>
              </w:rPr>
              <w:t>Part I: Gender Identity</w:t>
            </w:r>
          </w:p>
        </w:tc>
        <w:tc>
          <w:tcPr>
            <w:tcW w:w="920" w:type="dxa"/>
            <w:vAlign w:val="bottom"/>
            <w:tcBorders>
              <w:top w:val="single" w:sz="8" w:color="auto"/>
              <w:bottom w:val="single" w:sz="8" w:color="CCCCCC"/>
            </w:tcBorders>
            <w:shd w:val="clear" w:color="auto" w:fill="CCCCCC"/>
          </w:tcPr>
          <w:p>
            <w:pPr>
              <w:spacing w:after="0"/>
              <w:rPr>
                <w:sz w:val="24"/>
                <w:szCs w:val="24"/>
                <w:color w:val="auto"/>
              </w:rPr>
            </w:pPr>
          </w:p>
        </w:tc>
        <w:tc>
          <w:tcPr>
            <w:tcW w:w="180" w:type="dxa"/>
            <w:vAlign w:val="bottom"/>
            <w:tcBorders>
              <w:top w:val="single" w:sz="8" w:color="auto"/>
              <w:bottom w:val="single" w:sz="8" w:color="CCCCCC"/>
              <w:right w:val="single" w:sz="8" w:color="CCCCCC"/>
            </w:tcBorders>
            <w:shd w:val="clear" w:color="auto" w:fill="CCCCCC"/>
          </w:tcPr>
          <w:p>
            <w:pPr>
              <w:spacing w:after="0"/>
              <w:rPr>
                <w:sz w:val="24"/>
                <w:szCs w:val="24"/>
                <w:color w:val="auto"/>
              </w:rPr>
            </w:pPr>
          </w:p>
        </w:tc>
        <w:tc>
          <w:tcPr>
            <w:tcW w:w="840" w:type="dxa"/>
            <w:vAlign w:val="bottom"/>
            <w:tcBorders>
              <w:top w:val="single" w:sz="8" w:color="auto"/>
              <w:bottom w:val="single" w:sz="8" w:color="CCCCCC"/>
            </w:tcBorders>
            <w:shd w:val="clear" w:color="auto" w:fill="CCCCCC"/>
          </w:tcPr>
          <w:p>
            <w:pPr>
              <w:spacing w:after="0"/>
              <w:rPr>
                <w:sz w:val="24"/>
                <w:szCs w:val="24"/>
                <w:color w:val="auto"/>
              </w:rPr>
            </w:pPr>
          </w:p>
        </w:tc>
      </w:tr>
      <w:tr>
        <w:trPr>
          <w:trHeight w:val="233"/>
        </w:trPr>
        <w:tc>
          <w:tcPr>
            <w:tcW w:w="53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Directors</w:t>
            </w:r>
          </w:p>
        </w:tc>
        <w:tc>
          <w:tcPr>
            <w:tcW w:w="920" w:type="dxa"/>
            <w:vAlign w:val="bottom"/>
            <w:tcBorders>
              <w:top w:val="single" w:sz="8" w:color="auto"/>
            </w:tcBorders>
          </w:tcPr>
          <w:p>
            <w:pPr>
              <w:jc w:val="center"/>
              <w:ind w:left="155"/>
              <w:spacing w:after="0"/>
              <w:rPr>
                <w:sz w:val="20"/>
                <w:szCs w:val="20"/>
                <w:color w:val="auto"/>
              </w:rPr>
            </w:pPr>
            <w:r>
              <w:rPr>
                <w:rFonts w:ascii="Arial" w:cs="Arial" w:eastAsia="Arial" w:hAnsi="Arial"/>
                <w:sz w:val="17"/>
                <w:szCs w:val="17"/>
                <w:color w:val="auto"/>
                <w:w w:val="84"/>
              </w:rPr>
              <w:t>3</w:t>
            </w:r>
          </w:p>
        </w:tc>
        <w:tc>
          <w:tcPr>
            <w:tcW w:w="180" w:type="dxa"/>
            <w:vAlign w:val="bottom"/>
            <w:tcBorders>
              <w:top w:val="single" w:sz="8" w:color="auto"/>
              <w:right w:val="single" w:sz="8" w:color="auto"/>
            </w:tcBorders>
          </w:tcPr>
          <w:p>
            <w:pPr>
              <w:spacing w:after="0"/>
              <w:rPr>
                <w:sz w:val="20"/>
                <w:szCs w:val="20"/>
                <w:color w:val="auto"/>
              </w:rPr>
            </w:pPr>
          </w:p>
        </w:tc>
        <w:tc>
          <w:tcPr>
            <w:tcW w:w="840" w:type="dxa"/>
            <w:vAlign w:val="bottom"/>
            <w:tcBorders>
              <w:top w:val="single" w:sz="8" w:color="auto"/>
            </w:tcBorders>
          </w:tcPr>
          <w:p>
            <w:pPr>
              <w:ind w:left="420"/>
              <w:spacing w:after="0"/>
              <w:rPr>
                <w:sz w:val="20"/>
                <w:szCs w:val="20"/>
                <w:color w:val="auto"/>
              </w:rPr>
            </w:pPr>
            <w:r>
              <w:rPr>
                <w:rFonts w:ascii="Arial" w:cs="Arial" w:eastAsia="Arial" w:hAnsi="Arial"/>
                <w:sz w:val="17"/>
                <w:szCs w:val="17"/>
                <w:color w:val="auto"/>
              </w:rPr>
              <w:t>10</w:t>
            </w:r>
          </w:p>
        </w:tc>
      </w:tr>
      <w:tr>
        <w:trPr>
          <w:trHeight w:val="44"/>
        </w:trPr>
        <w:tc>
          <w:tcPr>
            <w:tcW w:w="532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82"/>
        </w:trPr>
        <w:tc>
          <w:tcPr>
            <w:tcW w:w="5320" w:type="dxa"/>
            <w:vAlign w:val="bottom"/>
            <w:tcBorders>
              <w:bottom w:val="single" w:sz="8" w:color="CCCCCC"/>
              <w:right w:val="single" w:sz="8" w:color="CCCCCC"/>
            </w:tcBorders>
            <w:shd w:val="clear" w:color="auto" w:fill="CCCCCC"/>
          </w:tcPr>
          <w:p>
            <w:pPr>
              <w:ind w:left="140"/>
              <w:spacing w:after="0"/>
              <w:rPr>
                <w:sz w:val="20"/>
                <w:szCs w:val="20"/>
                <w:color w:val="auto"/>
              </w:rPr>
            </w:pPr>
            <w:r>
              <w:rPr>
                <w:rFonts w:ascii="Arial" w:cs="Arial" w:eastAsia="Arial" w:hAnsi="Arial"/>
                <w:sz w:val="17"/>
                <w:szCs w:val="17"/>
                <w:b w:val="1"/>
                <w:bCs w:val="1"/>
                <w:color w:val="auto"/>
              </w:rPr>
              <w:t>Part II: Demographic Background</w:t>
            </w:r>
          </w:p>
        </w:tc>
        <w:tc>
          <w:tcPr>
            <w:tcW w:w="920" w:type="dxa"/>
            <w:vAlign w:val="bottom"/>
            <w:tcBorders>
              <w:bottom w:val="single" w:sz="8" w:color="CCCCCC"/>
            </w:tcBorders>
            <w:shd w:val="clear" w:color="auto" w:fill="CCCCCC"/>
          </w:tcPr>
          <w:p>
            <w:pPr>
              <w:spacing w:after="0"/>
              <w:rPr>
                <w:sz w:val="24"/>
                <w:szCs w:val="24"/>
                <w:color w:val="auto"/>
              </w:rPr>
            </w:pPr>
          </w:p>
        </w:tc>
        <w:tc>
          <w:tcPr>
            <w:tcW w:w="180" w:type="dxa"/>
            <w:vAlign w:val="bottom"/>
            <w:tcBorders>
              <w:bottom w:val="single" w:sz="8" w:color="CCCCCC"/>
              <w:right w:val="single" w:sz="8" w:color="CCCCCC"/>
            </w:tcBorders>
            <w:shd w:val="clear" w:color="auto" w:fill="CCCCCC"/>
          </w:tcPr>
          <w:p>
            <w:pPr>
              <w:spacing w:after="0"/>
              <w:rPr>
                <w:sz w:val="24"/>
                <w:szCs w:val="24"/>
                <w:color w:val="auto"/>
              </w:rPr>
            </w:pPr>
          </w:p>
        </w:tc>
        <w:tc>
          <w:tcPr>
            <w:tcW w:w="840" w:type="dxa"/>
            <w:vAlign w:val="bottom"/>
            <w:tcBorders>
              <w:bottom w:val="single" w:sz="8" w:color="CCCCCC"/>
            </w:tcBorders>
            <w:shd w:val="clear" w:color="auto" w:fill="CCCCCC"/>
          </w:tcPr>
          <w:p>
            <w:pPr>
              <w:spacing w:after="0"/>
              <w:rPr>
                <w:sz w:val="24"/>
                <w:szCs w:val="24"/>
                <w:color w:val="auto"/>
              </w:rPr>
            </w:pPr>
          </w:p>
        </w:tc>
      </w:tr>
      <w:tr>
        <w:trPr>
          <w:trHeight w:val="233"/>
        </w:trPr>
        <w:tc>
          <w:tcPr>
            <w:tcW w:w="53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African American or Black</w:t>
            </w:r>
          </w:p>
        </w:tc>
        <w:tc>
          <w:tcPr>
            <w:tcW w:w="920" w:type="dxa"/>
            <w:vAlign w:val="bottom"/>
            <w:tcBorders>
              <w:top w:val="single" w:sz="8" w:color="auto"/>
            </w:tcBorders>
          </w:tcPr>
          <w:p>
            <w:pPr>
              <w:jc w:val="center"/>
              <w:ind w:left="155"/>
              <w:spacing w:after="0"/>
              <w:rPr>
                <w:sz w:val="20"/>
                <w:szCs w:val="20"/>
                <w:color w:val="auto"/>
              </w:rPr>
            </w:pPr>
            <w:r>
              <w:rPr>
                <w:rFonts w:ascii="Arial" w:cs="Arial" w:eastAsia="Arial" w:hAnsi="Arial"/>
                <w:sz w:val="17"/>
                <w:szCs w:val="17"/>
                <w:color w:val="auto"/>
                <w:w w:val="84"/>
              </w:rPr>
              <w:t>1</w:t>
            </w:r>
          </w:p>
        </w:tc>
        <w:tc>
          <w:tcPr>
            <w:tcW w:w="180" w:type="dxa"/>
            <w:vAlign w:val="bottom"/>
            <w:tcBorders>
              <w:top w:val="single" w:sz="8" w:color="auto"/>
              <w:right w:val="single" w:sz="8" w:color="auto"/>
            </w:tcBorders>
          </w:tcPr>
          <w:p>
            <w:pPr>
              <w:spacing w:after="0"/>
              <w:rPr>
                <w:sz w:val="20"/>
                <w:szCs w:val="20"/>
                <w:color w:val="auto"/>
              </w:rPr>
            </w:pPr>
          </w:p>
        </w:tc>
        <w:tc>
          <w:tcPr>
            <w:tcW w:w="840" w:type="dxa"/>
            <w:vAlign w:val="bottom"/>
            <w:tcBorders>
              <w:top w:val="single" w:sz="8" w:color="auto"/>
            </w:tcBorders>
          </w:tcPr>
          <w:p>
            <w:pPr>
              <w:ind w:left="420"/>
              <w:spacing w:after="0"/>
              <w:rPr>
                <w:sz w:val="20"/>
                <w:szCs w:val="20"/>
                <w:color w:val="auto"/>
              </w:rPr>
            </w:pPr>
            <w:r>
              <w:rPr>
                <w:rFonts w:ascii="Arial" w:cs="Arial" w:eastAsia="Arial" w:hAnsi="Arial"/>
                <w:sz w:val="17"/>
                <w:szCs w:val="17"/>
                <w:color w:val="auto"/>
              </w:rPr>
              <w:t>1</w:t>
            </w:r>
          </w:p>
        </w:tc>
      </w:tr>
      <w:tr>
        <w:trPr>
          <w:trHeight w:val="44"/>
        </w:trPr>
        <w:tc>
          <w:tcPr>
            <w:tcW w:w="532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33"/>
        </w:trPr>
        <w:tc>
          <w:tcPr>
            <w:tcW w:w="532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Asian</w:t>
            </w:r>
          </w:p>
        </w:tc>
        <w:tc>
          <w:tcPr>
            <w:tcW w:w="920" w:type="dxa"/>
            <w:vAlign w:val="bottom"/>
          </w:tcPr>
          <w:p>
            <w:pPr>
              <w:jc w:val="center"/>
              <w:ind w:left="155"/>
              <w:spacing w:after="0"/>
              <w:rPr>
                <w:sz w:val="20"/>
                <w:szCs w:val="20"/>
                <w:color w:val="auto"/>
              </w:rPr>
            </w:pPr>
            <w:r>
              <w:rPr>
                <w:rFonts w:ascii="Arial" w:cs="Arial" w:eastAsia="Arial" w:hAnsi="Arial"/>
                <w:sz w:val="17"/>
                <w:szCs w:val="17"/>
                <w:color w:val="auto"/>
                <w:w w:val="84"/>
              </w:rPr>
              <w:t>–</w:t>
            </w:r>
          </w:p>
        </w:tc>
        <w:tc>
          <w:tcPr>
            <w:tcW w:w="180" w:type="dxa"/>
            <w:vAlign w:val="bottom"/>
            <w:tcBorders>
              <w:right w:val="single" w:sz="8" w:color="auto"/>
            </w:tcBorders>
          </w:tcPr>
          <w:p>
            <w:pPr>
              <w:spacing w:after="0"/>
              <w:rPr>
                <w:sz w:val="20"/>
                <w:szCs w:val="20"/>
                <w:color w:val="auto"/>
              </w:rPr>
            </w:pPr>
          </w:p>
        </w:tc>
        <w:tc>
          <w:tcPr>
            <w:tcW w:w="840" w:type="dxa"/>
            <w:vAlign w:val="bottom"/>
          </w:tcPr>
          <w:p>
            <w:pPr>
              <w:ind w:left="420"/>
              <w:spacing w:after="0"/>
              <w:rPr>
                <w:sz w:val="20"/>
                <w:szCs w:val="20"/>
                <w:color w:val="auto"/>
              </w:rPr>
            </w:pPr>
            <w:r>
              <w:rPr>
                <w:rFonts w:ascii="Arial" w:cs="Arial" w:eastAsia="Arial" w:hAnsi="Arial"/>
                <w:sz w:val="17"/>
                <w:szCs w:val="17"/>
                <w:color w:val="auto"/>
              </w:rPr>
              <w:t>1</w:t>
            </w:r>
          </w:p>
        </w:tc>
      </w:tr>
      <w:tr>
        <w:trPr>
          <w:trHeight w:val="44"/>
        </w:trPr>
        <w:tc>
          <w:tcPr>
            <w:tcW w:w="532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33"/>
        </w:trPr>
        <w:tc>
          <w:tcPr>
            <w:tcW w:w="532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White</w:t>
            </w:r>
          </w:p>
        </w:tc>
        <w:tc>
          <w:tcPr>
            <w:tcW w:w="920" w:type="dxa"/>
            <w:vAlign w:val="bottom"/>
          </w:tcPr>
          <w:p>
            <w:pPr>
              <w:jc w:val="center"/>
              <w:ind w:left="155"/>
              <w:spacing w:after="0"/>
              <w:rPr>
                <w:sz w:val="20"/>
                <w:szCs w:val="20"/>
                <w:color w:val="auto"/>
              </w:rPr>
            </w:pPr>
            <w:r>
              <w:rPr>
                <w:rFonts w:ascii="Arial" w:cs="Arial" w:eastAsia="Arial" w:hAnsi="Arial"/>
                <w:sz w:val="17"/>
                <w:szCs w:val="17"/>
                <w:color w:val="auto"/>
                <w:w w:val="84"/>
              </w:rPr>
              <w:t>2</w:t>
            </w:r>
          </w:p>
        </w:tc>
        <w:tc>
          <w:tcPr>
            <w:tcW w:w="180" w:type="dxa"/>
            <w:vAlign w:val="bottom"/>
            <w:tcBorders>
              <w:right w:val="single" w:sz="8" w:color="auto"/>
            </w:tcBorders>
          </w:tcPr>
          <w:p>
            <w:pPr>
              <w:spacing w:after="0"/>
              <w:rPr>
                <w:sz w:val="20"/>
                <w:szCs w:val="20"/>
                <w:color w:val="auto"/>
              </w:rPr>
            </w:pPr>
          </w:p>
        </w:tc>
        <w:tc>
          <w:tcPr>
            <w:tcW w:w="840" w:type="dxa"/>
            <w:vAlign w:val="bottom"/>
          </w:tcPr>
          <w:p>
            <w:pPr>
              <w:ind w:left="420"/>
              <w:spacing w:after="0"/>
              <w:rPr>
                <w:sz w:val="20"/>
                <w:szCs w:val="20"/>
                <w:color w:val="auto"/>
              </w:rPr>
            </w:pPr>
            <w:r>
              <w:rPr>
                <w:rFonts w:ascii="Arial" w:cs="Arial" w:eastAsia="Arial" w:hAnsi="Arial"/>
                <w:sz w:val="17"/>
                <w:szCs w:val="17"/>
                <w:color w:val="auto"/>
              </w:rPr>
              <w:t>8</w:t>
            </w:r>
          </w:p>
        </w:tc>
      </w:tr>
      <w:tr>
        <w:trPr>
          <w:trHeight w:val="44"/>
        </w:trPr>
        <w:tc>
          <w:tcPr>
            <w:tcW w:w="532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bl>
    <w:p>
      <w:pPr>
        <w:spacing w:after="0" w:line="29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Process for Selecting Directors, Director Qualifications, and 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97"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b w:val="1"/>
          <w:bCs w:val="1"/>
          <w:i w:val="1"/>
          <w:iCs w:val="1"/>
          <w:color w:val="0171B9"/>
        </w:rPr>
        <w:t xml:space="preserve">Board Composition. </w:t>
      </w:r>
      <w:r>
        <w:rPr>
          <w:rFonts w:ascii="Arial" w:cs="Arial" w:eastAsia="Arial" w:hAnsi="Arial"/>
          <w:sz w:val="17"/>
          <w:szCs w:val="17"/>
          <w:color w:val="000000"/>
        </w:rPr>
        <w:t>Board composition is one of the most critical</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areas of focus for the Board. Reflecting our Board’s commitment to refreshment, the Board has appointed eight new directors since 2015.</w:t>
      </w:r>
    </w:p>
    <w:p>
      <w:pPr>
        <w:spacing w:after="0" w:line="87"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Our Governance Committee regularly screens and recommends candidates for nomination by the full Board and, among other things, considers feedback received during the annual Board and committee evaluation process, investor feedback, our qualification guidelines and skills matrix, director commitment levels (with consideration given to public company leadership roles and outside commitments) and diversity. The Governance Committee will consider recommendations for director candidates made by stockholders and evaluate them using the same criteria as for other candidates.</w:t>
      </w:r>
    </w:p>
    <w:p>
      <w:pPr>
        <w:spacing w:after="0" w:line="74"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b w:val="1"/>
          <w:bCs w:val="1"/>
          <w:i w:val="1"/>
          <w:iCs w:val="1"/>
          <w:color w:val="0171B9"/>
        </w:rPr>
        <w:t xml:space="preserve">Director Qualifications and Board Diversity. </w:t>
      </w:r>
      <w:r>
        <w:rPr>
          <w:rFonts w:ascii="Arial" w:cs="Arial" w:eastAsia="Arial" w:hAnsi="Arial"/>
          <w:sz w:val="17"/>
          <w:szCs w:val="17"/>
          <w:color w:val="000000"/>
        </w:rPr>
        <w:t>Our Governance</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Committee is responsible for determining Board membership qualifications and for selecting, evaluating, and recommending to the Board nominees for annual election to the Board and to fill vacancies as they arise. The Governance Committee reviews regularly and reports to the Board on the composition and size of the Board, and makes recommendations, as necessary, so that the Board maintains at least the minimum number of independent directors required by applicable laws and regulations, composition requirements of the Audit and Compensation Committees, and reflects the appropriate balance of knowledge, experience, skills, expertise, and diversity advisable and required by applicable laws and regulations for the Board as a whole.</w:t>
      </w:r>
    </w:p>
    <w:p>
      <w:pPr>
        <w:spacing w:after="0" w:line="97"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The Governance Committee and Board view diversity as a priority, consider diversity in their determinations of director candidates, and seek representation across a range of attributes. In an effort to best support maintaining and expanding the diversity of our Board, our Governance Committee actively seeks diverse candidates, including women and candidates from underrepresented ethnic and racial groups, as part of its search for new directors.</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Governance Committee and Board are committed to gender diversity. In support of this commitment, the Governance Committee and Board currently intend that the next vacancy resulting from a director retirement be filled by a person who meets our Director qualifications and enhances the Board’s gender diversity.</w:t>
      </w:r>
    </w:p>
    <w:p>
      <w:pPr>
        <w:spacing w:after="0" w:line="204"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 xml:space="preserve">The Governance Committee determines and oversees guidelines for selecting nominees to serve on the Board and for considering stockholder recommendations for nominees. The Amgen Inc. Board of Directors Guidelines for Director Qualifications and Evaluations are included in this proxy statement as </w:t>
      </w:r>
      <w:r>
        <w:rPr>
          <w:rFonts w:ascii="Arial" w:cs="Arial" w:eastAsia="Arial" w:hAnsi="Arial"/>
          <w:sz w:val="17"/>
          <w:szCs w:val="17"/>
          <w:b w:val="1"/>
          <w:bCs w:val="1"/>
          <w:color w:val="auto"/>
        </w:rPr>
        <w:t>Appendix A</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3432810" cy="2421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32810" cy="2421255"/>
                    </a:xfrm>
                    <a:prstGeom prst="rect">
                      <a:avLst/>
                    </a:prstGeom>
                    <a:noFill/>
                  </pic:spPr>
                </pic:pic>
              </a:graphicData>
            </a:graphic>
          </wp:anchor>
        </w:drawing>
      </w:r>
    </w:p>
    <w:p>
      <w:pPr>
        <w:spacing w:after="0" w:line="143" w:lineRule="exact"/>
        <w:rPr>
          <w:sz w:val="20"/>
          <w:szCs w:val="20"/>
          <w:color w:val="auto"/>
        </w:rPr>
      </w:pPr>
    </w:p>
    <w:p>
      <w:pPr>
        <w:jc w:val="both"/>
        <w:ind w:left="100" w:right="120"/>
        <w:spacing w:after="0" w:line="238" w:lineRule="auto"/>
        <w:rPr>
          <w:sz w:val="20"/>
          <w:szCs w:val="20"/>
          <w:color w:val="auto"/>
        </w:rPr>
      </w:pPr>
      <w:r>
        <w:rPr>
          <w:rFonts w:ascii="Arial" w:cs="Arial" w:eastAsia="Arial" w:hAnsi="Arial"/>
          <w:sz w:val="17"/>
          <w:szCs w:val="17"/>
          <w:color w:val="auto"/>
        </w:rPr>
        <w:t>Among other things, under the Board of Directors Guidelines for Director Qualifications and Evaluations, each Board member must possess:</w:t>
      </w:r>
    </w:p>
    <w:p>
      <w:pPr>
        <w:spacing w:after="0" w:line="107" w:lineRule="exact"/>
        <w:rPr>
          <w:sz w:val="20"/>
          <w:szCs w:val="20"/>
          <w:color w:val="auto"/>
        </w:rPr>
      </w:pPr>
    </w:p>
    <w:p>
      <w:pPr>
        <w:ind w:left="360" w:right="120" w:hanging="267"/>
        <w:spacing w:after="0" w:line="243" w:lineRule="auto"/>
        <w:tabs>
          <w:tab w:leader="none" w:pos="360" w:val="left"/>
        </w:tabs>
        <w:numPr>
          <w:ilvl w:val="0"/>
          <w:numId w:val="38"/>
        </w:numPr>
        <w:rPr>
          <w:rFonts w:ascii="Arial" w:cs="Arial" w:eastAsia="Arial" w:hAnsi="Arial"/>
          <w:sz w:val="17"/>
          <w:szCs w:val="17"/>
          <w:color w:val="0171B9"/>
        </w:rPr>
      </w:pPr>
      <w:r>
        <w:rPr>
          <w:rFonts w:ascii="Arial" w:cs="Arial" w:eastAsia="Arial" w:hAnsi="Arial"/>
          <w:sz w:val="17"/>
          <w:szCs w:val="17"/>
          <w:color w:val="auto"/>
        </w:rPr>
        <w:t>A demonstrated breadth and depth of management and leadership experience;</w:t>
      </w:r>
    </w:p>
    <w:p>
      <w:pPr>
        <w:spacing w:after="0" w:line="103" w:lineRule="exact"/>
        <w:rPr>
          <w:rFonts w:ascii="Arial" w:cs="Arial" w:eastAsia="Arial" w:hAnsi="Arial"/>
          <w:sz w:val="17"/>
          <w:szCs w:val="17"/>
          <w:color w:val="0171B9"/>
        </w:rPr>
      </w:pPr>
    </w:p>
    <w:p>
      <w:pPr>
        <w:ind w:left="360" w:right="100" w:hanging="267"/>
        <w:spacing w:after="0" w:line="243" w:lineRule="auto"/>
        <w:tabs>
          <w:tab w:leader="none" w:pos="360" w:val="left"/>
        </w:tabs>
        <w:numPr>
          <w:ilvl w:val="0"/>
          <w:numId w:val="38"/>
        </w:numPr>
        <w:rPr>
          <w:rFonts w:ascii="Arial" w:cs="Arial" w:eastAsia="Arial" w:hAnsi="Arial"/>
          <w:sz w:val="17"/>
          <w:szCs w:val="17"/>
          <w:color w:val="0171B9"/>
        </w:rPr>
      </w:pPr>
      <w:r>
        <w:rPr>
          <w:rFonts w:ascii="Arial" w:cs="Arial" w:eastAsia="Arial" w:hAnsi="Arial"/>
          <w:sz w:val="17"/>
          <w:szCs w:val="17"/>
          <w:color w:val="auto"/>
        </w:rPr>
        <w:t>Financial and/or business acumen or relevant industry or scientific experience;</w:t>
      </w:r>
    </w:p>
    <w:p>
      <w:pPr>
        <w:spacing w:after="0" w:line="103" w:lineRule="exact"/>
        <w:rPr>
          <w:rFonts w:ascii="Arial" w:cs="Arial" w:eastAsia="Arial" w:hAnsi="Arial"/>
          <w:sz w:val="17"/>
          <w:szCs w:val="17"/>
          <w:color w:val="0171B9"/>
        </w:rPr>
      </w:pPr>
    </w:p>
    <w:p>
      <w:pPr>
        <w:ind w:left="360" w:hanging="267"/>
        <w:spacing w:after="0"/>
        <w:tabs>
          <w:tab w:leader="none" w:pos="360" w:val="left"/>
        </w:tabs>
        <w:numPr>
          <w:ilvl w:val="0"/>
          <w:numId w:val="38"/>
        </w:numPr>
        <w:rPr>
          <w:rFonts w:ascii="Arial" w:cs="Arial" w:eastAsia="Arial" w:hAnsi="Arial"/>
          <w:sz w:val="17"/>
          <w:szCs w:val="17"/>
          <w:color w:val="0171B9"/>
        </w:rPr>
      </w:pPr>
      <w:r>
        <w:rPr>
          <w:rFonts w:ascii="Arial" w:cs="Arial" w:eastAsia="Arial" w:hAnsi="Arial"/>
          <w:sz w:val="17"/>
          <w:szCs w:val="17"/>
          <w:color w:val="auto"/>
        </w:rPr>
        <w:t>Integrity and high ethical standards;</w:t>
      </w:r>
    </w:p>
    <w:p>
      <w:pPr>
        <w:spacing w:after="0" w:line="115" w:lineRule="exact"/>
        <w:rPr>
          <w:rFonts w:ascii="Arial" w:cs="Arial" w:eastAsia="Arial" w:hAnsi="Arial"/>
          <w:sz w:val="17"/>
          <w:szCs w:val="17"/>
          <w:color w:val="0171B9"/>
        </w:rPr>
      </w:pPr>
    </w:p>
    <w:p>
      <w:pPr>
        <w:ind w:left="360" w:hanging="267"/>
        <w:spacing w:after="0"/>
        <w:tabs>
          <w:tab w:leader="none" w:pos="360" w:val="left"/>
        </w:tabs>
        <w:numPr>
          <w:ilvl w:val="0"/>
          <w:numId w:val="38"/>
        </w:numPr>
        <w:rPr>
          <w:rFonts w:ascii="Arial" w:cs="Arial" w:eastAsia="Arial" w:hAnsi="Arial"/>
          <w:sz w:val="17"/>
          <w:szCs w:val="17"/>
          <w:color w:val="0171B9"/>
        </w:rPr>
      </w:pPr>
      <w:r>
        <w:rPr>
          <w:rFonts w:ascii="Arial" w:cs="Arial" w:eastAsia="Arial" w:hAnsi="Arial"/>
          <w:sz w:val="17"/>
          <w:szCs w:val="17"/>
          <w:color w:val="auto"/>
        </w:rPr>
        <w:t>Sufficient time to devote to the Company’s business;</w:t>
      </w:r>
    </w:p>
    <w:p>
      <w:pPr>
        <w:spacing w:after="0" w:line="115" w:lineRule="exact"/>
        <w:rPr>
          <w:rFonts w:ascii="Arial" w:cs="Arial" w:eastAsia="Arial" w:hAnsi="Arial"/>
          <w:sz w:val="17"/>
          <w:szCs w:val="17"/>
          <w:color w:val="0171B9"/>
        </w:rPr>
      </w:pPr>
    </w:p>
    <w:p>
      <w:pPr>
        <w:ind w:left="360" w:right="120" w:hanging="267"/>
        <w:spacing w:after="0" w:line="243" w:lineRule="auto"/>
        <w:tabs>
          <w:tab w:leader="none" w:pos="360" w:val="left"/>
        </w:tabs>
        <w:numPr>
          <w:ilvl w:val="0"/>
          <w:numId w:val="38"/>
        </w:numPr>
        <w:rPr>
          <w:rFonts w:ascii="Arial" w:cs="Arial" w:eastAsia="Arial" w:hAnsi="Arial"/>
          <w:sz w:val="17"/>
          <w:szCs w:val="17"/>
          <w:color w:val="0171B9"/>
        </w:rPr>
      </w:pPr>
      <w:r>
        <w:rPr>
          <w:rFonts w:ascii="Arial" w:cs="Arial" w:eastAsia="Arial" w:hAnsi="Arial"/>
          <w:sz w:val="17"/>
          <w:szCs w:val="17"/>
          <w:color w:val="auto"/>
        </w:rPr>
        <w:t>The ability to oversee, as a director, the Company’s business and affairs for the benefit of our stockholders;</w:t>
      </w:r>
    </w:p>
    <w:p>
      <w:pPr>
        <w:spacing w:after="0" w:line="103" w:lineRule="exact"/>
        <w:rPr>
          <w:rFonts w:ascii="Arial" w:cs="Arial" w:eastAsia="Arial" w:hAnsi="Arial"/>
          <w:sz w:val="17"/>
          <w:szCs w:val="17"/>
          <w:color w:val="0171B9"/>
        </w:rPr>
      </w:pPr>
    </w:p>
    <w:p>
      <w:pPr>
        <w:ind w:left="360" w:right="120" w:hanging="267"/>
        <w:spacing w:after="0" w:line="243" w:lineRule="auto"/>
        <w:tabs>
          <w:tab w:leader="none" w:pos="360" w:val="left"/>
        </w:tabs>
        <w:numPr>
          <w:ilvl w:val="0"/>
          <w:numId w:val="38"/>
        </w:numPr>
        <w:rPr>
          <w:rFonts w:ascii="Arial" w:cs="Arial" w:eastAsia="Arial" w:hAnsi="Arial"/>
          <w:sz w:val="17"/>
          <w:szCs w:val="17"/>
          <w:color w:val="0171B9"/>
        </w:rPr>
      </w:pPr>
      <w:r>
        <w:rPr>
          <w:rFonts w:ascii="Arial" w:cs="Arial" w:eastAsia="Arial" w:hAnsi="Arial"/>
          <w:sz w:val="17"/>
          <w:szCs w:val="17"/>
          <w:color w:val="auto"/>
        </w:rPr>
        <w:t>The ability to comply with the Amgen Board of Directors’ Code of Conduct; and</w:t>
      </w:r>
    </w:p>
    <w:p>
      <w:pPr>
        <w:spacing w:after="0" w:line="103" w:lineRule="exact"/>
        <w:rPr>
          <w:rFonts w:ascii="Arial" w:cs="Arial" w:eastAsia="Arial" w:hAnsi="Arial"/>
          <w:sz w:val="17"/>
          <w:szCs w:val="17"/>
          <w:color w:val="0171B9"/>
        </w:rPr>
      </w:pPr>
    </w:p>
    <w:p>
      <w:pPr>
        <w:ind w:left="360" w:right="120" w:hanging="267"/>
        <w:spacing w:after="0" w:line="243" w:lineRule="auto"/>
        <w:tabs>
          <w:tab w:leader="none" w:pos="360" w:val="left"/>
        </w:tabs>
        <w:numPr>
          <w:ilvl w:val="0"/>
          <w:numId w:val="38"/>
        </w:numPr>
        <w:rPr>
          <w:rFonts w:ascii="Arial" w:cs="Arial" w:eastAsia="Arial" w:hAnsi="Arial"/>
          <w:sz w:val="17"/>
          <w:szCs w:val="17"/>
          <w:color w:val="0171B9"/>
        </w:rPr>
      </w:pPr>
      <w:r>
        <w:rPr>
          <w:rFonts w:ascii="Arial" w:cs="Arial" w:eastAsia="Arial" w:hAnsi="Arial"/>
          <w:sz w:val="17"/>
          <w:szCs w:val="17"/>
          <w:color w:val="auto"/>
        </w:rPr>
        <w:t>A demonstrated ability to think independently and work collaboratively.</w:t>
      </w:r>
    </w:p>
    <w:p>
      <w:pPr>
        <w:spacing w:after="0" w:line="598"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359" w:lineRule="exact"/>
        <w:rPr>
          <w:sz w:val="20"/>
          <w:szCs w:val="20"/>
          <w:color w:val="auto"/>
        </w:r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ind w:left="872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Continuous Board Refreshment</w:t>
      </w:r>
    </w:p>
    <w:p>
      <w:pPr>
        <w:spacing w:after="0" w:line="115"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Our Board is committed to strong refreshment practices to continuously align the composition of the Board and its leadership structure with our long-term strategic needs. The Board, led by the Governance Committee, has an ongoing process for identifying, evaluating, and selecting directors, and these decisions are also informed by the annual Board and committee evaluation process described below. Our Governance Committee uses a variety of methods to help identify potential Board candidates and considers an assessment of current Board skills, background, diversity, independence, experience, tenure, and anticipated retirements to identify gaps that may need to be filled through the Board refreshment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149225</wp:posOffset>
            </wp:positionV>
            <wp:extent cx="7029450" cy="33858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29450"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Director Education</w:t>
      </w:r>
    </w:p>
    <w:p>
      <w:pPr>
        <w:spacing w:after="0" w:line="115"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Our Board believes that director education is important to the ability of directors to fulfill their roles and supports Board members in their continuous learning. The Board encourages directors to participate in continuing education programs, and we reimburse directors for their expenses associated with this participation. During Board and committee meetings, as well as sessions to discuss strategy, education and information sessions are provided on specific subjects by internal and external experts. New directors also participate in our director orientation program. Additionally, at the director’s discretion, directors may attend any committee meetings, including those committees for which he or she is not a member, and has access to all committee materials.</w:t>
      </w:r>
    </w:p>
    <w:p>
      <w:pPr>
        <w:spacing w:after="0" w:line="123"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26</w:t>
      </w:r>
      <w:r>
        <w:rPr>
          <w:sz w:val="20"/>
          <w:szCs w:val="20"/>
          <w:color w:val="auto"/>
        </w:rPr>
        <w:tab/>
      </w:r>
      <w:r>
        <w:rPr>
          <w:sz w:val="1"/>
          <w:szCs w:val="1"/>
          <w:color w:val="auto"/>
        </w:rPr>
        <w:drawing>
          <wp:inline distT="0" distB="0" distL="0" distR="0">
            <wp:extent cx="582930" cy="13716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Regular Board and Committee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317"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Board and committee evaluations play a critical role in supporting the effective functioning of our Board. Through evaluations, our directors review where they believe our Board functions effectively and,</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importantly, areas where our Board thinks there may be opportunities for improvement, including through Board refreshment.</w:t>
      </w:r>
    </w:p>
    <w:p>
      <w:pPr>
        <w:spacing w:after="0" w:line="385"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0171B9"/>
        </w:rPr>
        <w:t>Annual Board and Committee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170180</wp:posOffset>
            </wp:positionV>
            <wp:extent cx="7029450" cy="47663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29450" cy="476631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b w:val="1"/>
          <w:bCs w:val="1"/>
          <w:i w:val="1"/>
          <w:iCs w:val="1"/>
          <w:color w:val="0171B9"/>
        </w:rPr>
        <w:t xml:space="preserve">Evaluation Results. </w:t>
      </w:r>
      <w:r>
        <w:rPr>
          <w:rFonts w:ascii="Arial" w:cs="Arial" w:eastAsia="Arial" w:hAnsi="Arial"/>
          <w:sz w:val="17"/>
          <w:szCs w:val="17"/>
          <w:color w:val="000000"/>
        </w:rPr>
        <w:t>The Audit, Compensation, Compliance, and</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Governance Committees each completed their committee evaluations and assessments in October 2022 and such evaluations were included as part of the total evaluation by the Governance Committee in December 2022. The Board completed its evaluation in December 2022. Each committee and the Board was considered to be operating effectively, with appropriate balance among governance, oversight, strategic, and operational matters, and each committee and the Board was satisfied with its performance.</w:t>
      </w:r>
    </w:p>
    <w:p>
      <w:pPr>
        <w:spacing w:after="0" w:line="79" w:lineRule="exact"/>
        <w:rPr>
          <w:sz w:val="20"/>
          <w:szCs w:val="20"/>
          <w:color w:val="auto"/>
        </w:rPr>
      </w:pPr>
    </w:p>
    <w:p>
      <w:pPr>
        <w:jc w:val="both"/>
        <w:ind w:left="120"/>
        <w:spacing w:after="0" w:line="253" w:lineRule="auto"/>
        <w:rPr>
          <w:sz w:val="20"/>
          <w:szCs w:val="20"/>
          <w:color w:val="auto"/>
        </w:rPr>
      </w:pPr>
      <w:r>
        <w:rPr>
          <w:rFonts w:ascii="Arial" w:cs="Arial" w:eastAsia="Arial" w:hAnsi="Arial"/>
          <w:sz w:val="17"/>
          <w:szCs w:val="17"/>
          <w:b w:val="1"/>
          <w:bCs w:val="1"/>
          <w:i w:val="1"/>
          <w:iCs w:val="1"/>
          <w:color w:val="0171B9"/>
        </w:rPr>
        <w:t xml:space="preserve">Ongoing Feedback. </w:t>
      </w:r>
      <w:r>
        <w:rPr>
          <w:rFonts w:ascii="Arial" w:cs="Arial" w:eastAsia="Arial" w:hAnsi="Arial"/>
          <w:sz w:val="17"/>
          <w:szCs w:val="17"/>
          <w:color w:val="000000"/>
        </w:rPr>
        <w:t>Our directors provide real-time feedback</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throughout the year outside of the formal evaluation process and have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open access to management and third-party advisors. Additionally, executive sessions of directors (without management) are scheduled for every regular Board and committee meeting to identify any issues and assess whether meeting objectives were satisfied.</w:t>
      </w:r>
    </w:p>
    <w:p>
      <w:pPr>
        <w:spacing w:after="0" w:line="7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i w:val="1"/>
          <w:iCs w:val="1"/>
          <w:color w:val="0171B9"/>
        </w:rPr>
        <w:t xml:space="preserve">Changes Implemented. </w:t>
      </w:r>
      <w:r>
        <w:rPr>
          <w:rFonts w:ascii="Arial" w:cs="Arial" w:eastAsia="Arial" w:hAnsi="Arial"/>
          <w:sz w:val="17"/>
          <w:szCs w:val="17"/>
          <w:color w:val="000000"/>
        </w:rPr>
        <w:t>Based on the annual Board and committee</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evaluation process, ongoing feedback provided by directors, and one-on-one discussions between our lead independent director and each independent director, changes to Board practices have included enhancements to our committee structure and composition, additional presentations on various topics, and the addition of new directors.</w:t>
      </w:r>
    </w:p>
    <w:p>
      <w:pPr>
        <w:spacing w:after="0" w:line="389"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261" w:lineRule="exact"/>
        <w:rPr>
          <w:sz w:val="20"/>
          <w:szCs w:val="20"/>
          <w:color w:val="auto"/>
        </w:r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jc w:val="right"/>
        <w:ind w:right="6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p>
      <w:pPr>
        <w:spacing w:after="0" w:line="317"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At least annually, the Governance Committee reviews the independence of each non-employee director and makes recommendations to the Board and the Board affirmatively determines whether each director qualifies as independent. Each director must keep the Governance Committee fully and promptly informed as to any development that may affect the director’s independence.</w:t>
      </w:r>
    </w:p>
    <w:p>
      <w:pPr>
        <w:spacing w:after="0" w:line="97"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The Board has determined that each of our non-employee directors: Wanda M. Austin; Michael V. Drake; Brian J. Druker; Robert A. Eckert; Greg C. Garland; Charles M. Holley, Jr.; S. Omar Ishrak; Tyler Jacks; Ellen J. Kullman; Amy E. Miles; Ronald D. Sugar; and R. Sanders Williams was independent during 2022 under The NASDAQ Stock Market listing standards and the requirements of the SEC. Mr. Bradway is not independent based on his service as our CEO and President. Mr. Bradway is the only director who also serves in a management capacity. In making its independence determinations, the Board reviewed direct and indirect transactions and relationships between each director or any member of his or her immediate family, and us or any of our subsidiaries or affiliates based on information provided by the director, our records, and/or publicly available information.</w:t>
      </w:r>
    </w:p>
    <w:p>
      <w:pPr>
        <w:spacing w:after="0" w:line="97" w:lineRule="exact"/>
        <w:rPr>
          <w:sz w:val="20"/>
          <w:szCs w:val="20"/>
          <w:color w:val="auto"/>
        </w:rPr>
      </w:pPr>
    </w:p>
    <w:p>
      <w:pPr>
        <w:jc w:val="both"/>
        <w:ind w:left="120"/>
        <w:spacing w:after="0" w:line="232" w:lineRule="auto"/>
        <w:rPr>
          <w:sz w:val="20"/>
          <w:szCs w:val="20"/>
          <w:color w:val="auto"/>
        </w:rPr>
      </w:pPr>
      <w:r>
        <w:rPr>
          <w:rFonts w:ascii="Arial" w:cs="Arial" w:eastAsia="Arial" w:hAnsi="Arial"/>
          <w:sz w:val="17"/>
          <w:szCs w:val="17"/>
          <w:color w:val="auto"/>
        </w:rPr>
        <w:t>All of the reviewed transactions and arrangements were entered into in the ordinary course of business and none of the business transactions, donations, or grants involved an amount that</w:t>
      </w:r>
    </w:p>
    <w:p>
      <w:pPr>
        <w:jc w:val="both"/>
        <w:ind w:left="120" w:hanging="4"/>
        <w:spacing w:after="0" w:line="232" w:lineRule="auto"/>
        <w:tabs>
          <w:tab w:leader="none" w:pos="345"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exceeded the greater of 5% of the recipient entity’s revenues or $200,000 with respect to transactions where a director or any member of his or her immediate family or spouse served as an employee, officer, partner, director, or controlling shareholder, or</w:t>
      </w:r>
    </w:p>
    <w:p>
      <w:pPr>
        <w:jc w:val="both"/>
        <w:ind w:left="120" w:hanging="4"/>
        <w:spacing w:after="0" w:line="238" w:lineRule="auto"/>
        <w:tabs>
          <w:tab w:leader="none" w:pos="4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exceeded $10,000 with respect to professional or consulting services provided by entities at which directors serve as professors or employees.</w:t>
      </w:r>
    </w:p>
    <w:p>
      <w:pPr>
        <w:spacing w:after="0" w:line="93"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The following types and categories of transactions, relationships, and arrangements were considered by our Board in making its independence determinations:</w:t>
      </w:r>
    </w:p>
    <w:p>
      <w:pPr>
        <w:spacing w:after="0" w:line="107" w:lineRule="exact"/>
        <w:rPr>
          <w:sz w:val="20"/>
          <w:szCs w:val="20"/>
          <w:color w:val="auto"/>
        </w:rPr>
      </w:pPr>
    </w:p>
    <w:p>
      <w:pPr>
        <w:jc w:val="both"/>
        <w:ind w:left="380" w:hanging="264"/>
        <w:spacing w:after="0" w:line="236" w:lineRule="auto"/>
        <w:tabs>
          <w:tab w:leader="none" w:pos="380" w:val="left"/>
        </w:tabs>
        <w:numPr>
          <w:ilvl w:val="0"/>
          <w:numId w:val="40"/>
        </w:numPr>
        <w:rPr>
          <w:rFonts w:ascii="Arial" w:cs="Arial" w:eastAsia="Arial" w:hAnsi="Arial"/>
          <w:sz w:val="17"/>
          <w:szCs w:val="17"/>
          <w:color w:val="0171B9"/>
        </w:rPr>
      </w:pPr>
      <w:r>
        <w:rPr>
          <w:rFonts w:ascii="Arial" w:cs="Arial" w:eastAsia="Arial" w:hAnsi="Arial"/>
          <w:sz w:val="17"/>
          <w:szCs w:val="17"/>
          <w:color w:val="auto"/>
        </w:rPr>
        <w:t>Each of the independent directors (or their immediate family members) currently serves or has previously served within the last three years as a professor, trustee, director, or member of a board,</w:t>
      </w:r>
    </w:p>
    <w:p>
      <w:pPr>
        <w:spacing w:after="0" w:line="273"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28</w:t>
      </w:r>
      <w:r>
        <w:rPr>
          <w:sz w:val="20"/>
          <w:szCs w:val="20"/>
          <w:color w:val="auto"/>
        </w:rPr>
        <w:tab/>
      </w:r>
      <w:r>
        <w:rPr>
          <w:sz w:val="1"/>
          <w:szCs w:val="1"/>
          <w:color w:val="auto"/>
        </w:rPr>
        <w:drawing>
          <wp:inline distT="0" distB="0" distL="0" distR="0">
            <wp:extent cx="582930" cy="1371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both"/>
        <w:ind w:left="266"/>
        <w:spacing w:after="0" w:line="235" w:lineRule="auto"/>
        <w:rPr>
          <w:sz w:val="20"/>
          <w:szCs w:val="20"/>
          <w:color w:val="auto"/>
        </w:rPr>
      </w:pPr>
      <w:r>
        <w:rPr>
          <w:rFonts w:ascii="Arial" w:cs="Arial" w:eastAsia="Arial" w:hAnsi="Arial"/>
          <w:sz w:val="17"/>
          <w:szCs w:val="17"/>
          <w:color w:val="auto"/>
        </w:rPr>
        <w:t>advisory board, council, or committee for one or more colleges, universities, or non-profit charitable organizations, including research or scientific institutions, to which the Amgen Foundation has made grants or matching donations under the Amgen matching gift program that is available to all of our employees and directors.</w:t>
      </w:r>
    </w:p>
    <w:p>
      <w:pPr>
        <w:spacing w:after="0" w:line="109" w:lineRule="exact"/>
        <w:rPr>
          <w:sz w:val="20"/>
          <w:szCs w:val="20"/>
          <w:color w:val="auto"/>
        </w:rPr>
      </w:pPr>
    </w:p>
    <w:p>
      <w:pPr>
        <w:jc w:val="both"/>
        <w:ind w:left="266" w:hanging="266"/>
        <w:spacing w:after="0" w:line="233" w:lineRule="auto"/>
        <w:tabs>
          <w:tab w:leader="none" w:pos="266" w:val="left"/>
        </w:tabs>
        <w:numPr>
          <w:ilvl w:val="0"/>
          <w:numId w:val="41"/>
        </w:numPr>
        <w:rPr>
          <w:rFonts w:ascii="Arial" w:cs="Arial" w:eastAsia="Arial" w:hAnsi="Arial"/>
          <w:sz w:val="17"/>
          <w:szCs w:val="17"/>
          <w:color w:val="0171B9"/>
        </w:rPr>
      </w:pPr>
      <w:r>
        <w:rPr>
          <w:rFonts w:ascii="Arial" w:cs="Arial" w:eastAsia="Arial" w:hAnsi="Arial"/>
          <w:sz w:val="17"/>
          <w:szCs w:val="17"/>
          <w:color w:val="auto"/>
        </w:rPr>
        <w:t>Each of the independent directors (or their immediate family members) currently serves, or has previously served within the last three years, as a member of the board of directors, the board of trustees, or an advisory board for an entity with which Amgen has business transactions or to which Amgen or the Amgen Foundation makes donations or grants. These business transactions include, among other things, purchasing supplies, equipment, and software licenses, payment of fees or memberships, and expenses relating to repair and maintenance, clinical trials, research and development and training, sponsorship of healthcare programs, internship programs, and conferences, financial advisory, investment management, investment advisory and consulting services, and reimbursement of business-related expenses incurred by our staff members (such as for transportation, gas, and food purchases).</w:t>
      </w:r>
    </w:p>
    <w:p>
      <w:pPr>
        <w:spacing w:after="0" w:line="110" w:lineRule="exact"/>
        <w:rPr>
          <w:rFonts w:ascii="Arial" w:cs="Arial" w:eastAsia="Arial" w:hAnsi="Arial"/>
          <w:sz w:val="17"/>
          <w:szCs w:val="17"/>
          <w:color w:val="0171B9"/>
        </w:rPr>
      </w:pPr>
    </w:p>
    <w:p>
      <w:pPr>
        <w:jc w:val="both"/>
        <w:ind w:left="266" w:hanging="266"/>
        <w:spacing w:after="0" w:line="234" w:lineRule="auto"/>
        <w:tabs>
          <w:tab w:leader="none" w:pos="266" w:val="left"/>
        </w:tabs>
        <w:numPr>
          <w:ilvl w:val="0"/>
          <w:numId w:val="41"/>
        </w:numPr>
        <w:rPr>
          <w:rFonts w:ascii="Arial" w:cs="Arial" w:eastAsia="Arial" w:hAnsi="Arial"/>
          <w:sz w:val="17"/>
          <w:szCs w:val="17"/>
          <w:color w:val="0171B9"/>
        </w:rPr>
      </w:pPr>
      <w:r>
        <w:rPr>
          <w:rFonts w:ascii="Arial" w:cs="Arial" w:eastAsia="Arial" w:hAnsi="Arial"/>
          <w:sz w:val="17"/>
          <w:szCs w:val="17"/>
          <w:color w:val="auto"/>
        </w:rPr>
        <w:t>Wanda M. Austin, Brian J. Druker, Tyler Jacks, and R. Sanders Williams currently serve as professors for universities, and Michael V. Drake currently serves as the President of the University of California, to which Amgen has made payments for certain business transactions such as symposiums, conferences and exhibits, postdoctoral research programs, clinical trials, training and research and development, software licenses and maintenance, as well as for grants from the Amgen Foundation.</w:t>
      </w:r>
    </w:p>
    <w:p>
      <w:pPr>
        <w:spacing w:after="0" w:line="95" w:lineRule="exact"/>
        <w:rPr>
          <w:sz w:val="20"/>
          <w:szCs w:val="20"/>
          <w:color w:val="auto"/>
        </w:rPr>
      </w:pPr>
    </w:p>
    <w:p>
      <w:pPr>
        <w:jc w:val="both"/>
        <w:ind w:left="6"/>
        <w:spacing w:after="0" w:line="235" w:lineRule="auto"/>
        <w:rPr>
          <w:sz w:val="20"/>
          <w:szCs w:val="20"/>
          <w:color w:val="auto"/>
        </w:rPr>
      </w:pPr>
      <w:r>
        <w:rPr>
          <w:rFonts w:ascii="Arial" w:cs="Arial" w:eastAsia="Arial" w:hAnsi="Arial"/>
          <w:sz w:val="17"/>
          <w:szCs w:val="17"/>
          <w:color w:val="auto"/>
        </w:rPr>
        <w:t>None of the directors, directly or indirectly, provides any professional or consulting services to us and none of the directors currently has or has had any direct or indirect material interest in any of the above transactions and arrangements. The Board determined that these transactions and arrangements did not warrant a determination that any of our directors were not independent.</w:t>
      </w:r>
    </w:p>
    <w:p>
      <w:pPr>
        <w:sectPr>
          <w:pgSz w:w="11900" w:h="16838" w:orient="portrait"/>
          <w:cols w:equalWidth="0" w:num="2">
            <w:col w:w="5400" w:space="334"/>
            <w:col w:w="5386"/>
          </w:cols>
          <w:pgMar w:left="320" w:top="486" w:right="4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ind w:left="872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pacing w:after="0" w:line="343" w:lineRule="exact"/>
        <w:rPr>
          <w:sz w:val="20"/>
          <w:szCs w:val="20"/>
          <w:color w:val="auto"/>
        </w:rPr>
      </w:pPr>
    </w:p>
    <w:p>
      <w:pPr>
        <w:ind w:left="120" w:right="900"/>
        <w:spacing w:after="0" w:line="288" w:lineRule="auto"/>
        <w:rPr>
          <w:sz w:val="20"/>
          <w:szCs w:val="20"/>
          <w:color w:val="auto"/>
        </w:rPr>
      </w:pPr>
      <w:r>
        <w:rPr>
          <w:rFonts w:ascii="Arial" w:cs="Arial" w:eastAsia="Arial" w:hAnsi="Arial"/>
          <w:sz w:val="25"/>
          <w:szCs w:val="25"/>
          <w:b w:val="1"/>
          <w:bCs w:val="1"/>
          <w:color w:val="0171B9"/>
        </w:rPr>
        <w:t>Governance Committee Processes and Procedures for Considering and Determining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5440" w:type="dxa"/>
            <w:vAlign w:val="bottom"/>
            <w:gridSpan w:val="2"/>
          </w:tcPr>
          <w:p>
            <w:pPr>
              <w:jc w:val="right"/>
              <w:ind w:right="75"/>
              <w:spacing w:after="0"/>
              <w:rPr>
                <w:sz w:val="20"/>
                <w:szCs w:val="20"/>
                <w:color w:val="auto"/>
              </w:rPr>
            </w:pPr>
            <w:r>
              <w:rPr>
                <w:rFonts w:ascii="Arial" w:cs="Arial" w:eastAsia="Arial" w:hAnsi="Arial"/>
                <w:sz w:val="17"/>
                <w:szCs w:val="17"/>
                <w:color w:val="auto"/>
              </w:rPr>
              <w:t>The Governance Committee has the authority to evaluate and make</w:t>
            </w:r>
          </w:p>
        </w:tc>
        <w:tc>
          <w:tcPr>
            <w:tcW w:w="5560" w:type="dxa"/>
            <w:vAlign w:val="bottom"/>
            <w:gridSpan w:val="6"/>
          </w:tcPr>
          <w:p>
            <w:pPr>
              <w:jc w:val="right"/>
              <w:spacing w:after="0"/>
              <w:rPr>
                <w:sz w:val="20"/>
                <w:szCs w:val="20"/>
                <w:color w:val="auto"/>
              </w:rPr>
            </w:pPr>
            <w:r>
              <w:rPr>
                <w:rFonts w:ascii="Arial" w:cs="Arial" w:eastAsia="Arial" w:hAnsi="Arial"/>
                <w:sz w:val="17"/>
                <w:szCs w:val="17"/>
                <w:color w:val="0171B9"/>
              </w:rPr>
              <w:t xml:space="preserve">•  </w:t>
            </w:r>
            <w:r>
              <w:rPr>
                <w:rFonts w:ascii="Arial" w:cs="Arial" w:eastAsia="Arial" w:hAnsi="Arial"/>
                <w:sz w:val="17"/>
                <w:szCs w:val="17"/>
                <w:color w:val="000000"/>
              </w:rPr>
              <w:t>Based on the analysis provided by Frederic W. Cook and Co., or</w:t>
            </w:r>
          </w:p>
        </w:tc>
        <w:tc>
          <w:tcPr>
            <w:tcW w:w="0" w:type="dxa"/>
            <w:vAlign w:val="bottom"/>
          </w:tcPr>
          <w:p>
            <w:pPr>
              <w:spacing w:after="0"/>
              <w:rPr>
                <w:sz w:val="1"/>
                <w:szCs w:val="1"/>
                <w:color w:val="auto"/>
              </w:rPr>
            </w:pPr>
          </w:p>
        </w:tc>
      </w:tr>
      <w:tr>
        <w:trPr>
          <w:trHeight w:val="189"/>
        </w:trPr>
        <w:tc>
          <w:tcPr>
            <w:tcW w:w="4980" w:type="dxa"/>
            <w:vAlign w:val="bottom"/>
          </w:tcPr>
          <w:p>
            <w:pPr>
              <w:jc w:val="right"/>
              <w:ind w:right="15"/>
              <w:spacing w:after="0" w:line="189" w:lineRule="exact"/>
              <w:rPr>
                <w:sz w:val="20"/>
                <w:szCs w:val="20"/>
                <w:color w:val="auto"/>
              </w:rPr>
            </w:pPr>
            <w:r>
              <w:rPr>
                <w:rFonts w:ascii="Arial" w:cs="Arial" w:eastAsia="Arial" w:hAnsi="Arial"/>
                <w:sz w:val="17"/>
                <w:szCs w:val="17"/>
                <w:color w:val="auto"/>
                <w:w w:val="99"/>
              </w:rPr>
              <w:t>recommendations to our Board regarding director compensation.</w:t>
            </w:r>
          </w:p>
        </w:tc>
        <w:tc>
          <w:tcPr>
            <w:tcW w:w="460" w:type="dxa"/>
            <w:vAlign w:val="bottom"/>
          </w:tcPr>
          <w:p>
            <w:pPr>
              <w:spacing w:after="0"/>
              <w:rPr>
                <w:sz w:val="16"/>
                <w:szCs w:val="16"/>
                <w:color w:val="auto"/>
              </w:rPr>
            </w:pPr>
          </w:p>
        </w:tc>
        <w:tc>
          <w:tcPr>
            <w:tcW w:w="5560" w:type="dxa"/>
            <w:vAlign w:val="bottom"/>
            <w:gridSpan w:val="6"/>
          </w:tcPr>
          <w:p>
            <w:pPr>
              <w:ind w:left="440"/>
              <w:spacing w:after="0" w:line="189" w:lineRule="exact"/>
              <w:rPr>
                <w:sz w:val="20"/>
                <w:szCs w:val="20"/>
                <w:color w:val="auto"/>
              </w:rPr>
            </w:pPr>
            <w:r>
              <w:rPr>
                <w:rFonts w:ascii="Arial" w:cs="Arial" w:eastAsia="Arial" w:hAnsi="Arial"/>
                <w:sz w:val="17"/>
                <w:szCs w:val="17"/>
                <w:color w:val="auto"/>
              </w:rPr>
              <w:t>FW  Cook,  as  consultant  to  the  Governance  Committee,  the</w:t>
            </w:r>
          </w:p>
        </w:tc>
        <w:tc>
          <w:tcPr>
            <w:tcW w:w="0" w:type="dxa"/>
            <w:vAlign w:val="bottom"/>
          </w:tcPr>
          <w:p>
            <w:pPr>
              <w:spacing w:after="0"/>
              <w:rPr>
                <w:sz w:val="1"/>
                <w:szCs w:val="1"/>
                <w:color w:val="auto"/>
              </w:rPr>
            </w:pPr>
          </w:p>
        </w:tc>
      </w:tr>
      <w:tr>
        <w:trPr>
          <w:trHeight w:val="189"/>
        </w:trPr>
        <w:tc>
          <w:tcPr>
            <w:tcW w:w="5440" w:type="dxa"/>
            <w:vAlign w:val="bottom"/>
            <w:gridSpan w:val="2"/>
            <w:vMerge w:val="restart"/>
          </w:tcPr>
          <w:p>
            <w:pPr>
              <w:jc w:val="right"/>
              <w:ind w:right="95"/>
              <w:spacing w:after="0"/>
              <w:rPr>
                <w:sz w:val="20"/>
                <w:szCs w:val="20"/>
                <w:color w:val="auto"/>
              </w:rPr>
            </w:pPr>
            <w:r>
              <w:rPr>
                <w:rFonts w:ascii="Arial" w:cs="Arial" w:eastAsia="Arial" w:hAnsi="Arial"/>
                <w:sz w:val="17"/>
                <w:szCs w:val="17"/>
                <w:color w:val="0171B9"/>
              </w:rPr>
              <w:t xml:space="preserve">•  </w:t>
            </w:r>
            <w:r>
              <w:rPr>
                <w:rFonts w:ascii="Arial" w:cs="Arial" w:eastAsia="Arial" w:hAnsi="Arial"/>
                <w:sz w:val="17"/>
                <w:szCs w:val="17"/>
                <w:color w:val="000000"/>
              </w:rPr>
              <w:t>The Governance Committee conducts this evaluation periodically</w:t>
            </w:r>
          </w:p>
        </w:tc>
        <w:tc>
          <w:tcPr>
            <w:tcW w:w="1540" w:type="dxa"/>
            <w:vAlign w:val="bottom"/>
          </w:tcPr>
          <w:p>
            <w:pPr>
              <w:ind w:left="440"/>
              <w:spacing w:after="0" w:line="189" w:lineRule="exact"/>
              <w:rPr>
                <w:sz w:val="20"/>
                <w:szCs w:val="20"/>
                <w:color w:val="auto"/>
              </w:rPr>
            </w:pPr>
            <w:r>
              <w:rPr>
                <w:rFonts w:ascii="Arial" w:cs="Arial" w:eastAsia="Arial" w:hAnsi="Arial"/>
                <w:sz w:val="17"/>
                <w:szCs w:val="17"/>
                <w:color w:val="auto"/>
              </w:rPr>
              <w:t>Governance</w:t>
            </w:r>
          </w:p>
        </w:tc>
        <w:tc>
          <w:tcPr>
            <w:tcW w:w="1120" w:type="dxa"/>
            <w:vAlign w:val="bottom"/>
          </w:tcPr>
          <w:p>
            <w:pPr>
              <w:ind w:left="80"/>
              <w:spacing w:after="0" w:line="189" w:lineRule="exact"/>
              <w:rPr>
                <w:sz w:val="20"/>
                <w:szCs w:val="20"/>
                <w:color w:val="auto"/>
              </w:rPr>
            </w:pPr>
            <w:r>
              <w:rPr>
                <w:rFonts w:ascii="Arial" w:cs="Arial" w:eastAsia="Arial" w:hAnsi="Arial"/>
                <w:sz w:val="17"/>
                <w:szCs w:val="17"/>
                <w:color w:val="auto"/>
              </w:rPr>
              <w:t>Committee</w:t>
            </w:r>
          </w:p>
        </w:tc>
        <w:tc>
          <w:tcPr>
            <w:tcW w:w="192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approved   changes</w:t>
            </w:r>
          </w:p>
        </w:tc>
        <w:tc>
          <w:tcPr>
            <w:tcW w:w="160" w:type="dxa"/>
            <w:vAlign w:val="bottom"/>
          </w:tcPr>
          <w:p>
            <w:pPr>
              <w:spacing w:after="0" w:line="189" w:lineRule="exact"/>
              <w:rPr>
                <w:sz w:val="20"/>
                <w:szCs w:val="20"/>
                <w:color w:val="auto"/>
              </w:rPr>
            </w:pPr>
            <w:r>
              <w:rPr>
                <w:rFonts w:ascii="Arial" w:cs="Arial" w:eastAsia="Arial" w:hAnsi="Arial"/>
                <w:sz w:val="17"/>
                <w:szCs w:val="17"/>
                <w:color w:val="auto"/>
                <w:w w:val="98"/>
              </w:rPr>
              <w:t>to</w:t>
            </w: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22"/>
        </w:trPr>
        <w:tc>
          <w:tcPr>
            <w:tcW w:w="5440" w:type="dxa"/>
            <w:vAlign w:val="bottom"/>
            <w:gridSpan w:val="2"/>
            <w:vMerge w:val="continue"/>
          </w:tcPr>
          <w:p>
            <w:pPr>
              <w:spacing w:after="0"/>
              <w:rPr>
                <w:sz w:val="10"/>
                <w:szCs w:val="10"/>
                <w:color w:val="auto"/>
              </w:rPr>
            </w:pPr>
          </w:p>
        </w:tc>
        <w:tc>
          <w:tcPr>
            <w:tcW w:w="5560" w:type="dxa"/>
            <w:vAlign w:val="bottom"/>
            <w:gridSpan w:val="6"/>
            <w:vMerge w:val="restart"/>
          </w:tcPr>
          <w:p>
            <w:pPr>
              <w:ind w:left="440"/>
              <w:spacing w:after="0" w:line="189" w:lineRule="exact"/>
              <w:rPr>
                <w:sz w:val="20"/>
                <w:szCs w:val="20"/>
                <w:color w:val="auto"/>
              </w:rPr>
            </w:pPr>
            <w:r>
              <w:rPr>
                <w:rFonts w:ascii="Arial" w:cs="Arial" w:eastAsia="Arial" w:hAnsi="Arial"/>
                <w:sz w:val="17"/>
                <w:szCs w:val="17"/>
                <w:color w:val="auto"/>
              </w:rPr>
              <w:t>compensation effective for 2021, the first increase since 2013, to</w:t>
            </w:r>
          </w:p>
        </w:tc>
        <w:tc>
          <w:tcPr>
            <w:tcW w:w="0" w:type="dxa"/>
            <w:vAlign w:val="bottom"/>
          </w:tcPr>
          <w:p>
            <w:pPr>
              <w:spacing w:after="0"/>
              <w:rPr>
                <w:sz w:val="1"/>
                <w:szCs w:val="1"/>
                <w:color w:val="auto"/>
              </w:rPr>
            </w:pPr>
          </w:p>
        </w:tc>
      </w:tr>
      <w:tr>
        <w:trPr>
          <w:trHeight w:val="68"/>
        </w:trPr>
        <w:tc>
          <w:tcPr>
            <w:tcW w:w="498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by reviewing our director compensation practices against</w:t>
            </w:r>
          </w:p>
        </w:tc>
        <w:tc>
          <w:tcPr>
            <w:tcW w:w="460" w:type="dxa"/>
            <w:vAlign w:val="bottom"/>
            <w:vMerge w:val="restart"/>
          </w:tcPr>
          <w:p>
            <w:pPr>
              <w:jc w:val="right"/>
              <w:ind w:right="75"/>
              <w:spacing w:after="0" w:line="189" w:lineRule="exact"/>
              <w:rPr>
                <w:sz w:val="20"/>
                <w:szCs w:val="20"/>
                <w:color w:val="auto"/>
              </w:rPr>
            </w:pPr>
            <w:r>
              <w:rPr>
                <w:rFonts w:ascii="Arial" w:cs="Arial" w:eastAsia="Arial" w:hAnsi="Arial"/>
                <w:sz w:val="17"/>
                <w:szCs w:val="17"/>
                <w:color w:val="auto"/>
              </w:rPr>
              <w:t>the</w:t>
            </w:r>
          </w:p>
        </w:tc>
        <w:tc>
          <w:tcPr>
            <w:tcW w:w="55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49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560" w:type="dxa"/>
            <w:vAlign w:val="bottom"/>
            <w:gridSpan w:val="6"/>
            <w:vMerge w:val="restart"/>
          </w:tcPr>
          <w:p>
            <w:pPr>
              <w:ind w:left="440"/>
              <w:spacing w:after="0" w:line="189" w:lineRule="exact"/>
              <w:rPr>
                <w:sz w:val="20"/>
                <w:szCs w:val="20"/>
                <w:color w:val="auto"/>
              </w:rPr>
            </w:pPr>
            <w:r>
              <w:rPr>
                <w:rFonts w:ascii="Arial" w:cs="Arial" w:eastAsia="Arial" w:hAnsi="Arial"/>
                <w:sz w:val="17"/>
                <w:szCs w:val="17"/>
                <w:color w:val="auto"/>
                <w:w w:val="99"/>
              </w:rPr>
              <w:t>align with market practice and attract and retain high-quality director</w:t>
            </w:r>
          </w:p>
        </w:tc>
        <w:tc>
          <w:tcPr>
            <w:tcW w:w="0" w:type="dxa"/>
            <w:vAlign w:val="bottom"/>
          </w:tcPr>
          <w:p>
            <w:pPr>
              <w:spacing w:after="0"/>
              <w:rPr>
                <w:sz w:val="1"/>
                <w:szCs w:val="1"/>
                <w:color w:val="auto"/>
              </w:rPr>
            </w:pPr>
          </w:p>
        </w:tc>
      </w:tr>
      <w:tr>
        <w:trPr>
          <w:trHeight w:val="68"/>
        </w:trPr>
        <w:tc>
          <w:tcPr>
            <w:tcW w:w="5440" w:type="dxa"/>
            <w:vAlign w:val="bottom"/>
            <w:gridSpan w:val="2"/>
            <w:vMerge w:val="restart"/>
          </w:tcPr>
          <w:p>
            <w:pPr>
              <w:jc w:val="right"/>
              <w:ind w:right="75"/>
              <w:spacing w:after="0" w:line="189" w:lineRule="exact"/>
              <w:rPr>
                <w:sz w:val="20"/>
                <w:szCs w:val="20"/>
                <w:color w:val="auto"/>
              </w:rPr>
            </w:pPr>
            <w:r>
              <w:rPr>
                <w:rFonts w:ascii="Arial" w:cs="Arial" w:eastAsia="Arial" w:hAnsi="Arial"/>
                <w:sz w:val="17"/>
                <w:szCs w:val="17"/>
                <w:color w:val="auto"/>
              </w:rPr>
              <w:t>practices of an appropriate peer group and the Governance</w:t>
            </w:r>
          </w:p>
        </w:tc>
        <w:tc>
          <w:tcPr>
            <w:tcW w:w="55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5440" w:type="dxa"/>
            <w:vAlign w:val="bottom"/>
            <w:gridSpan w:val="2"/>
            <w:vMerge w:val="continue"/>
          </w:tcPr>
          <w:p>
            <w:pPr>
              <w:spacing w:after="0"/>
              <w:rPr>
                <w:sz w:val="10"/>
                <w:szCs w:val="10"/>
                <w:color w:val="auto"/>
              </w:rPr>
            </w:pPr>
          </w:p>
        </w:tc>
        <w:tc>
          <w:tcPr>
            <w:tcW w:w="1540" w:type="dxa"/>
            <w:vAlign w:val="bottom"/>
            <w:vMerge w:val="restart"/>
          </w:tcPr>
          <w:p>
            <w:pPr>
              <w:ind w:left="440"/>
              <w:spacing w:after="0" w:line="189" w:lineRule="exact"/>
              <w:rPr>
                <w:sz w:val="20"/>
                <w:szCs w:val="20"/>
                <w:color w:val="auto"/>
              </w:rPr>
            </w:pPr>
            <w:r>
              <w:rPr>
                <w:rFonts w:ascii="Arial" w:cs="Arial" w:eastAsia="Arial" w:hAnsi="Arial"/>
                <w:sz w:val="17"/>
                <w:szCs w:val="17"/>
                <w:color w:val="auto"/>
              </w:rPr>
              <w:t>candidates in</w:t>
            </w:r>
          </w:p>
        </w:tc>
        <w:tc>
          <w:tcPr>
            <w:tcW w:w="1120" w:type="dxa"/>
            <w:vAlign w:val="bottom"/>
            <w:vMerge w:val="restart"/>
          </w:tcPr>
          <w:p>
            <w:pPr>
              <w:ind w:left="40"/>
              <w:spacing w:after="0" w:line="189" w:lineRule="exact"/>
              <w:rPr>
                <w:sz w:val="20"/>
                <w:szCs w:val="20"/>
                <w:color w:val="auto"/>
              </w:rPr>
            </w:pPr>
            <w:r>
              <w:rPr>
                <w:rFonts w:ascii="Arial" w:cs="Arial" w:eastAsia="Arial" w:hAnsi="Arial"/>
                <w:sz w:val="17"/>
                <w:szCs w:val="17"/>
                <w:color w:val="auto"/>
              </w:rPr>
              <w:t>a competitive</w:t>
            </w:r>
          </w:p>
        </w:tc>
        <w:tc>
          <w:tcPr>
            <w:tcW w:w="600" w:type="dxa"/>
            <w:vAlign w:val="bottom"/>
            <w:vMerge w:val="restart"/>
          </w:tcPr>
          <w:p>
            <w:pPr>
              <w:ind w:left="60"/>
              <w:spacing w:after="0" w:line="189" w:lineRule="exact"/>
              <w:rPr>
                <w:sz w:val="20"/>
                <w:szCs w:val="20"/>
                <w:color w:val="auto"/>
              </w:rPr>
            </w:pPr>
            <w:r>
              <w:rPr>
                <w:rFonts w:ascii="Arial" w:cs="Arial" w:eastAsia="Arial" w:hAnsi="Arial"/>
                <w:sz w:val="17"/>
                <w:szCs w:val="17"/>
                <w:color w:val="auto"/>
              </w:rPr>
              <w:t>global</w:t>
            </w:r>
          </w:p>
        </w:tc>
        <w:tc>
          <w:tcPr>
            <w:tcW w:w="132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marketplace. No</w:t>
            </w:r>
          </w:p>
        </w:tc>
        <w:tc>
          <w:tcPr>
            <w:tcW w:w="980" w:type="dxa"/>
            <w:vAlign w:val="bottom"/>
            <w:gridSpan w:val="2"/>
            <w:vMerge w:val="restart"/>
          </w:tcPr>
          <w:p>
            <w:pPr>
              <w:jc w:val="right"/>
              <w:spacing w:after="0" w:line="189" w:lineRule="exact"/>
              <w:rPr>
                <w:sz w:val="20"/>
                <w:szCs w:val="20"/>
                <w:color w:val="auto"/>
              </w:rPr>
            </w:pPr>
            <w:r>
              <w:rPr>
                <w:rFonts w:ascii="Arial" w:cs="Arial" w:eastAsia="Arial" w:hAnsi="Arial"/>
                <w:sz w:val="17"/>
                <w:szCs w:val="17"/>
                <w:color w:val="auto"/>
              </w:rPr>
              <w:t>changes to</w:t>
            </w:r>
          </w:p>
        </w:tc>
        <w:tc>
          <w:tcPr>
            <w:tcW w:w="0" w:type="dxa"/>
            <w:vAlign w:val="bottom"/>
          </w:tcPr>
          <w:p>
            <w:pPr>
              <w:spacing w:after="0"/>
              <w:rPr>
                <w:sz w:val="1"/>
                <w:szCs w:val="1"/>
                <w:color w:val="auto"/>
              </w:rPr>
            </w:pPr>
          </w:p>
        </w:tc>
      </w:tr>
      <w:tr>
        <w:trPr>
          <w:trHeight w:val="68"/>
        </w:trPr>
        <w:tc>
          <w:tcPr>
            <w:tcW w:w="5440" w:type="dxa"/>
            <w:vAlign w:val="bottom"/>
            <w:gridSpan w:val="2"/>
            <w:vMerge w:val="restart"/>
          </w:tcPr>
          <w:p>
            <w:pPr>
              <w:jc w:val="right"/>
              <w:ind w:right="75"/>
              <w:spacing w:after="0" w:line="189" w:lineRule="exact"/>
              <w:rPr>
                <w:sz w:val="20"/>
                <w:szCs w:val="20"/>
                <w:color w:val="auto"/>
              </w:rPr>
            </w:pPr>
            <w:r>
              <w:rPr>
                <w:rFonts w:ascii="Arial" w:cs="Arial" w:eastAsia="Arial" w:hAnsi="Arial"/>
                <w:sz w:val="17"/>
                <w:szCs w:val="17"/>
                <w:color w:val="auto"/>
              </w:rPr>
              <w:t>Committee has the authority to retain consultants to advise on</w:t>
            </w:r>
          </w:p>
        </w:tc>
        <w:tc>
          <w:tcPr>
            <w:tcW w:w="15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440" w:type="dxa"/>
            <w:vAlign w:val="bottom"/>
            <w:gridSpan w:val="2"/>
            <w:vMerge w:val="continue"/>
          </w:tcPr>
          <w:p>
            <w:pPr>
              <w:spacing w:after="0"/>
              <w:rPr>
                <w:sz w:val="10"/>
                <w:szCs w:val="10"/>
                <w:color w:val="auto"/>
              </w:rPr>
            </w:pPr>
          </w:p>
        </w:tc>
        <w:tc>
          <w:tcPr>
            <w:tcW w:w="3260" w:type="dxa"/>
            <w:vAlign w:val="bottom"/>
            <w:gridSpan w:val="3"/>
            <w:vMerge w:val="restart"/>
          </w:tcPr>
          <w:p>
            <w:pPr>
              <w:ind w:left="440"/>
              <w:spacing w:after="0" w:line="189" w:lineRule="exact"/>
              <w:rPr>
                <w:sz w:val="20"/>
                <w:szCs w:val="20"/>
                <w:color w:val="auto"/>
              </w:rPr>
            </w:pPr>
            <w:r>
              <w:rPr>
                <w:rFonts w:ascii="Arial" w:cs="Arial" w:eastAsia="Arial" w:hAnsi="Arial"/>
                <w:sz w:val="17"/>
                <w:szCs w:val="17"/>
                <w:color w:val="auto"/>
              </w:rPr>
              <w:t>director  compensation  have  been</w:t>
            </w:r>
          </w:p>
        </w:tc>
        <w:tc>
          <w:tcPr>
            <w:tcW w:w="1480" w:type="dxa"/>
            <w:vAlign w:val="bottom"/>
            <w:gridSpan w:val="2"/>
            <w:vMerge w:val="restart"/>
          </w:tcPr>
          <w:p>
            <w:pPr>
              <w:ind w:left="100"/>
              <w:spacing w:after="0" w:line="189" w:lineRule="exact"/>
              <w:rPr>
                <w:sz w:val="20"/>
                <w:szCs w:val="20"/>
                <w:color w:val="auto"/>
              </w:rPr>
            </w:pPr>
            <w:r>
              <w:rPr>
                <w:rFonts w:ascii="Arial" w:cs="Arial" w:eastAsia="Arial" w:hAnsi="Arial"/>
                <w:sz w:val="17"/>
                <w:szCs w:val="17"/>
                <w:color w:val="auto"/>
              </w:rPr>
              <w:t>made  in  2022.</w:t>
            </w:r>
          </w:p>
        </w:tc>
        <w:tc>
          <w:tcPr>
            <w:tcW w:w="82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For  more</w:t>
            </w:r>
          </w:p>
        </w:tc>
        <w:tc>
          <w:tcPr>
            <w:tcW w:w="0" w:type="dxa"/>
            <w:vAlign w:val="bottom"/>
          </w:tcPr>
          <w:p>
            <w:pPr>
              <w:spacing w:after="0"/>
              <w:rPr>
                <w:sz w:val="1"/>
                <w:szCs w:val="1"/>
                <w:color w:val="auto"/>
              </w:rPr>
            </w:pPr>
          </w:p>
        </w:tc>
      </w:tr>
      <w:tr>
        <w:trPr>
          <w:trHeight w:val="68"/>
        </w:trPr>
        <w:tc>
          <w:tcPr>
            <w:tcW w:w="4980" w:type="dxa"/>
            <w:vAlign w:val="bottom"/>
            <w:vMerge w:val="restart"/>
          </w:tcPr>
          <w:p>
            <w:pPr>
              <w:jc w:val="right"/>
              <w:ind w:right="15"/>
              <w:spacing w:after="0" w:line="189" w:lineRule="exact"/>
              <w:rPr>
                <w:sz w:val="20"/>
                <w:szCs w:val="20"/>
                <w:color w:val="auto"/>
              </w:rPr>
            </w:pPr>
            <w:r>
              <w:rPr>
                <w:rFonts w:ascii="Arial" w:cs="Arial" w:eastAsia="Arial" w:hAnsi="Arial"/>
                <w:sz w:val="17"/>
                <w:szCs w:val="17"/>
                <w:color w:val="auto"/>
              </w:rPr>
              <w:t>director  compensation  matters,  including  in  support  of</w:t>
            </w:r>
          </w:p>
        </w:tc>
        <w:tc>
          <w:tcPr>
            <w:tcW w:w="460" w:type="dxa"/>
            <w:vAlign w:val="bottom"/>
            <w:vMerge w:val="restart"/>
          </w:tcPr>
          <w:p>
            <w:pPr>
              <w:jc w:val="right"/>
              <w:ind w:right="95"/>
              <w:spacing w:after="0" w:line="189" w:lineRule="exact"/>
              <w:rPr>
                <w:sz w:val="20"/>
                <w:szCs w:val="20"/>
                <w:color w:val="auto"/>
              </w:rPr>
            </w:pPr>
            <w:r>
              <w:rPr>
                <w:rFonts w:ascii="Arial" w:cs="Arial" w:eastAsia="Arial" w:hAnsi="Arial"/>
                <w:sz w:val="17"/>
                <w:szCs w:val="17"/>
                <w:color w:val="auto"/>
              </w:rPr>
              <w:t>the</w:t>
            </w:r>
          </w:p>
        </w:tc>
        <w:tc>
          <w:tcPr>
            <w:tcW w:w="3260" w:type="dxa"/>
            <w:vAlign w:val="bottom"/>
            <w:gridSpan w:val="3"/>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49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560" w:type="dxa"/>
            <w:vAlign w:val="bottom"/>
            <w:gridSpan w:val="6"/>
            <w:vMerge w:val="restart"/>
          </w:tcPr>
          <w:p>
            <w:pPr>
              <w:ind w:left="440"/>
              <w:spacing w:after="0" w:line="171" w:lineRule="exact"/>
              <w:rPr>
                <w:sz w:val="20"/>
                <w:szCs w:val="20"/>
                <w:color w:val="auto"/>
              </w:rPr>
            </w:pPr>
            <w:r>
              <w:rPr>
                <w:rFonts w:ascii="Arial" w:cs="Arial" w:eastAsia="Arial" w:hAnsi="Arial"/>
                <w:sz w:val="17"/>
                <w:szCs w:val="17"/>
                <w:color w:val="auto"/>
              </w:rPr>
              <w:t>information  regarding  director  compensation,  see  “Director</w:t>
            </w:r>
          </w:p>
        </w:tc>
        <w:tc>
          <w:tcPr>
            <w:tcW w:w="0" w:type="dxa"/>
            <w:vAlign w:val="bottom"/>
          </w:tcPr>
          <w:p>
            <w:pPr>
              <w:spacing w:after="0"/>
              <w:rPr>
                <w:sz w:val="1"/>
                <w:szCs w:val="1"/>
                <w:color w:val="auto"/>
              </w:rPr>
            </w:pPr>
          </w:p>
        </w:tc>
      </w:tr>
      <w:tr>
        <w:trPr>
          <w:trHeight w:val="49"/>
        </w:trPr>
        <w:tc>
          <w:tcPr>
            <w:tcW w:w="5440" w:type="dxa"/>
            <w:vAlign w:val="bottom"/>
            <w:gridSpan w:val="2"/>
            <w:vMerge w:val="restart"/>
          </w:tcPr>
          <w:p>
            <w:pPr>
              <w:jc w:val="right"/>
              <w:ind w:right="95"/>
              <w:spacing w:after="0" w:line="189" w:lineRule="exact"/>
              <w:rPr>
                <w:sz w:val="20"/>
                <w:szCs w:val="20"/>
                <w:color w:val="auto"/>
              </w:rPr>
            </w:pPr>
            <w:r>
              <w:rPr>
                <w:rFonts w:ascii="Arial" w:cs="Arial" w:eastAsia="Arial" w:hAnsi="Arial"/>
                <w:sz w:val="17"/>
                <w:szCs w:val="17"/>
                <w:color w:val="auto"/>
              </w:rPr>
              <w:t>Governance   Committee’s   periodic   review   of   director</w:t>
            </w:r>
          </w:p>
        </w:tc>
        <w:tc>
          <w:tcPr>
            <w:tcW w:w="55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5440" w:type="dxa"/>
            <w:vAlign w:val="bottom"/>
            <w:gridSpan w:val="2"/>
            <w:vMerge w:val="continue"/>
          </w:tcPr>
          <w:p>
            <w:pPr>
              <w:spacing w:after="0"/>
              <w:rPr>
                <w:sz w:val="12"/>
                <w:szCs w:val="12"/>
                <w:color w:val="auto"/>
              </w:rPr>
            </w:pPr>
          </w:p>
        </w:tc>
        <w:tc>
          <w:tcPr>
            <w:tcW w:w="4580" w:type="dxa"/>
            <w:vAlign w:val="bottom"/>
            <w:gridSpan w:val="4"/>
          </w:tcPr>
          <w:p>
            <w:pPr>
              <w:ind w:left="440"/>
              <w:spacing w:after="0" w:line="139" w:lineRule="exact"/>
              <w:rPr>
                <w:sz w:val="20"/>
                <w:szCs w:val="20"/>
                <w:color w:val="auto"/>
              </w:rPr>
            </w:pPr>
            <w:r>
              <w:rPr>
                <w:rFonts w:ascii="Arial" w:cs="Arial" w:eastAsia="Arial" w:hAnsi="Arial"/>
                <w:sz w:val="16"/>
                <w:szCs w:val="16"/>
                <w:color w:val="auto"/>
              </w:rPr>
              <w:t>Compensation—</w:t>
            </w:r>
            <w:r>
              <w:rPr>
                <w:rFonts w:ascii="Arial" w:cs="Arial" w:eastAsia="Arial" w:hAnsi="Arial"/>
                <w:sz w:val="16"/>
                <w:szCs w:val="16"/>
                <w:i w:val="1"/>
                <w:iCs w:val="1"/>
                <w:color w:val="auto"/>
              </w:rPr>
              <w:t>2022 Director Compensation</w:t>
            </w:r>
            <w:r>
              <w:rPr>
                <w:rFonts w:ascii="Arial" w:cs="Arial" w:eastAsia="Arial" w:hAnsi="Arial"/>
                <w:sz w:val="16"/>
                <w:szCs w:val="16"/>
                <w:color w:val="auto"/>
              </w:rPr>
              <w:t>.</w:t>
            </w:r>
            <w:r>
              <w:rPr>
                <w:rFonts w:ascii="Arial" w:cs="Arial" w:eastAsia="Arial" w:hAnsi="Arial"/>
                <w:sz w:val="16"/>
                <w:szCs w:val="16"/>
                <w:i w:val="1"/>
                <w:iCs w:val="1"/>
                <w:color w:val="auto"/>
              </w:rPr>
              <w:t>”</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80"/>
        <w:spacing w:after="0" w:line="232" w:lineRule="auto"/>
        <w:rPr>
          <w:sz w:val="20"/>
          <w:szCs w:val="20"/>
          <w:color w:val="auto"/>
        </w:rPr>
      </w:pPr>
      <w:r>
        <w:rPr>
          <w:rFonts w:ascii="Arial" w:cs="Arial" w:eastAsia="Arial" w:hAnsi="Arial"/>
          <w:sz w:val="17"/>
          <w:szCs w:val="17"/>
          <w:color w:val="auto"/>
        </w:rPr>
        <w:t>compensation practices. No executive officer has any role in</w:t>
      </w:r>
    </w:p>
    <w:p>
      <w:pPr>
        <w:ind w:left="380"/>
        <w:spacing w:after="0" w:line="232" w:lineRule="auto"/>
        <w:rPr>
          <w:sz w:val="20"/>
          <w:szCs w:val="20"/>
          <w:color w:val="auto"/>
        </w:rPr>
      </w:pPr>
      <w:r>
        <w:rPr>
          <w:rFonts w:ascii="Arial" w:cs="Arial" w:eastAsia="Arial" w:hAnsi="Arial"/>
          <w:sz w:val="17"/>
          <w:szCs w:val="17"/>
          <w:color w:val="auto"/>
        </w:rPr>
        <w:t>determining or recommending the form or amount of director</w:t>
      </w:r>
    </w:p>
    <w:p>
      <w:pPr>
        <w:ind w:left="380"/>
        <w:spacing w:after="0"/>
        <w:rPr>
          <w:sz w:val="20"/>
          <w:szCs w:val="20"/>
          <w:color w:val="auto"/>
        </w:rPr>
      </w:pPr>
      <w:r>
        <w:rPr>
          <w:rFonts w:ascii="Arial" w:cs="Arial" w:eastAsia="Arial" w:hAnsi="Arial"/>
          <w:sz w:val="17"/>
          <w:szCs w:val="17"/>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248285</wp:posOffset>
            </wp:positionV>
            <wp:extent cx="6926580" cy="40290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26580" cy="40290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25"/>
          <w:szCs w:val="25"/>
          <w:b w:val="1"/>
          <w:bCs w:val="1"/>
          <w:i w:val="1"/>
          <w:iCs w:val="1"/>
          <w:color w:val="0171B9"/>
        </w:rPr>
        <w:t>Audit Committee</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Current Members:</w:t>
      </w:r>
    </w:p>
    <w:p>
      <w:pPr>
        <w:spacing w:after="0" w:line="12" w:lineRule="exact"/>
        <w:rPr>
          <w:sz w:val="20"/>
          <w:szCs w:val="20"/>
          <w:color w:val="auto"/>
        </w:rPr>
      </w:pPr>
    </w:p>
    <w:p>
      <w:pPr>
        <w:ind w:left="200" w:right="1400"/>
        <w:spacing w:after="0" w:line="236" w:lineRule="auto"/>
        <w:rPr>
          <w:sz w:val="20"/>
          <w:szCs w:val="20"/>
          <w:color w:val="auto"/>
        </w:rPr>
      </w:pPr>
      <w:r>
        <w:rPr>
          <w:rFonts w:ascii="Arial" w:cs="Arial" w:eastAsia="Arial" w:hAnsi="Arial"/>
          <w:sz w:val="17"/>
          <w:szCs w:val="17"/>
          <w:color w:val="auto"/>
        </w:rPr>
        <w:t>Charles M. Holley, Jr.* (Chair) Wanda M. Austin Ellen J. Kullman* Amy E. Miles*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*Audit Committee financial expert</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Number of Meetings Held in 2022: </w:t>
      </w:r>
      <w:r>
        <w:rPr>
          <w:rFonts w:ascii="Arial" w:cs="Arial" w:eastAsia="Arial" w:hAnsi="Arial"/>
          <w:sz w:val="18"/>
          <w:szCs w:val="18"/>
          <w:b w:val="1"/>
          <w:bCs w:val="1"/>
          <w:color w:val="0171B9"/>
        </w:rPr>
        <w:t>10</w:t>
      </w:r>
    </w:p>
    <w:p>
      <w:pPr>
        <w:spacing w:after="0" w:line="75" w:lineRule="exact"/>
        <w:rPr>
          <w:sz w:val="20"/>
          <w:szCs w:val="20"/>
          <w:color w:val="auto"/>
        </w:rPr>
      </w:pPr>
    </w:p>
    <w:p>
      <w:pPr>
        <w:jc w:val="both"/>
        <w:ind w:left="200"/>
        <w:spacing w:after="0" w:line="238" w:lineRule="auto"/>
        <w:rPr>
          <w:sz w:val="20"/>
          <w:szCs w:val="20"/>
          <w:color w:val="auto"/>
        </w:rPr>
      </w:pPr>
      <w:r>
        <w:rPr>
          <w:rFonts w:ascii="Arial" w:cs="Arial" w:eastAsia="Arial" w:hAnsi="Arial"/>
          <w:sz w:val="17"/>
          <w:szCs w:val="17"/>
          <w:i w:val="1"/>
          <w:iCs w:val="1"/>
          <w:color w:val="auto"/>
        </w:rPr>
        <w:t>Each member has been determined by the Board to be independent under The NASDAQ Stock Market listing standards and the requirements of the SEC, including the requirements regarding financial literacy and sophistication.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and Key Responsibilities:</w:t>
      </w:r>
    </w:p>
    <w:p>
      <w:pPr>
        <w:spacing w:after="0" w:line="134" w:lineRule="exact"/>
        <w:rPr>
          <w:sz w:val="20"/>
          <w:szCs w:val="20"/>
          <w:color w:val="auto"/>
        </w:rPr>
      </w:pPr>
    </w:p>
    <w:p>
      <w:pPr>
        <w:jc w:val="both"/>
        <w:ind w:left="220" w:right="140" w:hanging="214"/>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Oversees our accounting and financial reporting process and the audits of the</w:t>
      </w:r>
      <w:r>
        <w:rPr>
          <w:rFonts w:ascii="Arial" w:cs="Arial" w:eastAsia="Arial" w:hAnsi="Arial"/>
          <w:sz w:val="17"/>
          <w:szCs w:val="17"/>
          <w:color w:val="0171B9"/>
        </w:rPr>
        <w:t xml:space="preserve"> </w:t>
      </w:r>
      <w:r>
        <w:rPr>
          <w:rFonts w:ascii="Arial" w:cs="Arial" w:eastAsia="Arial" w:hAnsi="Arial"/>
          <w:sz w:val="17"/>
          <w:szCs w:val="17"/>
          <w:color w:val="000000"/>
        </w:rPr>
        <w:t>financial statements, as required by NASDAQ.</w:t>
      </w:r>
    </w:p>
    <w:p>
      <w:pPr>
        <w:spacing w:after="0" w:line="104" w:lineRule="exact"/>
        <w:rPr>
          <w:sz w:val="20"/>
          <w:szCs w:val="20"/>
          <w:color w:val="auto"/>
        </w:rPr>
      </w:pPr>
    </w:p>
    <w:p>
      <w:pPr>
        <w:jc w:val="both"/>
        <w:ind w:left="220" w:right="140" w:hanging="214"/>
        <w:spacing w:after="0" w:line="238"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Assists the Board in fulfilling its fiduciary responsibilities with respect to the oversight</w:t>
      </w:r>
      <w:r>
        <w:rPr>
          <w:rFonts w:ascii="Arial" w:cs="Arial" w:eastAsia="Arial" w:hAnsi="Arial"/>
          <w:sz w:val="17"/>
          <w:szCs w:val="17"/>
          <w:color w:val="0171B9"/>
        </w:rPr>
        <w:t xml:space="preserve"> </w:t>
      </w:r>
      <w:r>
        <w:rPr>
          <w:rFonts w:ascii="Arial" w:cs="Arial" w:eastAsia="Arial" w:hAnsi="Arial"/>
          <w:sz w:val="17"/>
          <w:szCs w:val="17"/>
          <w:color w:val="000000"/>
        </w:rPr>
        <w:t>of our financial accounting and reporting, the underlying internal controls and procedures over financial reporting, and the audits of the financial statements.</w:t>
      </w:r>
    </w:p>
    <w:p>
      <w:pPr>
        <w:spacing w:after="0" w:line="107" w:lineRule="exact"/>
        <w:rPr>
          <w:sz w:val="20"/>
          <w:szCs w:val="20"/>
          <w:color w:val="auto"/>
        </w:rPr>
      </w:pPr>
    </w:p>
    <w:p>
      <w:pPr>
        <w:jc w:val="both"/>
        <w:ind w:left="220" w:right="140" w:hanging="214"/>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Has sole authority for the appointment, compensation, and oversight of the work of</w:t>
      </w:r>
      <w:r>
        <w:rPr>
          <w:rFonts w:ascii="Arial" w:cs="Arial" w:eastAsia="Arial" w:hAnsi="Arial"/>
          <w:sz w:val="17"/>
          <w:szCs w:val="17"/>
          <w:color w:val="0171B9"/>
        </w:rPr>
        <w:t xml:space="preserve"> </w:t>
      </w:r>
      <w:r>
        <w:rPr>
          <w:rFonts w:ascii="Arial" w:cs="Arial" w:eastAsia="Arial" w:hAnsi="Arial"/>
          <w:sz w:val="17"/>
          <w:szCs w:val="17"/>
          <w:color w:val="000000"/>
        </w:rPr>
        <w:t>the independent registered public accountants.</w:t>
      </w:r>
    </w:p>
    <w:p>
      <w:pPr>
        <w:spacing w:after="0" w:line="104" w:lineRule="exact"/>
        <w:rPr>
          <w:sz w:val="20"/>
          <w:szCs w:val="20"/>
          <w:color w:val="auto"/>
        </w:rPr>
      </w:pPr>
    </w:p>
    <w:p>
      <w:pPr>
        <w:jc w:val="both"/>
        <w:ind w:left="220" w:right="140" w:hanging="214"/>
        <w:spacing w:after="0" w:line="236"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Reviews and discusses, prior to filing or issuance, with management and the</w:t>
      </w:r>
      <w:r>
        <w:rPr>
          <w:rFonts w:ascii="Arial" w:cs="Arial" w:eastAsia="Arial" w:hAnsi="Arial"/>
          <w:sz w:val="17"/>
          <w:szCs w:val="17"/>
          <w:color w:val="0171B9"/>
        </w:rPr>
        <w:t xml:space="preserve"> </w:t>
      </w:r>
      <w:r>
        <w:rPr>
          <w:rFonts w:ascii="Arial" w:cs="Arial" w:eastAsia="Arial" w:hAnsi="Arial"/>
          <w:sz w:val="17"/>
          <w:szCs w:val="17"/>
          <w:color w:val="000000"/>
        </w:rPr>
        <w:t>independent registered public accountants (when appropriate) our audited consolidated financial statements to be included in our Annual Report on Form 10-K and earnings press releases.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Approves related party transactions.</w:t>
      </w:r>
    </w:p>
    <w:p>
      <w:pPr>
        <w:spacing w:after="0" w:line="115" w:lineRule="exact"/>
        <w:rPr>
          <w:sz w:val="20"/>
          <w:szCs w:val="20"/>
          <w:color w:val="auto"/>
        </w:rPr>
      </w:pPr>
    </w:p>
    <w:p>
      <w:pPr>
        <w:jc w:val="both"/>
        <w:ind w:left="220" w:right="140" w:hanging="214"/>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Reviews any violations or alleged violations of the Company’s Code of Ethics for the</w:t>
      </w:r>
      <w:r>
        <w:rPr>
          <w:rFonts w:ascii="Arial" w:cs="Arial" w:eastAsia="Arial" w:hAnsi="Arial"/>
          <w:sz w:val="17"/>
          <w:szCs w:val="17"/>
          <w:color w:val="0171B9"/>
        </w:rPr>
        <w:t xml:space="preserve"> </w:t>
      </w:r>
      <w:r>
        <w:rPr>
          <w:rFonts w:ascii="Arial" w:cs="Arial" w:eastAsia="Arial" w:hAnsi="Arial"/>
          <w:sz w:val="17"/>
          <w:szCs w:val="17"/>
          <w:color w:val="000000"/>
        </w:rPr>
        <w:t>CEO and Senior Financial Officers.</w:t>
      </w:r>
    </w:p>
    <w:p>
      <w:pPr>
        <w:spacing w:after="0" w:line="235" w:lineRule="exact"/>
        <w:rPr>
          <w:sz w:val="20"/>
          <w:szCs w:val="20"/>
          <w:color w:val="auto"/>
        </w:rPr>
      </w:pPr>
    </w:p>
    <w:p>
      <w:pPr>
        <w:ind w:left="140" w:right="1080"/>
        <w:spacing w:after="0" w:line="244" w:lineRule="auto"/>
        <w:rPr>
          <w:sz w:val="20"/>
          <w:szCs w:val="20"/>
          <w:color w:val="auto"/>
        </w:rPr>
      </w:pPr>
      <w:r>
        <w:rPr>
          <w:rFonts w:ascii="Arial" w:cs="Arial" w:eastAsia="Arial" w:hAnsi="Arial"/>
          <w:sz w:val="18"/>
          <w:szCs w:val="18"/>
          <w:b w:val="1"/>
          <w:bCs w:val="1"/>
          <w:color w:val="0171B9"/>
        </w:rPr>
        <w:t>Audit Committee Oversight of the Independent Registered Public Accountants</w:t>
      </w:r>
    </w:p>
    <w:p>
      <w:pPr>
        <w:spacing w:after="0" w:line="1" w:lineRule="exact"/>
        <w:rPr>
          <w:sz w:val="20"/>
          <w:szCs w:val="20"/>
          <w:color w:val="auto"/>
        </w:rPr>
      </w:pPr>
    </w:p>
    <w:p>
      <w:pPr>
        <w:jc w:val="both"/>
        <w:ind w:left="360" w:right="340" w:hanging="214"/>
        <w:spacing w:after="0" w:line="232"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w:t>
      </w:r>
      <w:r>
        <w:rPr>
          <w:rFonts w:ascii="Arial" w:cs="Arial" w:eastAsia="Arial" w:hAnsi="Arial"/>
          <w:sz w:val="17"/>
          <w:szCs w:val="17"/>
          <w:color w:val="0171B9"/>
        </w:rPr>
        <w:t>Auditor Selection.</w:t>
      </w:r>
      <w:r>
        <w:rPr>
          <w:sz w:val="20"/>
          <w:szCs w:val="20"/>
          <w:color w:val="auto"/>
        </w:rPr>
        <w:t xml:space="preserve"> </w:t>
      </w:r>
      <w:r>
        <w:rPr>
          <w:rFonts w:ascii="Arial" w:cs="Arial" w:eastAsia="Arial" w:hAnsi="Arial"/>
          <w:sz w:val="17"/>
          <w:szCs w:val="17"/>
          <w:color w:val="auto"/>
        </w:rPr>
        <w:t>Evaluates the qualifications and performance of our independent registered public accountants each year and appoints the independent registered public accountants annually.</w:t>
      </w:r>
    </w:p>
    <w:p>
      <w:pPr>
        <w:jc w:val="both"/>
        <w:ind w:left="360" w:right="360" w:hanging="214"/>
        <w:spacing w:after="0" w:line="232"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w:t>
      </w:r>
      <w:r>
        <w:rPr>
          <w:rFonts w:ascii="Arial" w:cs="Arial" w:eastAsia="Arial" w:hAnsi="Arial"/>
          <w:sz w:val="17"/>
          <w:szCs w:val="17"/>
          <w:color w:val="0171B9"/>
        </w:rPr>
        <w:t xml:space="preserve">Audit Partner Selection. </w:t>
      </w:r>
      <w:r>
        <w:rPr>
          <w:rFonts w:ascii="Arial" w:cs="Arial" w:eastAsia="Arial" w:hAnsi="Arial"/>
          <w:sz w:val="17"/>
          <w:szCs w:val="17"/>
          <w:color w:val="000000"/>
        </w:rPr>
        <w:t>Participates directly in the selection of the lead</w:t>
      </w:r>
      <w:r>
        <w:rPr>
          <w:rFonts w:ascii="Arial" w:cs="Arial" w:eastAsia="Arial" w:hAnsi="Arial"/>
          <w:sz w:val="17"/>
          <w:szCs w:val="17"/>
          <w:color w:val="0171B9"/>
        </w:rPr>
        <w:t xml:space="preserve"> </w:t>
      </w:r>
      <w:r>
        <w:rPr>
          <w:rFonts w:ascii="Arial" w:cs="Arial" w:eastAsia="Arial" w:hAnsi="Arial"/>
          <w:sz w:val="17"/>
          <w:szCs w:val="17"/>
          <w:color w:val="000000"/>
        </w:rPr>
        <w:t>engagement partner through an interview process.</w:t>
      </w:r>
    </w:p>
    <w:p>
      <w:pPr>
        <w:jc w:val="both"/>
        <w:ind w:left="360" w:right="360" w:hanging="214"/>
        <w:spacing w:after="0" w:line="232"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w:t>
      </w:r>
      <w:r>
        <w:rPr>
          <w:rFonts w:ascii="Arial" w:cs="Arial" w:eastAsia="Arial" w:hAnsi="Arial"/>
          <w:sz w:val="17"/>
          <w:szCs w:val="17"/>
          <w:color w:val="0171B9"/>
        </w:rPr>
        <w:t xml:space="preserve">Audit Firm Evaluation. </w:t>
      </w:r>
      <w:r>
        <w:rPr>
          <w:rFonts w:ascii="Arial" w:cs="Arial" w:eastAsia="Arial" w:hAnsi="Arial"/>
          <w:sz w:val="17"/>
          <w:szCs w:val="17"/>
          <w:color w:val="000000"/>
        </w:rPr>
        <w:t>Considers the quality and efficiency of the services</w:t>
      </w:r>
      <w:r>
        <w:rPr>
          <w:rFonts w:ascii="Arial" w:cs="Arial" w:eastAsia="Arial" w:hAnsi="Arial"/>
          <w:sz w:val="17"/>
          <w:szCs w:val="17"/>
          <w:color w:val="0171B9"/>
        </w:rPr>
        <w:t xml:space="preserve"> </w:t>
      </w:r>
      <w:r>
        <w:rPr>
          <w:rFonts w:ascii="Arial" w:cs="Arial" w:eastAsia="Arial" w:hAnsi="Arial"/>
          <w:sz w:val="17"/>
          <w:szCs w:val="17"/>
          <w:color w:val="000000"/>
        </w:rPr>
        <w:t>provided, the independent registered public accountants’ technical expertise and knowledge of our operations and industry.</w:t>
      </w:r>
    </w:p>
    <w:p>
      <w:pPr>
        <w:ind w:left="14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w:t>
      </w:r>
      <w:r>
        <w:rPr>
          <w:rFonts w:ascii="Arial" w:cs="Arial" w:eastAsia="Arial" w:hAnsi="Arial"/>
          <w:sz w:val="17"/>
          <w:szCs w:val="17"/>
          <w:color w:val="0171B9"/>
        </w:rPr>
        <w:t xml:space="preserve">Audit Firm Services. </w:t>
      </w:r>
      <w:r>
        <w:rPr>
          <w:rFonts w:ascii="Arial" w:cs="Arial" w:eastAsia="Arial" w:hAnsi="Arial"/>
          <w:sz w:val="17"/>
          <w:szCs w:val="17"/>
          <w:color w:val="000000"/>
        </w:rPr>
        <w:t>Pre-approves services.</w:t>
      </w:r>
    </w:p>
    <w:p>
      <w:pPr>
        <w:spacing w:after="0" w:line="200" w:lineRule="exact"/>
        <w:rPr>
          <w:sz w:val="20"/>
          <w:szCs w:val="20"/>
          <w:color w:val="auto"/>
        </w:rPr>
      </w:pPr>
    </w:p>
    <w:p>
      <w:pPr>
        <w:sectPr>
          <w:pgSz w:w="11900" w:h="16838" w:orient="portrait"/>
          <w:cols w:equalWidth="0" w:num="2">
            <w:col w:w="3840" w:space="520"/>
            <w:col w:w="6780"/>
          </w:cols>
          <w:pgMar w:left="320" w:top="486" w:right="439" w:bottom="1440" w:gutter="0" w:footer="0" w:header="0"/>
          <w:type w:val="continuous"/>
        </w:sectPr>
      </w:pPr>
    </w:p>
    <w:p>
      <w:pPr>
        <w:spacing w:after="0" w:line="215" w:lineRule="exact"/>
        <w:rPr>
          <w:sz w:val="20"/>
          <w:szCs w:val="20"/>
          <w:color w:val="auto"/>
        </w:r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34893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348932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200" w:right="40"/>
        <w:spacing w:after="0" w:line="286" w:lineRule="auto"/>
        <w:rPr>
          <w:sz w:val="20"/>
          <w:szCs w:val="20"/>
          <w:color w:val="auto"/>
        </w:rPr>
      </w:pPr>
      <w:r>
        <w:rPr>
          <w:rFonts w:ascii="Arial" w:cs="Arial" w:eastAsia="Arial" w:hAnsi="Arial"/>
          <w:sz w:val="25"/>
          <w:szCs w:val="25"/>
          <w:b w:val="1"/>
          <w:bCs w:val="1"/>
          <w:i w:val="1"/>
          <w:iCs w:val="1"/>
          <w:color w:val="0171B9"/>
        </w:rPr>
        <w:t>Corporate Responsibility and Compliance Committee</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Current Members:</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Ronald D. Sugar (Chair)</w:t>
      </w:r>
    </w:p>
    <w:p>
      <w:pPr>
        <w:ind w:left="200"/>
        <w:spacing w:after="0" w:line="232" w:lineRule="auto"/>
        <w:rPr>
          <w:sz w:val="20"/>
          <w:szCs w:val="20"/>
          <w:color w:val="auto"/>
        </w:rPr>
      </w:pPr>
      <w:r>
        <w:rPr>
          <w:rFonts w:ascii="Arial" w:cs="Arial" w:eastAsia="Arial" w:hAnsi="Arial"/>
          <w:sz w:val="17"/>
          <w:szCs w:val="17"/>
          <w:color w:val="auto"/>
        </w:rPr>
        <w:t>Michael V. Drake (since August 3, 2022)</w:t>
      </w:r>
    </w:p>
    <w:p>
      <w:pPr>
        <w:ind w:left="200"/>
        <w:spacing w:after="0" w:line="232" w:lineRule="auto"/>
        <w:rPr>
          <w:sz w:val="20"/>
          <w:szCs w:val="20"/>
          <w:color w:val="auto"/>
        </w:rPr>
      </w:pPr>
      <w:r>
        <w:rPr>
          <w:rFonts w:ascii="Arial" w:cs="Arial" w:eastAsia="Arial" w:hAnsi="Arial"/>
          <w:sz w:val="17"/>
          <w:szCs w:val="17"/>
          <w:color w:val="auto"/>
        </w:rPr>
        <w:t>Brian J. Druker</w:t>
      </w:r>
    </w:p>
    <w:p>
      <w:pPr>
        <w:ind w:left="200"/>
        <w:spacing w:after="0" w:line="232" w:lineRule="auto"/>
        <w:rPr>
          <w:sz w:val="20"/>
          <w:szCs w:val="20"/>
          <w:color w:val="auto"/>
        </w:rPr>
      </w:pPr>
      <w:r>
        <w:rPr>
          <w:rFonts w:ascii="Arial" w:cs="Arial" w:eastAsia="Arial" w:hAnsi="Arial"/>
          <w:sz w:val="17"/>
          <w:szCs w:val="17"/>
          <w:color w:val="auto"/>
        </w:rPr>
        <w:t>S. Omar Ishrak</w:t>
      </w:r>
    </w:p>
    <w:p>
      <w:pPr>
        <w:ind w:left="200"/>
        <w:spacing w:after="0" w:line="232" w:lineRule="auto"/>
        <w:rPr>
          <w:sz w:val="20"/>
          <w:szCs w:val="20"/>
          <w:color w:val="auto"/>
        </w:rPr>
      </w:pPr>
      <w:r>
        <w:rPr>
          <w:rFonts w:ascii="Arial" w:cs="Arial" w:eastAsia="Arial" w:hAnsi="Arial"/>
          <w:sz w:val="17"/>
          <w:szCs w:val="17"/>
          <w:color w:val="auto"/>
        </w:rPr>
        <w:t>Tyler Jacks</w:t>
      </w:r>
    </w:p>
    <w:p>
      <w:pPr>
        <w:ind w:left="200"/>
        <w:spacing w:after="0"/>
        <w:rPr>
          <w:sz w:val="20"/>
          <w:szCs w:val="20"/>
          <w:color w:val="auto"/>
        </w:rPr>
      </w:pPr>
      <w:r>
        <w:rPr>
          <w:rFonts w:ascii="Arial" w:cs="Arial" w:eastAsia="Arial" w:hAnsi="Arial"/>
          <w:sz w:val="17"/>
          <w:szCs w:val="17"/>
          <w:color w:val="auto"/>
        </w:rPr>
        <w:t>R. Sanders Williams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Number of Meetings Held in 2022: </w:t>
      </w:r>
      <w:r>
        <w:rPr>
          <w:rFonts w:ascii="Arial" w:cs="Arial" w:eastAsia="Arial" w:hAnsi="Arial"/>
          <w:sz w:val="18"/>
          <w:szCs w:val="18"/>
          <w:b w:val="1"/>
          <w:bCs w:val="1"/>
          <w:color w:val="0171B9"/>
        </w:rPr>
        <w:t>5</w:t>
      </w:r>
    </w:p>
    <w:p>
      <w:pPr>
        <w:spacing w:after="0" w:line="116" w:lineRule="exact"/>
        <w:rPr>
          <w:sz w:val="20"/>
          <w:szCs w:val="20"/>
          <w:color w:val="auto"/>
        </w:rPr>
      </w:pPr>
    </w:p>
    <w:p>
      <w:pPr>
        <w:jc w:val="both"/>
        <w:ind w:left="200"/>
        <w:spacing w:after="0" w:line="243" w:lineRule="auto"/>
        <w:rPr>
          <w:sz w:val="20"/>
          <w:szCs w:val="20"/>
          <w:color w:val="auto"/>
        </w:rPr>
      </w:pPr>
      <w:r>
        <w:rPr>
          <w:rFonts w:ascii="Arial" w:cs="Arial" w:eastAsia="Arial" w:hAnsi="Arial"/>
          <w:sz w:val="17"/>
          <w:szCs w:val="17"/>
          <w:i w:val="1"/>
          <w:iCs w:val="1"/>
          <w:color w:val="auto"/>
        </w:rPr>
        <w:t>Each member has been determined by the Board to be independent under The NASDAQ Stock Market listing standards and the requirements of the SEC.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and Key Responsibilities:</w:t>
      </w:r>
    </w:p>
    <w:p>
      <w:pPr>
        <w:spacing w:after="0" w:line="134" w:lineRule="exact"/>
        <w:rPr>
          <w:sz w:val="20"/>
          <w:szCs w:val="20"/>
          <w:color w:val="auto"/>
        </w:rPr>
      </w:pPr>
    </w:p>
    <w:p>
      <w:pPr>
        <w:ind w:left="200" w:right="20" w:hanging="214"/>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Oversees our compliance program and reviews our programs in a number of areas</w:t>
      </w:r>
      <w:r>
        <w:rPr>
          <w:rFonts w:ascii="Arial" w:cs="Arial" w:eastAsia="Arial" w:hAnsi="Arial"/>
          <w:sz w:val="17"/>
          <w:szCs w:val="17"/>
          <w:color w:val="0171B9"/>
        </w:rPr>
        <w:t xml:space="preserve"> </w:t>
      </w:r>
      <w:r>
        <w:rPr>
          <w:rFonts w:ascii="Arial" w:cs="Arial" w:eastAsia="Arial" w:hAnsi="Arial"/>
          <w:sz w:val="17"/>
          <w:szCs w:val="17"/>
          <w:color w:val="000000"/>
        </w:rPr>
        <w:t>governing ethical conduct including:</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U.S. federal health care program requirements;</w:t>
      </w:r>
    </w:p>
    <w:p>
      <w:pPr>
        <w:spacing w:after="0" w:line="129" w:lineRule="exact"/>
        <w:rPr>
          <w:sz w:val="20"/>
          <w:szCs w:val="20"/>
          <w:color w:val="auto"/>
        </w:rPr>
      </w:pPr>
    </w:p>
    <w:p>
      <w:pPr>
        <w:jc w:val="both"/>
        <w:ind w:left="420" w:hanging="214"/>
        <w:spacing w:after="0" w:line="245" w:lineRule="auto"/>
        <w:rPr>
          <w:sz w:val="20"/>
          <w:szCs w:val="20"/>
          <w:color w:val="auto"/>
        </w:rPr>
      </w:pPr>
      <w:r>
        <w:rPr>
          <w:rFonts w:ascii="Arial" w:cs="Arial" w:eastAsia="Arial" w:hAnsi="Arial"/>
          <w:sz w:val="17"/>
          <w:szCs w:val="17"/>
          <w:color w:val="auto"/>
        </w:rPr>
        <w:t>-   U.S.</w:t>
      </w:r>
      <w:r>
        <w:rPr>
          <w:sz w:val="20"/>
          <w:szCs w:val="20"/>
          <w:color w:val="auto"/>
        </w:rPr>
        <w:t xml:space="preserve"> </w:t>
      </w:r>
      <w:r>
        <w:rPr>
          <w:rFonts w:ascii="Arial" w:cs="Arial" w:eastAsia="Arial" w:hAnsi="Arial"/>
          <w:sz w:val="17"/>
          <w:szCs w:val="17"/>
          <w:color w:val="auto"/>
        </w:rPr>
        <w:t>Food and Drug Administration requirements and other regulatory agency requirements, including good manufacturing, clinical and laboratory practices, drug safety and pharmacovigilance activities;</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interactions with members of the healthcare community;</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the Company’s Corporate Integrity Agreement;</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anti-bribery/anti-corruption risks;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environmental sustainability and social responsibility;</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employee health and safety;</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information security, including cybersecurity; and</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government and legislative affairs, including our Political Action Committee.</w:t>
      </w:r>
    </w:p>
    <w:p>
      <w:pPr>
        <w:spacing w:after="0" w:line="140" w:lineRule="exact"/>
        <w:rPr>
          <w:sz w:val="20"/>
          <w:szCs w:val="20"/>
          <w:color w:val="auto"/>
        </w:rPr>
      </w:pPr>
    </w:p>
    <w:p>
      <w:pPr>
        <w:jc w:val="both"/>
        <w:ind w:left="200" w:right="20" w:hanging="214"/>
        <w:spacing w:after="0" w:line="235"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Receives regular updates on value (which includes pricing) and access, political, social,</w:t>
      </w:r>
      <w:r>
        <w:rPr>
          <w:rFonts w:ascii="Arial" w:cs="Arial" w:eastAsia="Arial" w:hAnsi="Arial"/>
          <w:sz w:val="17"/>
          <w:szCs w:val="17"/>
          <w:color w:val="0171B9"/>
        </w:rPr>
        <w:t xml:space="preserve"> </w:t>
      </w:r>
      <w:r>
        <w:rPr>
          <w:rFonts w:ascii="Arial" w:cs="Arial" w:eastAsia="Arial" w:hAnsi="Arial"/>
          <w:sz w:val="17"/>
          <w:szCs w:val="17"/>
          <w:color w:val="000000"/>
        </w:rPr>
        <w:t>and environmental trends, and public policy issues that may affect our reputation, including our business or public image, and reviews elements of our corporate responsibility (including environmental sustainability), government affairs, and philanthropic activities.</w:t>
      </w:r>
    </w:p>
    <w:p>
      <w:pPr>
        <w:spacing w:after="0" w:line="200" w:lineRule="exact"/>
        <w:rPr>
          <w:sz w:val="20"/>
          <w:szCs w:val="20"/>
          <w:color w:val="auto"/>
        </w:rPr>
      </w:pPr>
    </w:p>
    <w:p>
      <w:pPr>
        <w:sectPr>
          <w:pgSz w:w="11900" w:h="16838" w:orient="portrait"/>
          <w:cols w:equalWidth="0" w:num="2">
            <w:col w:w="3760" w:space="360"/>
            <w:col w:w="7020"/>
          </w:cols>
          <w:pgMar w:left="320" w:top="486" w:right="439" w:bottom="1440" w:gutter="0" w:footer="0" w:header="0"/>
          <w:type w:val="continuous"/>
        </w:sectPr>
      </w:pPr>
    </w:p>
    <w:p>
      <w:pPr>
        <w:spacing w:after="0" w:line="30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About Our Compliance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p>
      <w:pPr>
        <w:spacing w:after="0" w:line="317"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Amgen’s Compliance Program is designed to promote ethical business conduct and compliance with applicable laws and regulations. The key objectives of our compliance program operations include:</w:t>
      </w:r>
    </w:p>
    <w:p>
      <w:pPr>
        <w:spacing w:after="0" w:line="109" w:lineRule="exact"/>
        <w:rPr>
          <w:sz w:val="20"/>
          <w:szCs w:val="20"/>
          <w:color w:val="auto"/>
        </w:rPr>
      </w:pPr>
    </w:p>
    <w:p>
      <w:pPr>
        <w:ind w:left="380" w:hanging="264"/>
        <w:spacing w:after="0"/>
        <w:tabs>
          <w:tab w:leader="none" w:pos="380" w:val="left"/>
        </w:tabs>
        <w:numPr>
          <w:ilvl w:val="0"/>
          <w:numId w:val="42"/>
        </w:numPr>
        <w:rPr>
          <w:rFonts w:ascii="Arial" w:cs="Arial" w:eastAsia="Arial" w:hAnsi="Arial"/>
          <w:sz w:val="17"/>
          <w:szCs w:val="17"/>
          <w:color w:val="0171B9"/>
        </w:rPr>
      </w:pPr>
      <w:r>
        <w:rPr>
          <w:rFonts w:ascii="Arial" w:cs="Arial" w:eastAsia="Arial" w:hAnsi="Arial"/>
          <w:sz w:val="17"/>
          <w:szCs w:val="17"/>
          <w:color w:val="auto"/>
        </w:rPr>
        <w:t>Developing policies and procedures;</w:t>
      </w:r>
    </w:p>
    <w:p>
      <w:pPr>
        <w:spacing w:after="0" w:line="115" w:lineRule="exact"/>
        <w:rPr>
          <w:rFonts w:ascii="Arial" w:cs="Arial" w:eastAsia="Arial" w:hAnsi="Arial"/>
          <w:sz w:val="17"/>
          <w:szCs w:val="17"/>
          <w:color w:val="0171B9"/>
        </w:rPr>
      </w:pPr>
    </w:p>
    <w:p>
      <w:pPr>
        <w:ind w:left="380" w:hanging="264"/>
        <w:spacing w:after="0"/>
        <w:tabs>
          <w:tab w:leader="none" w:pos="380" w:val="left"/>
        </w:tabs>
        <w:numPr>
          <w:ilvl w:val="0"/>
          <w:numId w:val="42"/>
        </w:numPr>
        <w:rPr>
          <w:rFonts w:ascii="Arial" w:cs="Arial" w:eastAsia="Arial" w:hAnsi="Arial"/>
          <w:sz w:val="17"/>
          <w:szCs w:val="17"/>
          <w:color w:val="0171B9"/>
        </w:rPr>
      </w:pPr>
      <w:r>
        <w:rPr>
          <w:rFonts w:ascii="Arial" w:cs="Arial" w:eastAsia="Arial" w:hAnsi="Arial"/>
          <w:sz w:val="17"/>
          <w:szCs w:val="17"/>
          <w:color w:val="auto"/>
        </w:rPr>
        <w:t>Providing ongoing compliance training and education;</w:t>
      </w:r>
    </w:p>
    <w:p>
      <w:pPr>
        <w:spacing w:after="0" w:line="115" w:lineRule="exact"/>
        <w:rPr>
          <w:rFonts w:ascii="Arial" w:cs="Arial" w:eastAsia="Arial" w:hAnsi="Arial"/>
          <w:sz w:val="17"/>
          <w:szCs w:val="17"/>
          <w:color w:val="0171B9"/>
        </w:rPr>
      </w:pPr>
    </w:p>
    <w:p>
      <w:pPr>
        <w:ind w:left="380" w:hanging="264"/>
        <w:spacing w:after="0"/>
        <w:tabs>
          <w:tab w:leader="none" w:pos="380" w:val="left"/>
        </w:tabs>
        <w:numPr>
          <w:ilvl w:val="0"/>
          <w:numId w:val="42"/>
        </w:numPr>
        <w:rPr>
          <w:rFonts w:ascii="Arial" w:cs="Arial" w:eastAsia="Arial" w:hAnsi="Arial"/>
          <w:sz w:val="17"/>
          <w:szCs w:val="17"/>
          <w:color w:val="0171B9"/>
        </w:rPr>
      </w:pPr>
      <w:r>
        <w:rPr>
          <w:rFonts w:ascii="Arial" w:cs="Arial" w:eastAsia="Arial" w:hAnsi="Arial"/>
          <w:sz w:val="17"/>
          <w:szCs w:val="17"/>
          <w:color w:val="auto"/>
        </w:rPr>
        <w:t>Auditing and monitoring compliance risks;</w:t>
      </w:r>
    </w:p>
    <w:p>
      <w:pPr>
        <w:spacing w:after="0" w:line="115" w:lineRule="exact"/>
        <w:rPr>
          <w:rFonts w:ascii="Arial" w:cs="Arial" w:eastAsia="Arial" w:hAnsi="Arial"/>
          <w:sz w:val="17"/>
          <w:szCs w:val="17"/>
          <w:color w:val="0171B9"/>
        </w:rPr>
      </w:pPr>
    </w:p>
    <w:p>
      <w:pPr>
        <w:jc w:val="both"/>
        <w:ind w:left="380" w:hanging="264"/>
        <w:spacing w:after="0" w:line="238" w:lineRule="auto"/>
        <w:tabs>
          <w:tab w:leader="none" w:pos="380" w:val="left"/>
        </w:tabs>
        <w:numPr>
          <w:ilvl w:val="0"/>
          <w:numId w:val="42"/>
        </w:numPr>
        <w:rPr>
          <w:rFonts w:ascii="Arial" w:cs="Arial" w:eastAsia="Arial" w:hAnsi="Arial"/>
          <w:sz w:val="17"/>
          <w:szCs w:val="17"/>
          <w:color w:val="0171B9"/>
        </w:rPr>
      </w:pPr>
      <w:r>
        <w:rPr>
          <w:rFonts w:ascii="Arial" w:cs="Arial" w:eastAsia="Arial" w:hAnsi="Arial"/>
          <w:sz w:val="17"/>
          <w:szCs w:val="17"/>
          <w:color w:val="auto"/>
        </w:rPr>
        <w:t>Maintaining and promoting avenues for staff to raise concerns without fear of retaliation, including anonymously through a business conduct hotline;</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266" w:hanging="266"/>
        <w:spacing w:after="0"/>
        <w:tabs>
          <w:tab w:leader="none" w:pos="266" w:val="left"/>
        </w:tabs>
        <w:numPr>
          <w:ilvl w:val="0"/>
          <w:numId w:val="43"/>
        </w:numPr>
        <w:rPr>
          <w:rFonts w:ascii="Arial" w:cs="Arial" w:eastAsia="Arial" w:hAnsi="Arial"/>
          <w:sz w:val="17"/>
          <w:szCs w:val="17"/>
          <w:color w:val="0171B9"/>
        </w:rPr>
      </w:pPr>
      <w:r>
        <w:rPr>
          <w:rFonts w:ascii="Arial" w:cs="Arial" w:eastAsia="Arial" w:hAnsi="Arial"/>
          <w:sz w:val="17"/>
          <w:szCs w:val="17"/>
          <w:color w:val="auto"/>
        </w:rPr>
        <w:t>Conducting investigations;</w:t>
      </w:r>
    </w:p>
    <w:p>
      <w:pPr>
        <w:spacing w:after="0" w:line="115" w:lineRule="exact"/>
        <w:rPr>
          <w:rFonts w:ascii="Arial" w:cs="Arial" w:eastAsia="Arial" w:hAnsi="Arial"/>
          <w:sz w:val="17"/>
          <w:szCs w:val="17"/>
          <w:color w:val="0171B9"/>
        </w:rPr>
      </w:pPr>
    </w:p>
    <w:p>
      <w:pPr>
        <w:ind w:left="266" w:hanging="266"/>
        <w:spacing w:after="0"/>
        <w:tabs>
          <w:tab w:leader="none" w:pos="266" w:val="left"/>
        </w:tabs>
        <w:numPr>
          <w:ilvl w:val="0"/>
          <w:numId w:val="43"/>
        </w:numPr>
        <w:rPr>
          <w:rFonts w:ascii="Arial" w:cs="Arial" w:eastAsia="Arial" w:hAnsi="Arial"/>
          <w:sz w:val="17"/>
          <w:szCs w:val="17"/>
          <w:color w:val="0171B9"/>
        </w:rPr>
      </w:pPr>
      <w:r>
        <w:rPr>
          <w:rFonts w:ascii="Arial" w:cs="Arial" w:eastAsia="Arial" w:hAnsi="Arial"/>
          <w:sz w:val="17"/>
          <w:szCs w:val="17"/>
          <w:color w:val="auto"/>
        </w:rPr>
        <w:t>Responding appropriately to any compliance violations;</w:t>
      </w:r>
    </w:p>
    <w:p>
      <w:pPr>
        <w:spacing w:after="0" w:line="115" w:lineRule="exact"/>
        <w:rPr>
          <w:rFonts w:ascii="Arial" w:cs="Arial" w:eastAsia="Arial" w:hAnsi="Arial"/>
          <w:sz w:val="17"/>
          <w:szCs w:val="17"/>
          <w:color w:val="0171B9"/>
        </w:rPr>
      </w:pPr>
    </w:p>
    <w:p>
      <w:pPr>
        <w:jc w:val="both"/>
        <w:ind w:left="266" w:right="20" w:hanging="266"/>
        <w:spacing w:after="0" w:line="238" w:lineRule="auto"/>
        <w:tabs>
          <w:tab w:leader="none" w:pos="266" w:val="left"/>
        </w:tabs>
        <w:numPr>
          <w:ilvl w:val="0"/>
          <w:numId w:val="43"/>
        </w:numPr>
        <w:rPr>
          <w:rFonts w:ascii="Arial" w:cs="Arial" w:eastAsia="Arial" w:hAnsi="Arial"/>
          <w:sz w:val="17"/>
          <w:szCs w:val="17"/>
          <w:color w:val="0171B9"/>
        </w:rPr>
      </w:pPr>
      <w:r>
        <w:rPr>
          <w:rFonts w:ascii="Arial" w:cs="Arial" w:eastAsia="Arial" w:hAnsi="Arial"/>
          <w:sz w:val="17"/>
          <w:szCs w:val="17"/>
          <w:color w:val="auto"/>
        </w:rPr>
        <w:t>Taking appropriate steps to detect and prevent recurrence, including by implementing appropriate corrective and preventive actions; and</w:t>
      </w:r>
    </w:p>
    <w:p>
      <w:pPr>
        <w:spacing w:after="0" w:line="106" w:lineRule="exact"/>
        <w:rPr>
          <w:rFonts w:ascii="Arial" w:cs="Arial" w:eastAsia="Arial" w:hAnsi="Arial"/>
          <w:sz w:val="17"/>
          <w:szCs w:val="17"/>
          <w:color w:val="0171B9"/>
        </w:rPr>
      </w:pPr>
    </w:p>
    <w:p>
      <w:pPr>
        <w:ind w:left="266" w:hanging="266"/>
        <w:spacing w:after="0"/>
        <w:tabs>
          <w:tab w:leader="none" w:pos="266" w:val="left"/>
        </w:tabs>
        <w:numPr>
          <w:ilvl w:val="0"/>
          <w:numId w:val="43"/>
        </w:numPr>
        <w:rPr>
          <w:rFonts w:ascii="Arial" w:cs="Arial" w:eastAsia="Arial" w:hAnsi="Arial"/>
          <w:sz w:val="17"/>
          <w:szCs w:val="17"/>
          <w:color w:val="0171B9"/>
        </w:rPr>
      </w:pPr>
      <w:r>
        <w:rPr>
          <w:rFonts w:ascii="Arial" w:cs="Arial" w:eastAsia="Arial" w:hAnsi="Arial"/>
          <w:sz w:val="17"/>
          <w:szCs w:val="17"/>
          <w:color w:val="auto"/>
        </w:rPr>
        <w:t>Promoting an ethical culture.</w:t>
      </w:r>
    </w:p>
    <w:p>
      <w:pPr>
        <w:spacing w:after="0" w:line="102" w:lineRule="exact"/>
        <w:rPr>
          <w:sz w:val="20"/>
          <w:szCs w:val="20"/>
          <w:color w:val="auto"/>
        </w:rPr>
      </w:pPr>
    </w:p>
    <w:p>
      <w:pPr>
        <w:jc w:val="both"/>
        <w:ind w:left="6" w:right="20"/>
        <w:spacing w:after="0" w:line="238" w:lineRule="auto"/>
        <w:rPr>
          <w:sz w:val="20"/>
          <w:szCs w:val="20"/>
          <w:color w:val="auto"/>
        </w:rPr>
      </w:pPr>
      <w:r>
        <w:rPr>
          <w:rFonts w:ascii="Arial" w:cs="Arial" w:eastAsia="Arial" w:hAnsi="Arial"/>
          <w:sz w:val="17"/>
          <w:szCs w:val="17"/>
          <w:color w:val="auto"/>
        </w:rPr>
        <w:t>Our Chief Compliance Officer, who reports to the CEO and the Compliance Committee, oversees the ongoing operations of the compliance program.</w:t>
      </w:r>
    </w:p>
    <w:p>
      <w:pPr>
        <w:spacing w:after="0" w:line="402" w:lineRule="exact"/>
        <w:rPr>
          <w:sz w:val="20"/>
          <w:szCs w:val="20"/>
          <w:color w:val="auto"/>
        </w:rPr>
      </w:pPr>
    </w:p>
    <w:p>
      <w:pPr>
        <w:sectPr>
          <w:pgSz w:w="11900" w:h="16838" w:orient="portrait"/>
          <w:cols w:equalWidth="0" w:num="2">
            <w:col w:w="5400" w:space="334"/>
            <w:col w:w="5406"/>
          </w:cols>
          <w:pgMar w:left="320" w:top="486" w:right="439" w:bottom="1440" w:gutter="0" w:footer="0" w:header="0"/>
          <w:type w:val="continuous"/>
        </w:sectPr>
      </w:pPr>
    </w:p>
    <w:p>
      <w:pPr>
        <w:spacing w:after="0" w:line="72"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30</w:t>
      </w:r>
      <w:r>
        <w:rPr>
          <w:sz w:val="20"/>
          <w:szCs w:val="20"/>
          <w:color w:val="auto"/>
        </w:rPr>
        <w:tab/>
      </w:r>
      <w:r>
        <w:rPr>
          <w:sz w:val="1"/>
          <w:szCs w:val="1"/>
          <w:color w:val="auto"/>
        </w:rPr>
        <w:drawing>
          <wp:inline distT="0" distB="0" distL="0" distR="0">
            <wp:extent cx="582930" cy="13716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pacing w:after="0" w:line="343" w:lineRule="exact"/>
        <w:rPr>
          <w:sz w:val="20"/>
          <w:szCs w:val="20"/>
          <w:color w:val="auto"/>
        </w:rPr>
      </w:pPr>
    </w:p>
    <w:p>
      <w:pPr>
        <w:ind w:left="120" w:right="440"/>
        <w:spacing w:after="0" w:line="288" w:lineRule="auto"/>
        <w:rPr>
          <w:sz w:val="20"/>
          <w:szCs w:val="20"/>
          <w:color w:val="auto"/>
        </w:rPr>
      </w:pPr>
      <w:r>
        <w:rPr>
          <w:rFonts w:ascii="Arial" w:cs="Arial" w:eastAsia="Arial" w:hAnsi="Arial"/>
          <w:sz w:val="25"/>
          <w:szCs w:val="25"/>
          <w:b w:val="1"/>
          <w:bCs w:val="1"/>
          <w:color w:val="0171B9"/>
        </w:rPr>
        <w:t>Our Approach to Environmental Sustainability, Social Responsibility, and 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12"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Amgen’s ESG strategy begins with our mission to serve patients and is supported by our long-standing focus on using resources responsibly to support the sustainability of our business and the global environment in which we and our patients live.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ESG Oversight and Governance</w:t>
      </w:r>
    </w:p>
    <w:p>
      <w:pPr>
        <w:spacing w:after="0" w:line="124"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ESG at Amgen is governed at the highest levels and includes Board and committee oversight, executive-level leadership, and subject-matter experts who lead our ESG efforts across our business.</w:t>
      </w:r>
    </w:p>
    <w:p>
      <w:pPr>
        <w:spacing w:after="0" w:line="73" w:lineRule="exact"/>
        <w:rPr>
          <w:sz w:val="20"/>
          <w:szCs w:val="20"/>
          <w:color w:val="auto"/>
        </w:rPr>
      </w:pPr>
    </w:p>
    <w:p>
      <w:pPr>
        <w:jc w:val="both"/>
        <w:ind w:left="120"/>
        <w:spacing w:after="0"/>
        <w:rPr>
          <w:sz w:val="20"/>
          <w:szCs w:val="20"/>
          <w:color w:val="auto"/>
        </w:rPr>
      </w:pPr>
      <w:r>
        <w:rPr>
          <w:rFonts w:ascii="Arial" w:cs="Arial" w:eastAsia="Arial" w:hAnsi="Arial"/>
          <w:sz w:val="17"/>
          <w:szCs w:val="17"/>
          <w:b w:val="1"/>
          <w:bCs w:val="1"/>
          <w:i w:val="1"/>
          <w:iCs w:val="1"/>
          <w:color w:val="0171B9"/>
        </w:rPr>
        <w:t xml:space="preserve">Board Oversight. </w:t>
      </w:r>
      <w:r>
        <w:rPr>
          <w:rFonts w:ascii="Arial" w:cs="Arial" w:eastAsia="Arial" w:hAnsi="Arial"/>
          <w:sz w:val="17"/>
          <w:szCs w:val="17"/>
          <w:color w:val="000000"/>
        </w:rPr>
        <w:t>The Board and its applicable committees provide</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guidance and oversight to management with respect to ESG matters. The Compliance Committee assists the Board in overseeing our activities in areas that include environmental sustainability and access to medicines. The Compensation Committee provides oversight of our approach to human capital management, including diversity, inclusion and belonging. The Governance Committee oversees the Company’s corporate governance activities and Board membership. The Audit Committee provides oversight of our disclosure controls and procedures, including those that support our ESG reporting metrics.</w:t>
      </w:r>
    </w:p>
    <w:p>
      <w:pPr>
        <w:spacing w:after="0" w:line="252"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Additionally, management shares feedback received from our stockholders with the Board, including in connection with our governance-focused engagement program. For additional information, please see “Feedback From our Stockholders and Responsive Actions Taken by Our Board” on page 54 of our Compensation Discussion and Analysis.</w:t>
      </w:r>
    </w:p>
    <w:p>
      <w:pPr>
        <w:spacing w:after="0" w:line="74"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b w:val="1"/>
          <w:bCs w:val="1"/>
          <w:i w:val="1"/>
          <w:iCs w:val="1"/>
          <w:color w:val="0171B9"/>
        </w:rPr>
        <w:t xml:space="preserve">Management Leadership. </w:t>
      </w:r>
      <w:r>
        <w:rPr>
          <w:rFonts w:ascii="Arial" w:cs="Arial" w:eastAsia="Arial" w:hAnsi="Arial"/>
          <w:sz w:val="17"/>
          <w:szCs w:val="17"/>
          <w:color w:val="000000"/>
        </w:rPr>
        <w:t>A cross-functional, executive-level</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governance council sets our overall ESG strategy, provides guidance on program implementation, and oversees the continuing enhancement of our approach to ESG. This council, chaired by our Senior Vice President, Corporate Affairs, regularly evaluates current and emerging ESG-related risk topics that are relevant to our business, including those considered as part of our ERM program. For additional information, please see “The Board’s Role in Risk Oversight” previously discussed.</w:t>
      </w:r>
    </w:p>
    <w:p>
      <w:pPr>
        <w:spacing w:after="0" w:line="99"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Our ESG framework currently includes four strategic pillars—Healthy People, Healthy Society, Healthy Planet, and A Healthy Amgen—that serve as organizing principles facilitating our ability to address the interconnectivity of issues in a more holistic way across our business.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20"/>
          <w:szCs w:val="20"/>
          <w:b w:val="1"/>
          <w:bCs w:val="1"/>
          <w:u w:val="single" w:color="auto"/>
          <w:color w:val="0171B9"/>
        </w:rPr>
        <w:t>Amgen’s ESG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163195</wp:posOffset>
            </wp:positionV>
            <wp:extent cx="2931795" cy="37287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931795"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i w:val="1"/>
          <w:iCs w:val="1"/>
          <w:color w:val="0171B9"/>
        </w:rPr>
        <w:t xml:space="preserve">Program Implementation. </w:t>
      </w:r>
      <w:r>
        <w:rPr>
          <w:rFonts w:ascii="Arial" w:cs="Arial" w:eastAsia="Arial" w:hAnsi="Arial"/>
          <w:sz w:val="17"/>
          <w:szCs w:val="17"/>
          <w:color w:val="000000"/>
        </w:rPr>
        <w:t>Each pillar is supported by an initiative</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steering committee and, together with the oversight of our executive leadership, individual programmatic elements are managed at the business function level. Building on our inaugural 2021 ESG goal included as part of our Company performance goals for our annual cash incentive plan, our Compensation Committee approved an expanded 2022 ESG goal to support the timely achievement of our 2027 environmental sustainability targets and expand the number of leaders directly responsible for taking action in our support of our diversity, inclusion and belonging efforts. For additional information, please see “Our Approach to Environmental Sustainability, Social Responsibility, and Corporate Governance” in our Compensation Discussion and Analysis.</w:t>
      </w:r>
    </w:p>
    <w:p>
      <w:pPr>
        <w:spacing w:after="0" w:line="97"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In addition to our history of strong corporate governance practices, examples of our ESG initiatives include our endeavors to strengthen science education and inspire the next generation of scientists (as discussed more fully in the “Social Responsibility” section below), expand access to our medicines and support efforts to strengthen healthcare systems to better serve patients in need worldwide, and pursue a more environmentally sustainable business model.</w:t>
      </w:r>
    </w:p>
    <w:p>
      <w:pPr>
        <w:spacing w:after="0" w:line="200"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75" w:lineRule="exact"/>
        <w:rPr>
          <w:sz w:val="20"/>
          <w:szCs w:val="20"/>
          <w:color w:val="auto"/>
        </w:r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80"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ectPr>
          <w:pgSz w:w="11900" w:h="16838" w:orient="portrait"/>
          <w:cols w:equalWidth="0" w:num="1">
            <w:col w:w="11140"/>
          </w:cols>
          <w:pgMar w:left="320" w:top="486" w:right="439" w:bottom="1440" w:gutter="0" w:footer="0" w:header="0"/>
        </w:sectPr>
      </w:pPr>
    </w:p>
    <w:p>
      <w:pPr>
        <w:spacing w:after="0" w:line="3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Environmental Sustainability</w:t>
      </w:r>
    </w:p>
    <w:p>
      <w:pPr>
        <w:spacing w:after="0" w:line="124"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We have a long-standing objective to conduct environmentally responsible operations and regularly set targets to challenge ourselves to deliver further improvements. Since 2007, we have successfully advanced our environmental sustainability program while substantially increasing our global production capacity and patient reach.</w:t>
      </w:r>
    </w:p>
    <w:p>
      <w:pPr>
        <w:spacing w:after="0" w:line="94"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Building on the successful execution of our 2013-2020 conservation targets, our 2021-2027 environmental sustainability plan (our third since 2007) includes a target of achieving carbon neutrality in our operations by 2027, while also aiming to further reduce our water use (by 40%) and waste disposed (by 75%).</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150495</wp:posOffset>
            </wp:positionV>
            <wp:extent cx="3364230" cy="254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4230" cy="254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220" w:right="100"/>
        <w:spacing w:after="0" w:line="239" w:lineRule="auto"/>
        <w:rPr>
          <w:sz w:val="20"/>
          <w:szCs w:val="20"/>
          <w:color w:val="auto"/>
        </w:rPr>
      </w:pPr>
      <w:r>
        <w:rPr>
          <w:rFonts w:ascii="Arial" w:cs="Arial" w:eastAsia="Arial" w:hAnsi="Arial"/>
          <w:sz w:val="17"/>
          <w:szCs w:val="17"/>
          <w:b w:val="1"/>
          <w:bCs w:val="1"/>
          <w:color w:val="auto"/>
        </w:rPr>
        <w:t>Our 2027 Scope 1 and 2 carbon emissions and Scope 3 supplier engagement targets have been approved by the Science Based Targets initiative (SBTi), a global body enabling businesses to set emissions reductions targets in line with the goals of the Paris Agreement (to limit global warming to 1.5°C above pre-industrial levels).</w:t>
      </w:r>
    </w:p>
    <w:p>
      <w:pPr>
        <w:spacing w:after="0" w:line="155"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b w:val="1"/>
          <w:bCs w:val="1"/>
          <w:i w:val="1"/>
          <w:iCs w:val="1"/>
          <w:color w:val="0171B9"/>
        </w:rPr>
        <w:t xml:space="preserve">Our 2027 Environmental Sustainability Plan. </w:t>
      </w:r>
      <w:r>
        <w:rPr>
          <w:rFonts w:ascii="Arial" w:cs="Arial" w:eastAsia="Arial" w:hAnsi="Arial"/>
          <w:sz w:val="17"/>
          <w:szCs w:val="17"/>
          <w:color w:val="000000"/>
        </w:rPr>
        <w:t>To achieve our 2027</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goals, we are harnessing our innovative capabilities to help combat climate change and preserve natural resources. We expect these efforts to help us become not just more environmentally sustainable but also more flexible and productive, resulting in reductions in operating costs from such efficiencies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586740</wp:posOffset>
            </wp:positionV>
            <wp:extent cx="7715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Our 2027 plan is designed to drive specific environmental sustainability projects across our operations, including continued investment in highly resource efficient biomanufacturing, smart and integrated facility design, use of on-site solar and other renewable energy sources, electric vehicle fleet conversion, treatment and reuse of water, reduction and recycling of single-use plastics, and the reduction of consumables packaging. This plan also includes activities designed to address the potential risks and integrate opportunities from climate change into our existing processes for strategic planning, analysis, and risk management.</w:t>
      </w:r>
    </w:p>
    <w:p>
      <w:pPr>
        <w:spacing w:after="0" w:line="10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To support the advancement of our 2027 goals, we issued $750 million of green bonds in 2022 to fund initiatives that are intended to further mitigate our impact on the environment. Proceeds from the green bond issuance have been used to fund the construction of green buildings and improve the environmental footprint of our operations. (For more information, please see our Green Bond Allocation Report available at </w:t>
      </w:r>
      <w:r>
        <w:rPr>
          <w:rFonts w:ascii="Arial" w:cs="Arial" w:eastAsia="Arial" w:hAnsi="Arial"/>
          <w:sz w:val="17"/>
          <w:szCs w:val="17"/>
          <w:i w:val="1"/>
          <w:iCs w:val="1"/>
          <w:color w:val="0171B9"/>
        </w:rPr>
        <w:t>www.amgen.com</w:t>
      </w:r>
      <w:r>
        <w:rPr>
          <w:rFonts w:ascii="Arial" w:cs="Arial" w:eastAsia="Arial" w:hAnsi="Arial"/>
          <w:sz w:val="17"/>
          <w:szCs w:val="17"/>
          <w:color w:val="000000"/>
        </w:rPr>
        <w:t>.</w:t>
      </w:r>
      <w:r>
        <w:rPr>
          <w:rFonts w:ascii="Arial" w:cs="Arial" w:eastAsia="Arial" w:hAnsi="Arial"/>
          <w:sz w:val="12"/>
          <w:szCs w:val="12"/>
          <w:color w:val="000000"/>
        </w:rPr>
        <w:t>(2)</w:t>
      </w:r>
      <w:r>
        <w:rPr>
          <w:rFonts w:ascii="Arial" w:cs="Arial" w:eastAsia="Arial" w:hAnsi="Arial"/>
          <w:sz w:val="17"/>
          <w:szCs w:val="17"/>
          <w:color w:val="000000"/>
        </w:rPr>
        <w:t>)</w:t>
      </w:r>
    </w:p>
    <w:p>
      <w:pPr>
        <w:spacing w:after="0" w:line="77" w:lineRule="exact"/>
        <w:rPr>
          <w:sz w:val="20"/>
          <w:szCs w:val="20"/>
          <w:color w:val="auto"/>
        </w:rPr>
      </w:pPr>
    </w:p>
    <w:p>
      <w:pPr>
        <w:jc w:val="both"/>
        <w:ind w:right="20"/>
        <w:spacing w:after="0" w:line="239" w:lineRule="auto"/>
        <w:rPr>
          <w:sz w:val="20"/>
          <w:szCs w:val="20"/>
          <w:color w:val="auto"/>
        </w:rPr>
      </w:pPr>
      <w:r>
        <w:rPr>
          <w:rFonts w:ascii="Arial" w:cs="Arial" w:eastAsia="Arial" w:hAnsi="Arial"/>
          <w:sz w:val="17"/>
          <w:szCs w:val="17"/>
          <w:b w:val="1"/>
          <w:bCs w:val="1"/>
          <w:i w:val="1"/>
          <w:iCs w:val="1"/>
          <w:color w:val="0171B9"/>
        </w:rPr>
        <w:t xml:space="preserve">The Road to Net Zero. </w:t>
      </w:r>
      <w:r>
        <w:rPr>
          <w:rFonts w:ascii="Arial" w:cs="Arial" w:eastAsia="Arial" w:hAnsi="Arial"/>
          <w:sz w:val="17"/>
          <w:szCs w:val="17"/>
          <w:color w:val="000000"/>
        </w:rPr>
        <w:t>To help achieve our goal of carbon neutrality</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by 2027</w:t>
      </w:r>
      <w:r>
        <w:rPr>
          <w:rFonts w:ascii="Arial" w:cs="Arial" w:eastAsia="Arial" w:hAnsi="Arial"/>
          <w:sz w:val="12"/>
          <w:szCs w:val="12"/>
          <w:color w:val="000000"/>
        </w:rPr>
        <w:t>(1)</w:t>
      </w:r>
      <w:r>
        <w:rPr>
          <w:rFonts w:ascii="Arial" w:cs="Arial" w:eastAsia="Arial" w:hAnsi="Arial"/>
          <w:sz w:val="17"/>
          <w:szCs w:val="17"/>
          <w:color w:val="000000"/>
        </w:rPr>
        <w:t>, Amgen is focusing on the use of innovative technologies and efficiency projects to reduce carbon emissions from our owned and operated facilities, in addition to sourcing renewable energy. Where renewable sources are not available, we expect to prioritize offsetting based on the quality of the credit or offset.</w:t>
      </w:r>
    </w:p>
    <w:p>
      <w:pPr>
        <w:spacing w:after="0" w:line="7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i w:val="1"/>
          <w:iCs w:val="1"/>
          <w:color w:val="0171B9"/>
        </w:rPr>
        <w:t xml:space="preserve">Sustainability by Design. </w:t>
      </w:r>
      <w:r>
        <w:rPr>
          <w:rFonts w:ascii="Arial" w:cs="Arial" w:eastAsia="Arial" w:hAnsi="Arial"/>
          <w:sz w:val="17"/>
          <w:szCs w:val="17"/>
          <w:color w:val="000000"/>
        </w:rPr>
        <w:t>Amgen helped to invent the processes and</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tools that created the global biotech industry. As we continue to grow and innovate, we are pioneering advanced technologies and implementing more environmentally responsible approaches throughout the Company to increase operational efficiency and reduce our environmental footprint. Amgen Ecovation</w:t>
      </w:r>
      <w:r>
        <w:rPr>
          <w:rFonts w:ascii="Arial" w:cs="Arial" w:eastAsia="Arial" w:hAnsi="Arial"/>
          <w:sz w:val="12"/>
          <w:szCs w:val="12"/>
          <w:color w:val="000000"/>
        </w:rPr>
        <w:t>™</w:t>
      </w:r>
      <w:r>
        <w:rPr>
          <w:rFonts w:ascii="Arial" w:cs="Arial" w:eastAsia="Arial" w:hAnsi="Arial"/>
          <w:sz w:val="17"/>
          <w:szCs w:val="17"/>
          <w:color w:val="000000"/>
        </w:rPr>
        <w:t xml:space="preserve"> is our approach to innovative and sustainable manufacturing, which we integrate into the upfront design, development, and execution of all new laboratory, manufacturing, and administrative buildings.</w:t>
      </w:r>
    </w:p>
    <w:p>
      <w:pPr>
        <w:spacing w:after="0" w:line="9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Our biomanufacturing facility in Singapore, which began commercial production in 2017, is an example of our innovative capability at work. This redesign of our approach to biomanufacturing dramatically reduces the scale and costs of making biologic medicines, and vastly reduces water and energy use, while maintaining a reliable, high-quality, compliant supply of medicines.</w:t>
      </w:r>
    </w:p>
    <w:p>
      <w:pPr>
        <w:spacing w:after="0" w:line="94"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The success of our facility in Singapore led to our building a second such plant in the U.S. in Rhode Island. This facility was licensed by the U.S. Food and Drug Administration in January 2022 and supports product volume growth, while delivering environmental and operating efficiencies.</w:t>
      </w:r>
    </w:p>
    <w:p>
      <w:pPr>
        <w:spacing w:after="0" w:line="200"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136" w:lineRule="exact"/>
        <w:rPr>
          <w:sz w:val="20"/>
          <w:szCs w:val="20"/>
          <w:color w:val="auto"/>
        </w:rPr>
      </w:pPr>
    </w:p>
    <w:p>
      <w:pPr>
        <w:ind w:left="540" w:right="20" w:hanging="424"/>
        <w:spacing w:after="0" w:line="187" w:lineRule="auto"/>
        <w:tabs>
          <w:tab w:leader="none" w:pos="54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Carbon neutrality goal refers to Scope 1 and 2. Reductions take into account only verified reduction projections, do not take into account changes associated with the contraction or expansion of the Company and are measured against a 2019 baseline.</w:t>
      </w:r>
    </w:p>
    <w:p>
      <w:pPr>
        <w:spacing w:after="0" w:line="1" w:lineRule="exact"/>
        <w:rPr>
          <w:rFonts w:ascii="Arial" w:cs="Arial" w:eastAsia="Arial" w:hAnsi="Arial"/>
          <w:sz w:val="22"/>
          <w:szCs w:val="22"/>
          <w:color w:val="auto"/>
          <w:vertAlign w:val="superscript"/>
        </w:rPr>
      </w:pPr>
    </w:p>
    <w:p>
      <w:pPr>
        <w:ind w:left="540" w:hanging="424"/>
        <w:spacing w:after="0" w:line="189" w:lineRule="auto"/>
        <w:tabs>
          <w:tab w:leader="none" w:pos="540" w:val="left"/>
        </w:tabs>
        <w:numPr>
          <w:ilvl w:val="0"/>
          <w:numId w:val="44"/>
        </w:numPr>
        <w:rPr>
          <w:rFonts w:ascii="Arial" w:cs="Arial" w:eastAsia="Arial" w:hAnsi="Arial"/>
          <w:sz w:val="19"/>
          <w:szCs w:val="19"/>
          <w:color w:val="auto"/>
          <w:vertAlign w:val="superscript"/>
        </w:rPr>
      </w:pPr>
      <w:r>
        <w:rPr>
          <w:rFonts w:ascii="Arial" w:cs="Arial" w:eastAsia="Arial" w:hAnsi="Arial"/>
          <w:sz w:val="13"/>
          <w:szCs w:val="13"/>
          <w:color w:val="auto"/>
        </w:rPr>
        <w:t>Reference to our website is not intended to function as a hyperlink and the information contained on our website is not intended to be part of this proxy statement.</w:t>
      </w:r>
    </w:p>
    <w:p>
      <w:pPr>
        <w:spacing w:after="0" w:line="117"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32</w:t>
      </w:r>
      <w:r>
        <w:rPr>
          <w:sz w:val="20"/>
          <w:szCs w:val="20"/>
          <w:color w:val="auto"/>
        </w:rPr>
        <w:tab/>
      </w:r>
      <w:r>
        <w:rPr>
          <w:sz w:val="1"/>
          <w:szCs w:val="1"/>
          <w:color w:val="auto"/>
        </w:rPr>
        <w:drawing>
          <wp:inline distT="0" distB="0" distL="0" distR="0">
            <wp:extent cx="582930" cy="13716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We continue to apply innovation to our facilities with multiple ongoing projects, including in connection with the expansion of our U.S. plants. For example, Amgen Ecovation is guiding design and construction efforts at our new state-of-the-art facilities in Ohio (final product assembly and packaging plant) and North Carolina (multi-product drug substance facility). Both facilities will utilize cutting edge technologies and contain many examples of environmental innovation, including on-site photovoltaic renewable energy generation. These new sites are expected to support our ability to meet the demand for our medicines and bring hundreds of full-time jobs to the regions while expanding our access to diverse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-4715510</wp:posOffset>
            </wp:positionV>
            <wp:extent cx="2743200" cy="32575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43200" cy="3257550"/>
                    </a:xfrm>
                    <a:prstGeom prst="rect">
                      <a:avLst/>
                    </a:prstGeom>
                    <a:noFill/>
                  </pic:spPr>
                </pic:pic>
              </a:graphicData>
            </a:graphic>
          </wp:anchor>
        </w:drawing>
      </w:r>
    </w:p>
    <w:p>
      <w:pPr>
        <w:spacing w:after="0" w:line="60"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b w:val="1"/>
          <w:bCs w:val="1"/>
          <w:i w:val="1"/>
          <w:iCs w:val="1"/>
          <w:color w:val="0171B9"/>
        </w:rPr>
        <w:t xml:space="preserve">Sustainable Value Chain. </w:t>
      </w:r>
      <w:r>
        <w:rPr>
          <w:rFonts w:ascii="Arial" w:cs="Arial" w:eastAsia="Arial" w:hAnsi="Arial"/>
          <w:sz w:val="17"/>
          <w:szCs w:val="17"/>
          <w:color w:val="000000"/>
        </w:rPr>
        <w:t>Our footprint and focus on sustainability</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extend beyond our own employees and facilities. In 2022, we established a Scope 3 supplier engagement target to engage with 73% of our key suppliers to support their adoption of science-based carbon emissions reduction targets.</w:t>
      </w:r>
    </w:p>
    <w:p>
      <w:pPr>
        <w:spacing w:after="0" w:line="72"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b w:val="1"/>
          <w:bCs w:val="1"/>
          <w:i w:val="1"/>
          <w:iCs w:val="1"/>
          <w:color w:val="0171B9"/>
        </w:rPr>
        <w:t xml:space="preserve">ESG Reporting. </w:t>
      </w:r>
      <w:r>
        <w:rPr>
          <w:rFonts w:ascii="Arial" w:cs="Arial" w:eastAsia="Arial" w:hAnsi="Arial"/>
          <w:sz w:val="17"/>
          <w:szCs w:val="17"/>
          <w:color w:val="000000"/>
        </w:rPr>
        <w:t>Supported by feedback from our investors, in 2022</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we pursued and received SBTi approval of our 2027 Scope 1 and 2 carbon emissions and Scope 3 supplier engagement targets. Additionally, in response to investor interest, we have expanded and enhanced our ESG reporting, including by mapping the disclosures in our annual ESG Report to the Sustainability Accounting Standards Board (SASB) standards for our industry, disclosing our annual Consolidated EEO-1 Report, and providing additional information on our approach to political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264160</wp:posOffset>
            </wp:positionV>
            <wp:extent cx="7715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Since 2010, Amgen has reported to CDP (formally the Carbon Disclosure Project). Over time, CDP’s disclosure platform for climate change has evolved to contain over 25 questions (within its governance, risks and opportunities, strategy, targets and emissions modules) that are aligned with the recommendations of the Task Force on Climate-related Financial Disclosures, or TCFD; this platform is now nearly in full alignment with the TCFD. We continue to report to the CDP as thoroughly as possible and are undertaking a TCFD-aligned scenario analysis to improve our understanding of the physical and transitional effects of climate change as well as inform our future reporting. In 2022, based on insights from an initial assessment of three sites, we piloted a comprehensive, asset-level risk assessment of our Puerto Rico facility.</w:t>
      </w:r>
    </w:p>
    <w:p>
      <w:pPr>
        <w:spacing w:after="0" w:line="7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i w:val="1"/>
          <w:iCs w:val="1"/>
          <w:color w:val="0171B9"/>
        </w:rPr>
        <w:t xml:space="preserve">United Nations Global Compact. </w:t>
      </w:r>
      <w:r>
        <w:rPr>
          <w:rFonts w:ascii="Arial" w:cs="Arial" w:eastAsia="Arial" w:hAnsi="Arial"/>
          <w:sz w:val="17"/>
          <w:szCs w:val="17"/>
          <w:color w:val="000000"/>
        </w:rPr>
        <w:t>We are a signatory to the United</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Nations Global Compact, a voluntary initiative based on commitments to implement universal sustainability principles and take steps to support the United Nations Sustainable Development Goals.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Social Responsibility</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7"/>
          <w:szCs w:val="17"/>
          <w:b w:val="1"/>
          <w:bCs w:val="1"/>
          <w:i w:val="1"/>
          <w:iCs w:val="1"/>
          <w:color w:val="0171B9"/>
        </w:rPr>
        <w:t xml:space="preserve">Improving Patient Access to Medicines. </w:t>
      </w:r>
      <w:r>
        <w:rPr>
          <w:rFonts w:ascii="Arial" w:cs="Arial" w:eastAsia="Arial" w:hAnsi="Arial"/>
          <w:sz w:val="17"/>
          <w:szCs w:val="17"/>
          <w:color w:val="000000"/>
        </w:rPr>
        <w:t>Through patient assistance</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programs, expanded access to investigational therapies, donations, and other initiatives, Amgen has developed support programs for eligible patients around the world as they seek to obtain the medicines they need.</w:t>
      </w:r>
    </w:p>
    <w:p>
      <w:pPr>
        <w:spacing w:after="0" w:line="92"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Amgen Safety Net Foundation (ASNF), a separate legal entity entirely funded by Amgen, supports qualifying patients in the U.S. who might go without important medicines because of financial limitations, by providing our medicines at no cost. In 2022, the commercial value of Amgen’s medicines provided at no cost to uninsured or underinsured patients by ASNF was approximately $2.2 billion.</w:t>
      </w:r>
      <w:r>
        <w:rPr>
          <w:rFonts w:ascii="Arial" w:cs="Arial" w:eastAsia="Arial" w:hAnsi="Arial"/>
          <w:sz w:val="12"/>
          <w:szCs w:val="12"/>
          <w:color w:val="auto"/>
        </w:rPr>
        <w:t>(1)</w:t>
      </w:r>
    </w:p>
    <w:p>
      <w:pPr>
        <w:spacing w:after="0" w:line="9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Since 2018, Amgen has also donated approximately $230 million worth of Amgen cancer treatment and supportive care medicines</w:t>
      </w:r>
      <w:r>
        <w:rPr>
          <w:rFonts w:ascii="Arial" w:cs="Arial" w:eastAsia="Arial" w:hAnsi="Arial"/>
          <w:sz w:val="12"/>
          <w:szCs w:val="12"/>
          <w:color w:val="auto"/>
        </w:rPr>
        <w:t>(1)</w:t>
      </w:r>
      <w:r>
        <w:rPr>
          <w:rFonts w:ascii="Arial" w:cs="Arial" w:eastAsia="Arial" w:hAnsi="Arial"/>
          <w:sz w:val="17"/>
          <w:szCs w:val="17"/>
          <w:color w:val="auto"/>
        </w:rPr>
        <w:t xml:space="preserve"> for distribution to patients in more than 30 low- and middle-income countries, including in response to the unfolding humanitarian crisis in Ukraine, through Direct Relief, a leading non-governmental organization.</w:t>
      </w:r>
    </w:p>
    <w:p>
      <w:pPr>
        <w:spacing w:after="0" w:line="9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continue to offer and implement value-based contracts in an effort to help improve patient access to medicines and offer stakeholders greater budget predictability.</w:t>
      </w:r>
    </w:p>
    <w:p>
      <w:pPr>
        <w:spacing w:after="0" w:line="7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b w:val="1"/>
          <w:bCs w:val="1"/>
          <w:i w:val="1"/>
          <w:iCs w:val="1"/>
          <w:color w:val="0171B9"/>
        </w:rPr>
        <w:t xml:space="preserve">Advancing Health Equity. </w:t>
      </w:r>
      <w:r>
        <w:rPr>
          <w:rFonts w:ascii="Arial" w:cs="Arial" w:eastAsia="Arial" w:hAnsi="Arial"/>
          <w:sz w:val="17"/>
          <w:szCs w:val="17"/>
          <w:color w:val="000000"/>
        </w:rPr>
        <w:t>As part of our mission to serve patients, we</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are working to improve the diversity and representation of racial and ethnic minority populations in clinical trial research at Amgen and to advance solutions and increase dialogue regarding this area across the industry.</w:t>
      </w:r>
    </w:p>
    <w:p>
      <w:pPr>
        <w:spacing w:after="0" w:line="1434"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180"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Valued at wholesale acquisition cost.</w:t>
      </w:r>
    </w:p>
    <w:p>
      <w:pPr>
        <w:spacing w:after="0" w:line="117"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We recognize the importance of a patient-centric approach to clinical research and our Representation in Clinical Research (RISE) team is working with groups within Amgen and outside of the business towards exceeding industry standards for clinical trial diversity and representation and helping Amgen develop new medicines studied in participants who better reflect the populations affected by certain diseases or conditions. RISE has helped develop tools that further advance our approach to diverse clinical trial design, site selection and patient enrollment. Outside of Amgen, RISE is working with partners to connect more patients from under-represented groups to clinical trials, including through a new pilot program with the American Cancer Society Cancer Action Network to screen potential patients at smaller, community-based sites and a project with the Digital Medicine Society to develop digital tools enabling clinical trial participation from home.</w:t>
      </w:r>
    </w:p>
    <w:p>
      <w:pPr>
        <w:spacing w:after="0" w:line="96"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We also continue building relationships with leaders and organizations in diverse communities to help address healthcare disparities and increase patient, caregiver, and healthcare provider access to culturally relevant health education.</w:t>
      </w:r>
    </w:p>
    <w:p>
      <w:pPr>
        <w:spacing w:after="0" w:line="75"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b w:val="1"/>
          <w:bCs w:val="1"/>
          <w:i w:val="1"/>
          <w:iCs w:val="1"/>
          <w:color w:val="0171B9"/>
        </w:rPr>
        <w:t xml:space="preserve">Supplier Diversity and Responsible Sourcing. </w:t>
      </w:r>
      <w:r>
        <w:rPr>
          <w:rFonts w:ascii="Arial" w:cs="Arial" w:eastAsia="Arial" w:hAnsi="Arial"/>
          <w:sz w:val="17"/>
          <w:szCs w:val="17"/>
          <w:color w:val="000000"/>
        </w:rPr>
        <w:t>Our U.S. Supplier</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Program is designed to identify, develop, and utilize small, disadvantaged, veteran, LGBTQ, minority, disabled, and women-owned business enterprises, as well as companies located in historically underutilized business zones, in our procurement of goods and services. In 2022, we expanded the number of suppliers participating in our mentorship program by 30%.</w:t>
      </w:r>
    </w:p>
    <w:p>
      <w:pPr>
        <w:spacing w:after="0" w:line="94"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All staff members are guided by the Amgen Values and global Code of Conduct and, similarly, we request our suppliers to conduct their businesses in alignment with our mission and values. Our supplier sustainability program focuses not only on quality, cost, and reliability but also on a wide range of sustainability and social responsibility considerations, such as business ethics, labor and human rights, and environmental impacts. We expect our suppliers to support diversity within their value chains and require key suppliers to report to us on their diversity spend.</w:t>
      </w:r>
    </w:p>
    <w:p>
      <w:pPr>
        <w:spacing w:after="0" w:line="74"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b w:val="1"/>
          <w:bCs w:val="1"/>
          <w:i w:val="1"/>
          <w:iCs w:val="1"/>
          <w:color w:val="0171B9"/>
        </w:rPr>
        <w:t xml:space="preserve">Science Education. </w:t>
      </w:r>
      <w:r>
        <w:rPr>
          <w:rFonts w:ascii="Arial" w:cs="Arial" w:eastAsia="Arial" w:hAnsi="Arial"/>
          <w:sz w:val="17"/>
          <w:szCs w:val="17"/>
          <w:color w:val="000000"/>
        </w:rPr>
        <w:t>The Amgen Foundation seeks to advance</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excellence in science education to inspire the next generation of innovators and invest in strengthening communities where our staff members live and work.</w:t>
      </w:r>
    </w:p>
    <w:p>
      <w:pPr>
        <w:spacing w:after="0" w:line="89"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Since its inception over 30 years ago, the Amgen Foundation has contributed approximately $425 million to non-profit organizations around the world that reflect our core values and complement Amgen’s dedication to impacting lives in inspiring and innovative ways.</w:t>
      </w:r>
    </w:p>
    <w:p>
      <w:pPr>
        <w:spacing w:after="0" w:line="109" w:lineRule="exact"/>
        <w:rPr>
          <w:sz w:val="20"/>
          <w:szCs w:val="20"/>
          <w:color w:val="auto"/>
        </w:rPr>
      </w:pPr>
    </w:p>
    <w:p>
      <w:pPr>
        <w:jc w:val="both"/>
        <w:ind w:left="380" w:hanging="264"/>
        <w:spacing w:after="0" w:line="233" w:lineRule="auto"/>
        <w:tabs>
          <w:tab w:leader="none" w:pos="380" w:val="left"/>
        </w:tabs>
        <w:numPr>
          <w:ilvl w:val="0"/>
          <w:numId w:val="46"/>
        </w:numPr>
        <w:rPr>
          <w:rFonts w:ascii="Arial" w:cs="Arial" w:eastAsia="Arial" w:hAnsi="Arial"/>
          <w:sz w:val="17"/>
          <w:szCs w:val="17"/>
          <w:color w:val="0171B9"/>
        </w:rPr>
      </w:pPr>
      <w:r>
        <w:rPr>
          <w:rFonts w:ascii="Arial" w:cs="Arial" w:eastAsia="Arial" w:hAnsi="Arial"/>
          <w:sz w:val="17"/>
          <w:szCs w:val="17"/>
          <w:color w:val="auto"/>
        </w:rPr>
        <w:t>LabXchange, developed at Harvard University with the financial support of the Amgen Foundation, is a free online science education platform that provides students around the world with access to personalized instruction, virtual lab experiences, and networking opportunities across the global scientific community. By making high-quality, digital science content available to learners and educators everywhere, at no cost, and across multiple disciplines, LabXchange is seeking to create authentic opportunities for young people to increase their access to, and engagement with, science. Nearly 12 million new users accessed LabXchange in 2022, including more than 80% in low- or lower middle-income countries.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both"/>
        <w:ind w:left="206"/>
        <w:spacing w:after="0" w:line="234" w:lineRule="auto"/>
        <w:rPr>
          <w:sz w:val="20"/>
          <w:szCs w:val="20"/>
          <w:color w:val="auto"/>
        </w:rPr>
      </w:pPr>
      <w:r>
        <w:rPr>
          <w:rFonts w:ascii="Arial" w:cs="Arial" w:eastAsia="Arial" w:hAnsi="Arial"/>
          <w:sz w:val="17"/>
          <w:szCs w:val="17"/>
          <w:color w:val="auto"/>
        </w:rPr>
        <w:t>In 2022, the Amgen Foundation more than doubled its previous funding to LabXchange with a commitment of $30 million over three years to expand the platform’s interactive content offerings, deepen collaborations with science, technology, engineering, and mathematics (STEM) organizations worldwide, and pursue opportunities to engage more learners in science, particularly in communities that are underserved.</w:t>
      </w:r>
    </w:p>
    <w:p>
      <w:pPr>
        <w:spacing w:after="0" w:line="110" w:lineRule="exact"/>
        <w:rPr>
          <w:sz w:val="20"/>
          <w:szCs w:val="20"/>
          <w:color w:val="auto"/>
        </w:rPr>
      </w:pPr>
    </w:p>
    <w:p>
      <w:pPr>
        <w:jc w:val="both"/>
        <w:ind w:left="266" w:right="20" w:hanging="266"/>
        <w:spacing w:after="0" w:line="235" w:lineRule="auto"/>
        <w:tabs>
          <w:tab w:leader="none" w:pos="266" w:val="left"/>
        </w:tabs>
        <w:numPr>
          <w:ilvl w:val="0"/>
          <w:numId w:val="47"/>
        </w:numPr>
        <w:rPr>
          <w:rFonts w:ascii="Arial" w:cs="Arial" w:eastAsia="Arial" w:hAnsi="Arial"/>
          <w:sz w:val="17"/>
          <w:szCs w:val="17"/>
          <w:color w:val="0171B9"/>
        </w:rPr>
      </w:pPr>
      <w:r>
        <w:rPr>
          <w:rFonts w:ascii="Arial" w:cs="Arial" w:eastAsia="Arial" w:hAnsi="Arial"/>
          <w:sz w:val="17"/>
          <w:szCs w:val="17"/>
          <w:color w:val="auto"/>
        </w:rPr>
        <w:t>The Amgen Foundation is the exclusive biology content partner of Khan Academy, a leading online learning platform. Through new funding from the Amgen Foundation, Khan Academy is working to expand its biology content to include new life science content at the middle school level. Khan Academy’s biology resources reached over 11 million learners and educators worldwide in 2022.</w:t>
      </w:r>
    </w:p>
    <w:p>
      <w:pPr>
        <w:spacing w:after="0" w:line="107" w:lineRule="exact"/>
        <w:rPr>
          <w:rFonts w:ascii="Arial" w:cs="Arial" w:eastAsia="Arial" w:hAnsi="Arial"/>
          <w:sz w:val="17"/>
          <w:szCs w:val="17"/>
          <w:color w:val="0171B9"/>
        </w:rPr>
      </w:pPr>
    </w:p>
    <w:p>
      <w:pPr>
        <w:jc w:val="both"/>
        <w:ind w:left="266" w:right="20" w:hanging="266"/>
        <w:spacing w:after="0" w:line="234" w:lineRule="auto"/>
        <w:tabs>
          <w:tab w:leader="none" w:pos="266" w:val="left"/>
        </w:tabs>
        <w:numPr>
          <w:ilvl w:val="0"/>
          <w:numId w:val="47"/>
        </w:numPr>
        <w:rPr>
          <w:rFonts w:ascii="Arial" w:cs="Arial" w:eastAsia="Arial" w:hAnsi="Arial"/>
          <w:sz w:val="17"/>
          <w:szCs w:val="17"/>
          <w:color w:val="0171B9"/>
        </w:rPr>
      </w:pPr>
      <w:r>
        <w:rPr>
          <w:rFonts w:ascii="Arial" w:cs="Arial" w:eastAsia="Arial" w:hAnsi="Arial"/>
          <w:sz w:val="17"/>
          <w:szCs w:val="17"/>
          <w:color w:val="auto"/>
        </w:rPr>
        <w:t>Additionally, the Amgen Foundation continued to expand the Amgen Biotech Experience (ABE), an innovative science education program that empowers high school teachers to bring biotechnology education into their classrooms across Amgen communities. In 2022, the newest ABE sites were launched in North Carolina and Ohio, and the third cohort of the ABE Master Teacher Fellowship was announced.</w:t>
      </w:r>
    </w:p>
    <w:p>
      <w:pPr>
        <w:spacing w:after="0" w:line="110" w:lineRule="exact"/>
        <w:rPr>
          <w:rFonts w:ascii="Arial" w:cs="Arial" w:eastAsia="Arial" w:hAnsi="Arial"/>
          <w:sz w:val="17"/>
          <w:szCs w:val="17"/>
          <w:color w:val="0171B9"/>
        </w:rPr>
      </w:pPr>
    </w:p>
    <w:p>
      <w:pPr>
        <w:jc w:val="both"/>
        <w:ind w:left="266" w:right="20" w:hanging="266"/>
        <w:spacing w:after="0" w:line="234" w:lineRule="auto"/>
        <w:tabs>
          <w:tab w:leader="none" w:pos="266" w:val="left"/>
        </w:tabs>
        <w:numPr>
          <w:ilvl w:val="0"/>
          <w:numId w:val="47"/>
        </w:numPr>
        <w:rPr>
          <w:rFonts w:ascii="Arial" w:cs="Arial" w:eastAsia="Arial" w:hAnsi="Arial"/>
          <w:sz w:val="17"/>
          <w:szCs w:val="17"/>
          <w:color w:val="0171B9"/>
        </w:rPr>
      </w:pPr>
      <w:r>
        <w:rPr>
          <w:rFonts w:ascii="Arial" w:cs="Arial" w:eastAsia="Arial" w:hAnsi="Arial"/>
          <w:sz w:val="17"/>
          <w:szCs w:val="17"/>
          <w:color w:val="auto"/>
        </w:rPr>
        <w:t>The Amgen Scholars Program makes it possible for undergraduate students around the globe to engage in cutting-edge research experiences at some of the world’s premier research universities and institutions and learn more about biotechnology and drug discovery. In 2022, over 400 scholars across 33 countries participated in the program and, for the first time in three years, scholars met in person for Amgen Scholar symposiums in North America and Europe to share learnings and network.</w:t>
      </w:r>
    </w:p>
    <w:p>
      <w:pPr>
        <w:spacing w:after="0" w:line="75" w:lineRule="exact"/>
        <w:rPr>
          <w:sz w:val="20"/>
          <w:szCs w:val="20"/>
          <w:color w:val="auto"/>
        </w:rPr>
      </w:pPr>
    </w:p>
    <w:p>
      <w:pPr>
        <w:jc w:val="both"/>
        <w:ind w:left="6"/>
        <w:spacing w:after="0" w:line="238" w:lineRule="auto"/>
        <w:rPr>
          <w:sz w:val="20"/>
          <w:szCs w:val="20"/>
          <w:color w:val="auto"/>
        </w:rPr>
      </w:pPr>
      <w:r>
        <w:rPr>
          <w:rFonts w:ascii="Arial" w:cs="Arial" w:eastAsia="Arial" w:hAnsi="Arial"/>
          <w:sz w:val="17"/>
          <w:szCs w:val="17"/>
          <w:b w:val="1"/>
          <w:bCs w:val="1"/>
          <w:i w:val="1"/>
          <w:iCs w:val="1"/>
          <w:color w:val="auto"/>
        </w:rPr>
        <w:t xml:space="preserve">Our Community. </w:t>
      </w:r>
      <w:r>
        <w:rPr>
          <w:rFonts w:ascii="Arial" w:cs="Arial" w:eastAsia="Arial" w:hAnsi="Arial"/>
          <w:sz w:val="17"/>
          <w:szCs w:val="17"/>
          <w:color w:val="auto"/>
        </w:rPr>
        <w:t>In addition to science education, the Amgen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Foundation supports local organizations where employees live and work and provides programs and resources to empower individual Amgen staff in their charitable activities in our community, including (for staff members in the U.S. and Puerto Rico) through a matching gift program and by providing service grants to non-profit organizations where staff members regularly volunteer.</w:t>
      </w:r>
    </w:p>
    <w:p>
      <w:pPr>
        <w:spacing w:after="0" w:line="94" w:lineRule="exact"/>
        <w:rPr>
          <w:sz w:val="20"/>
          <w:szCs w:val="20"/>
          <w:color w:val="auto"/>
        </w:rPr>
      </w:pPr>
    </w:p>
    <w:p>
      <w:pPr>
        <w:jc w:val="both"/>
        <w:ind w:left="6" w:right="20"/>
        <w:spacing w:after="0" w:line="234" w:lineRule="auto"/>
        <w:rPr>
          <w:sz w:val="20"/>
          <w:szCs w:val="20"/>
          <w:color w:val="auto"/>
        </w:rPr>
      </w:pPr>
      <w:r>
        <w:rPr>
          <w:rFonts w:ascii="Arial" w:cs="Arial" w:eastAsia="Arial" w:hAnsi="Arial"/>
          <w:sz w:val="17"/>
          <w:szCs w:val="17"/>
          <w:color w:val="auto"/>
        </w:rPr>
        <w:t>In 2022, in the wake of the war unfolding in Ukraine, the Amgen Foundation and Amgen’s local affiliates in Europe made grants to humanitarian organizations working in Eastern Europe, and these grants were amplified by donations from Amgen employees that were matched dollar-for-dollar by the Amgen Foundation. The Amgen Foundation also provided support to help victims of hurricanes Ian and Fiona in Florida and Puerto Rico.</w:t>
      </w:r>
    </w:p>
    <w:p>
      <w:pPr>
        <w:spacing w:after="0" w:line="17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Human Capital Management</w:t>
      </w:r>
    </w:p>
    <w:p>
      <w:pPr>
        <w:spacing w:after="0" w:line="124" w:lineRule="exact"/>
        <w:rPr>
          <w:sz w:val="20"/>
          <w:szCs w:val="20"/>
          <w:color w:val="auto"/>
        </w:rPr>
      </w:pPr>
    </w:p>
    <w:p>
      <w:pPr>
        <w:jc w:val="both"/>
        <w:ind w:left="6" w:right="20"/>
        <w:spacing w:after="0" w:line="234" w:lineRule="auto"/>
        <w:rPr>
          <w:sz w:val="20"/>
          <w:szCs w:val="20"/>
          <w:color w:val="auto"/>
        </w:rPr>
      </w:pPr>
      <w:r>
        <w:rPr>
          <w:rFonts w:ascii="Arial" w:cs="Arial" w:eastAsia="Arial" w:hAnsi="Arial"/>
          <w:sz w:val="17"/>
          <w:szCs w:val="17"/>
          <w:color w:val="auto"/>
        </w:rPr>
        <w:t>Our Board has a key role in the oversight of our culture, setting the tone at the top, and holding management accountable for maintaining high ethical standards. The Board believes that human capital management, including our diversity, inclusion, and belonging initiatives, are important to our success. The Compensation Committee assists the Board in providing oversight of human capital management, including labor and employment and diversity, inclusion, and belonging matters.</w:t>
      </w:r>
    </w:p>
    <w:p>
      <w:pPr>
        <w:spacing w:after="0" w:line="844" w:lineRule="exact"/>
        <w:rPr>
          <w:sz w:val="20"/>
          <w:szCs w:val="20"/>
          <w:color w:val="auto"/>
        </w:rPr>
      </w:pPr>
    </w:p>
    <w:p>
      <w:pPr>
        <w:sectPr>
          <w:pgSz w:w="11900" w:h="16838" w:orient="portrait"/>
          <w:cols w:equalWidth="0" w:num="2">
            <w:col w:w="5400" w:space="334"/>
            <w:col w:w="5406"/>
          </w:cols>
          <w:pgMar w:left="320" w:top="486" w:right="439" w:bottom="1440" w:gutter="0" w:footer="0" w:header="0"/>
          <w:type w:val="continuous"/>
        </w:sectPr>
      </w:pPr>
    </w:p>
    <w:p>
      <w:pPr>
        <w:spacing w:after="0" w:line="77"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34</w:t>
      </w:r>
      <w:r>
        <w:rPr>
          <w:sz w:val="20"/>
          <w:szCs w:val="20"/>
          <w:color w:val="auto"/>
        </w:rPr>
        <w:tab/>
      </w:r>
      <w:r>
        <w:rPr>
          <w:sz w:val="1"/>
          <w:szCs w:val="1"/>
          <w:color w:val="auto"/>
        </w:rPr>
        <w:drawing>
          <wp:inline distT="0" distB="0" distL="0" distR="0">
            <wp:extent cx="582930" cy="13716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We conduct regular staff member engagement assessments that gather feedback on a wide range of topics, including flexible work environments, diversity, inclusion, and belonging, and our culture of compliance, and the results of these surveys are discussed with our workforce and the Board. Reflecting our staff members’ desire to retain flexibility to work virtually as COVID-19 related restrictions eased and sites became more accessible, we implemented a flexible workspace initiative that enables many employees to work together with their manager to determine the location that best enables their work at hand, supporting remote work as well as coming on site.</w:t>
      </w:r>
    </w:p>
    <w:p>
      <w:pPr>
        <w:spacing w:after="0" w:line="100"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Amgen places significant value on fostering and enabling growth of staff, both personally and professionally, and we aim to provide a safe, healthy, innovative, and diverse work environment for our staff.</w:t>
      </w:r>
    </w:p>
    <w:p>
      <w:pPr>
        <w:spacing w:after="0" w:line="73" w:lineRule="exact"/>
        <w:rPr>
          <w:sz w:val="20"/>
          <w:szCs w:val="20"/>
          <w:color w:val="auto"/>
        </w:rPr>
      </w:pPr>
    </w:p>
    <w:p>
      <w:pPr>
        <w:jc w:val="both"/>
        <w:ind w:left="120"/>
        <w:spacing w:after="0" w:line="237" w:lineRule="auto"/>
        <w:rPr>
          <w:sz w:val="20"/>
          <w:szCs w:val="20"/>
          <w:color w:val="auto"/>
        </w:rPr>
      </w:pPr>
      <w:r>
        <w:rPr>
          <w:rFonts w:ascii="Arial" w:cs="Arial" w:eastAsia="Arial" w:hAnsi="Arial"/>
          <w:sz w:val="17"/>
          <w:szCs w:val="17"/>
          <w:b w:val="1"/>
          <w:bCs w:val="1"/>
          <w:i w:val="1"/>
          <w:iCs w:val="1"/>
          <w:color w:val="0171B9"/>
        </w:rPr>
        <w:t>Our Social Architecture</w:t>
      </w:r>
      <w:r>
        <w:rPr>
          <w:rFonts w:ascii="Arial" w:cs="Arial" w:eastAsia="Arial" w:hAnsi="Arial"/>
          <w:sz w:val="17"/>
          <w:szCs w:val="17"/>
          <w:b w:val="1"/>
          <w:bCs w:val="1"/>
          <w:color w:val="000000"/>
        </w:rPr>
        <w:t>.</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Since Amgen’s founding in 1980, our staff</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members have directed their intelligence and enthusiasm toward our mission to serve patients. Our mission, our aspiration to be the world’s best human therapeutics company, our strategy, our well-defined set of Amgen Values, and our clear leadership attributes form the “social architecture” that defines our unique culture. This social architecture has been a key enabler of Amgen’s worldwide growth from an early pioneer in the biotech industry to a leading innovator.</w:t>
      </w:r>
    </w:p>
    <w:p>
      <w:pPr>
        <w:spacing w:after="0" w:line="96" w:lineRule="exact"/>
        <w:rPr>
          <w:sz w:val="20"/>
          <w:szCs w:val="20"/>
          <w:color w:val="auto"/>
        </w:rPr>
      </w:pPr>
    </w:p>
    <w:p>
      <w:pPr>
        <w:jc w:val="both"/>
        <w:ind w:left="120"/>
        <w:spacing w:after="0" w:line="243" w:lineRule="auto"/>
        <w:rPr>
          <w:sz w:val="20"/>
          <w:szCs w:val="20"/>
          <w:color w:val="auto"/>
        </w:rPr>
      </w:pPr>
      <w:r>
        <w:rPr>
          <w:rFonts w:ascii="Arial" w:cs="Arial" w:eastAsia="Arial" w:hAnsi="Arial"/>
          <w:sz w:val="17"/>
          <w:szCs w:val="17"/>
          <w:color w:val="auto"/>
        </w:rPr>
        <w:t>The Amgen Values were formalized in 1996 and continue to serve as the principles that guide the way we conduct business.</w:t>
      </w:r>
    </w:p>
    <w:p>
      <w:pPr>
        <w:spacing w:after="0" w:line="70" w:lineRule="exact"/>
        <w:rPr>
          <w:sz w:val="20"/>
          <w:szCs w:val="20"/>
          <w:color w:val="auto"/>
        </w:rPr>
      </w:pPr>
    </w:p>
    <w:p>
      <w:pPr>
        <w:jc w:val="center"/>
        <w:ind w:left="120"/>
        <w:spacing w:after="0"/>
        <w:rPr>
          <w:sz w:val="20"/>
          <w:szCs w:val="20"/>
          <w:color w:val="auto"/>
        </w:rPr>
      </w:pPr>
      <w:r>
        <w:rPr>
          <w:rFonts w:ascii="Arial" w:cs="Arial" w:eastAsia="Arial" w:hAnsi="Arial"/>
          <w:sz w:val="17"/>
          <w:szCs w:val="17"/>
          <w:b w:val="1"/>
          <w:bCs w:val="1"/>
          <w:color w:val="0171B9"/>
        </w:rPr>
        <w:t>Amgen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89535</wp:posOffset>
            </wp:positionV>
            <wp:extent cx="2948940" cy="1585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948940" cy="1585595"/>
                    </a:xfrm>
                    <a:prstGeom prst="rect">
                      <a:avLst/>
                    </a:prstGeom>
                    <a:noFill/>
                  </pic:spPr>
                </pic:pic>
              </a:graphicData>
            </a:graphic>
          </wp:anchor>
        </w:drawing>
      </w:r>
    </w:p>
    <w:p>
      <w:pPr>
        <w:spacing w:after="0" w:line="121"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2260" w:type="dxa"/>
            <w:vAlign w:val="bottom"/>
            <w:shd w:val="clear" w:color="auto" w:fill="0171B9"/>
          </w:tcPr>
          <w:p>
            <w:pPr>
              <w:jc w:val="center"/>
              <w:ind w:left="15"/>
              <w:spacing w:after="0"/>
              <w:rPr>
                <w:sz w:val="20"/>
                <w:szCs w:val="20"/>
                <w:color w:val="auto"/>
              </w:rPr>
            </w:pPr>
            <w:r>
              <w:rPr>
                <w:rFonts w:ascii="Arial" w:cs="Arial" w:eastAsia="Arial" w:hAnsi="Arial"/>
                <w:sz w:val="17"/>
                <w:szCs w:val="17"/>
                <w:b w:val="1"/>
                <w:bCs w:val="1"/>
                <w:color w:val="FFFFFF"/>
              </w:rPr>
              <w:t>Be Science-Based</w:t>
            </w:r>
          </w:p>
        </w:tc>
        <w:tc>
          <w:tcPr>
            <w:tcW w:w="160" w:type="dxa"/>
            <w:vAlign w:val="bottom"/>
            <w:shd w:val="clear" w:color="auto" w:fill="0171B9"/>
          </w:tcPr>
          <w:p>
            <w:pPr>
              <w:spacing w:after="0"/>
              <w:rPr>
                <w:sz w:val="24"/>
                <w:szCs w:val="24"/>
                <w:color w:val="auto"/>
              </w:rPr>
            </w:pPr>
          </w:p>
        </w:tc>
        <w:tc>
          <w:tcPr>
            <w:tcW w:w="2220" w:type="dxa"/>
            <w:vAlign w:val="bottom"/>
            <w:shd w:val="clear" w:color="auto" w:fill="0171B9"/>
          </w:tcPr>
          <w:p>
            <w:pPr>
              <w:jc w:val="center"/>
              <w:spacing w:after="0"/>
              <w:rPr>
                <w:sz w:val="20"/>
                <w:szCs w:val="20"/>
                <w:color w:val="auto"/>
              </w:rPr>
            </w:pPr>
            <w:r>
              <w:rPr>
                <w:rFonts w:ascii="Arial" w:cs="Arial" w:eastAsia="Arial" w:hAnsi="Arial"/>
                <w:sz w:val="17"/>
                <w:szCs w:val="17"/>
                <w:b w:val="1"/>
                <w:bCs w:val="1"/>
                <w:color w:val="FFFFFF"/>
                <w:w w:val="99"/>
              </w:rPr>
              <w:t>Trust and Respect</w:t>
            </w:r>
          </w:p>
        </w:tc>
        <w:tc>
          <w:tcPr>
            <w:tcW w:w="0" w:type="dxa"/>
            <w:vAlign w:val="bottom"/>
          </w:tcPr>
          <w:p>
            <w:pPr>
              <w:spacing w:after="0"/>
              <w:rPr>
                <w:sz w:val="1"/>
                <w:szCs w:val="1"/>
                <w:color w:val="auto"/>
              </w:rPr>
            </w:pPr>
          </w:p>
        </w:tc>
      </w:tr>
      <w:tr>
        <w:trPr>
          <w:trHeight w:val="216"/>
        </w:trPr>
        <w:tc>
          <w:tcPr>
            <w:tcW w:w="2260" w:type="dxa"/>
            <w:vAlign w:val="bottom"/>
            <w:shd w:val="clear" w:color="auto" w:fill="0171B9"/>
          </w:tcPr>
          <w:p>
            <w:pPr>
              <w:spacing w:after="0"/>
              <w:rPr>
                <w:sz w:val="18"/>
                <w:szCs w:val="18"/>
                <w:color w:val="auto"/>
              </w:rPr>
            </w:pPr>
          </w:p>
        </w:tc>
        <w:tc>
          <w:tcPr>
            <w:tcW w:w="160" w:type="dxa"/>
            <w:vAlign w:val="bottom"/>
            <w:shd w:val="clear" w:color="auto" w:fill="0171B9"/>
          </w:tcPr>
          <w:p>
            <w:pPr>
              <w:spacing w:after="0"/>
              <w:rPr>
                <w:sz w:val="18"/>
                <w:szCs w:val="18"/>
                <w:color w:val="auto"/>
              </w:rPr>
            </w:pPr>
          </w:p>
        </w:tc>
        <w:tc>
          <w:tcPr>
            <w:tcW w:w="2220" w:type="dxa"/>
            <w:vAlign w:val="bottom"/>
            <w:shd w:val="clear" w:color="auto" w:fill="0171B9"/>
          </w:tcPr>
          <w:p>
            <w:pPr>
              <w:jc w:val="center"/>
              <w:spacing w:after="0"/>
              <w:rPr>
                <w:sz w:val="20"/>
                <w:szCs w:val="20"/>
                <w:color w:val="auto"/>
              </w:rPr>
            </w:pPr>
            <w:r>
              <w:rPr>
                <w:rFonts w:ascii="Arial" w:cs="Arial" w:eastAsia="Arial" w:hAnsi="Arial"/>
                <w:sz w:val="17"/>
                <w:szCs w:val="17"/>
                <w:b w:val="1"/>
                <w:bCs w:val="1"/>
                <w:color w:val="FFFFFF"/>
              </w:rPr>
              <w:t>Each Other</w:t>
            </w:r>
          </w:p>
        </w:tc>
        <w:tc>
          <w:tcPr>
            <w:tcW w:w="0" w:type="dxa"/>
            <w:vAlign w:val="bottom"/>
          </w:tcPr>
          <w:p>
            <w:pPr>
              <w:spacing w:after="0"/>
              <w:rPr>
                <w:sz w:val="1"/>
                <w:szCs w:val="1"/>
                <w:color w:val="auto"/>
              </w:rPr>
            </w:pPr>
          </w:p>
        </w:tc>
      </w:tr>
      <w:tr>
        <w:trPr>
          <w:trHeight w:val="271"/>
        </w:trPr>
        <w:tc>
          <w:tcPr>
            <w:tcW w:w="2260" w:type="dxa"/>
            <w:vAlign w:val="bottom"/>
            <w:shd w:val="clear" w:color="auto" w:fill="0171B9"/>
          </w:tcPr>
          <w:p>
            <w:pPr>
              <w:jc w:val="center"/>
              <w:ind w:left="15"/>
              <w:spacing w:after="0"/>
              <w:rPr>
                <w:sz w:val="20"/>
                <w:szCs w:val="20"/>
                <w:color w:val="auto"/>
              </w:rPr>
            </w:pPr>
            <w:r>
              <w:rPr>
                <w:rFonts w:ascii="Arial" w:cs="Arial" w:eastAsia="Arial" w:hAnsi="Arial"/>
                <w:sz w:val="17"/>
                <w:szCs w:val="17"/>
                <w:b w:val="1"/>
                <w:bCs w:val="1"/>
                <w:color w:val="FFFFFF"/>
              </w:rPr>
              <w:t>Compete Intensely</w:t>
            </w:r>
          </w:p>
        </w:tc>
        <w:tc>
          <w:tcPr>
            <w:tcW w:w="160" w:type="dxa"/>
            <w:vAlign w:val="bottom"/>
            <w:shd w:val="clear" w:color="auto" w:fill="0171B9"/>
          </w:tcPr>
          <w:p>
            <w:pPr>
              <w:spacing w:after="0"/>
              <w:rPr>
                <w:sz w:val="23"/>
                <w:szCs w:val="23"/>
                <w:color w:val="auto"/>
              </w:rPr>
            </w:pPr>
          </w:p>
        </w:tc>
        <w:tc>
          <w:tcPr>
            <w:tcW w:w="2220" w:type="dxa"/>
            <w:vAlign w:val="bottom"/>
            <w:vMerge w:val="restart"/>
            <w:shd w:val="clear" w:color="auto" w:fill="0171B9"/>
          </w:tcPr>
          <w:p>
            <w:pPr>
              <w:jc w:val="center"/>
              <w:spacing w:after="0"/>
              <w:rPr>
                <w:sz w:val="20"/>
                <w:szCs w:val="20"/>
                <w:color w:val="auto"/>
              </w:rPr>
            </w:pPr>
            <w:r>
              <w:rPr>
                <w:rFonts w:ascii="Arial" w:cs="Arial" w:eastAsia="Arial" w:hAnsi="Arial"/>
                <w:sz w:val="17"/>
                <w:szCs w:val="17"/>
                <w:b w:val="1"/>
                <w:bCs w:val="1"/>
                <w:color w:val="FFFFFF"/>
                <w:w w:val="99"/>
              </w:rPr>
              <w:t>Ensure Quality</w:t>
            </w:r>
          </w:p>
        </w:tc>
        <w:tc>
          <w:tcPr>
            <w:tcW w:w="0" w:type="dxa"/>
            <w:vAlign w:val="bottom"/>
          </w:tcPr>
          <w:p>
            <w:pPr>
              <w:spacing w:after="0"/>
              <w:rPr>
                <w:sz w:val="1"/>
                <w:szCs w:val="1"/>
                <w:color w:val="auto"/>
              </w:rPr>
            </w:pPr>
          </w:p>
        </w:tc>
      </w:tr>
      <w:tr>
        <w:trPr>
          <w:trHeight w:val="117"/>
        </w:trPr>
        <w:tc>
          <w:tcPr>
            <w:tcW w:w="2260" w:type="dxa"/>
            <w:vAlign w:val="bottom"/>
            <w:vMerge w:val="restart"/>
            <w:shd w:val="clear" w:color="auto" w:fill="0171B9"/>
          </w:tcPr>
          <w:p>
            <w:pPr>
              <w:jc w:val="center"/>
              <w:ind w:left="35"/>
              <w:spacing w:after="0"/>
              <w:rPr>
                <w:sz w:val="20"/>
                <w:szCs w:val="20"/>
                <w:color w:val="auto"/>
              </w:rPr>
            </w:pPr>
            <w:r>
              <w:rPr>
                <w:rFonts w:ascii="Arial" w:cs="Arial" w:eastAsia="Arial" w:hAnsi="Arial"/>
                <w:sz w:val="17"/>
                <w:szCs w:val="17"/>
                <w:b w:val="1"/>
                <w:bCs w:val="1"/>
                <w:color w:val="FFFFFF"/>
                <w:w w:val="99"/>
              </w:rPr>
              <w:t>and Win</w:t>
            </w:r>
          </w:p>
        </w:tc>
        <w:tc>
          <w:tcPr>
            <w:tcW w:w="160" w:type="dxa"/>
            <w:vAlign w:val="bottom"/>
            <w:shd w:val="clear" w:color="auto" w:fill="0171B9"/>
          </w:tcPr>
          <w:p>
            <w:pPr>
              <w:spacing w:after="0"/>
              <w:rPr>
                <w:sz w:val="10"/>
                <w:szCs w:val="10"/>
                <w:color w:val="auto"/>
              </w:rPr>
            </w:pPr>
          </w:p>
        </w:tc>
        <w:tc>
          <w:tcPr>
            <w:tcW w:w="2220" w:type="dxa"/>
            <w:vAlign w:val="bottom"/>
            <w:vMerge w:val="continue"/>
            <w:shd w:val="clear" w:color="auto" w:fill="0171B9"/>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60" w:type="dxa"/>
            <w:vAlign w:val="bottom"/>
            <w:vMerge w:val="continue"/>
            <w:shd w:val="clear" w:color="auto" w:fill="0171B9"/>
          </w:tcPr>
          <w:p>
            <w:pPr>
              <w:spacing w:after="0"/>
              <w:rPr>
                <w:sz w:val="9"/>
                <w:szCs w:val="9"/>
                <w:color w:val="auto"/>
              </w:rPr>
            </w:pPr>
          </w:p>
        </w:tc>
        <w:tc>
          <w:tcPr>
            <w:tcW w:w="160" w:type="dxa"/>
            <w:vAlign w:val="bottom"/>
            <w:shd w:val="clear" w:color="auto" w:fill="0171B9"/>
          </w:tcPr>
          <w:p>
            <w:pPr>
              <w:spacing w:after="0"/>
              <w:rPr>
                <w:sz w:val="9"/>
                <w:szCs w:val="9"/>
                <w:color w:val="auto"/>
              </w:rPr>
            </w:pPr>
          </w:p>
        </w:tc>
        <w:tc>
          <w:tcPr>
            <w:tcW w:w="2220" w:type="dxa"/>
            <w:vAlign w:val="bottom"/>
            <w:shd w:val="clear" w:color="auto" w:fill="0171B9"/>
          </w:tcPr>
          <w:p>
            <w:pPr>
              <w:spacing w:after="0"/>
              <w:rPr>
                <w:sz w:val="9"/>
                <w:szCs w:val="9"/>
                <w:color w:val="auto"/>
              </w:rPr>
            </w:pPr>
          </w:p>
        </w:tc>
        <w:tc>
          <w:tcPr>
            <w:tcW w:w="0" w:type="dxa"/>
            <w:vAlign w:val="bottom"/>
          </w:tcPr>
          <w:p>
            <w:pPr>
              <w:spacing w:after="0"/>
              <w:rPr>
                <w:sz w:val="1"/>
                <w:szCs w:val="1"/>
                <w:color w:val="auto"/>
              </w:rPr>
            </w:pPr>
          </w:p>
        </w:tc>
      </w:tr>
      <w:tr>
        <w:trPr>
          <w:trHeight w:val="315"/>
        </w:trPr>
        <w:tc>
          <w:tcPr>
            <w:tcW w:w="2260" w:type="dxa"/>
            <w:vAlign w:val="bottom"/>
            <w:shd w:val="clear" w:color="auto" w:fill="0171B9"/>
          </w:tcPr>
          <w:p>
            <w:pPr>
              <w:jc w:val="center"/>
              <w:ind w:left="35"/>
              <w:spacing w:after="0"/>
              <w:rPr>
                <w:sz w:val="20"/>
                <w:szCs w:val="20"/>
                <w:color w:val="auto"/>
              </w:rPr>
            </w:pPr>
            <w:r>
              <w:rPr>
                <w:rFonts w:ascii="Arial" w:cs="Arial" w:eastAsia="Arial" w:hAnsi="Arial"/>
                <w:sz w:val="17"/>
                <w:szCs w:val="17"/>
                <w:b w:val="1"/>
                <w:bCs w:val="1"/>
                <w:color w:val="FFFFFF"/>
                <w:w w:val="99"/>
              </w:rPr>
              <w:t>Create Value for</w:t>
            </w:r>
          </w:p>
        </w:tc>
        <w:tc>
          <w:tcPr>
            <w:tcW w:w="160" w:type="dxa"/>
            <w:vAlign w:val="bottom"/>
            <w:shd w:val="clear" w:color="auto" w:fill="0171B9"/>
          </w:tcPr>
          <w:p>
            <w:pPr>
              <w:spacing w:after="0"/>
              <w:rPr>
                <w:sz w:val="24"/>
                <w:szCs w:val="24"/>
                <w:color w:val="auto"/>
              </w:rPr>
            </w:pPr>
          </w:p>
        </w:tc>
        <w:tc>
          <w:tcPr>
            <w:tcW w:w="2220" w:type="dxa"/>
            <w:vAlign w:val="bottom"/>
            <w:vMerge w:val="restart"/>
            <w:shd w:val="clear" w:color="auto" w:fill="0171B9"/>
          </w:tcPr>
          <w:p>
            <w:pPr>
              <w:jc w:val="center"/>
              <w:spacing w:after="0"/>
              <w:rPr>
                <w:sz w:val="20"/>
                <w:szCs w:val="20"/>
                <w:color w:val="auto"/>
              </w:rPr>
            </w:pPr>
            <w:r>
              <w:rPr>
                <w:rFonts w:ascii="Arial" w:cs="Arial" w:eastAsia="Arial" w:hAnsi="Arial"/>
                <w:sz w:val="17"/>
                <w:szCs w:val="17"/>
                <w:b w:val="1"/>
                <w:bCs w:val="1"/>
                <w:color w:val="FFFFFF"/>
                <w:w w:val="99"/>
              </w:rPr>
              <w:t>Work in Teams</w:t>
            </w:r>
          </w:p>
        </w:tc>
        <w:tc>
          <w:tcPr>
            <w:tcW w:w="0" w:type="dxa"/>
            <w:vAlign w:val="bottom"/>
          </w:tcPr>
          <w:p>
            <w:pPr>
              <w:spacing w:after="0"/>
              <w:rPr>
                <w:sz w:val="1"/>
                <w:szCs w:val="1"/>
                <w:color w:val="auto"/>
              </w:rPr>
            </w:pPr>
          </w:p>
        </w:tc>
      </w:tr>
      <w:tr>
        <w:trPr>
          <w:trHeight w:val="189"/>
        </w:trPr>
        <w:tc>
          <w:tcPr>
            <w:tcW w:w="2260" w:type="dxa"/>
            <w:vAlign w:val="bottom"/>
            <w:shd w:val="clear" w:color="auto" w:fill="0171B9"/>
          </w:tcPr>
          <w:p>
            <w:pPr>
              <w:jc w:val="center"/>
              <w:ind w:left="35"/>
              <w:spacing w:after="0" w:line="189" w:lineRule="exact"/>
              <w:rPr>
                <w:sz w:val="20"/>
                <w:szCs w:val="20"/>
                <w:color w:val="auto"/>
              </w:rPr>
            </w:pPr>
            <w:r>
              <w:rPr>
                <w:rFonts w:ascii="Arial" w:cs="Arial" w:eastAsia="Arial" w:hAnsi="Arial"/>
                <w:sz w:val="17"/>
                <w:szCs w:val="17"/>
                <w:b w:val="1"/>
                <w:bCs w:val="1"/>
                <w:color w:val="FFFFFF"/>
              </w:rPr>
              <w:t>Patients, Staff, and</w:t>
            </w:r>
          </w:p>
        </w:tc>
        <w:tc>
          <w:tcPr>
            <w:tcW w:w="160" w:type="dxa"/>
            <w:vAlign w:val="bottom"/>
            <w:shd w:val="clear" w:color="auto" w:fill="0171B9"/>
          </w:tcPr>
          <w:p>
            <w:pPr>
              <w:spacing w:after="0"/>
              <w:rPr>
                <w:sz w:val="16"/>
                <w:szCs w:val="16"/>
                <w:color w:val="auto"/>
              </w:rPr>
            </w:pPr>
          </w:p>
        </w:tc>
        <w:tc>
          <w:tcPr>
            <w:tcW w:w="2220" w:type="dxa"/>
            <w:vAlign w:val="bottom"/>
            <w:vMerge w:val="continue"/>
            <w:shd w:val="clear" w:color="auto" w:fill="0171B9"/>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60" w:type="dxa"/>
            <w:vAlign w:val="bottom"/>
            <w:shd w:val="clear" w:color="auto" w:fill="0171B9"/>
          </w:tcPr>
          <w:p>
            <w:pPr>
              <w:jc w:val="center"/>
              <w:ind w:left="15"/>
              <w:spacing w:after="0"/>
              <w:rPr>
                <w:sz w:val="20"/>
                <w:szCs w:val="20"/>
                <w:color w:val="auto"/>
              </w:rPr>
            </w:pPr>
            <w:r>
              <w:rPr>
                <w:rFonts w:ascii="Arial" w:cs="Arial" w:eastAsia="Arial" w:hAnsi="Arial"/>
                <w:sz w:val="17"/>
                <w:szCs w:val="17"/>
                <w:b w:val="1"/>
                <w:bCs w:val="1"/>
                <w:color w:val="FFFFFF"/>
              </w:rPr>
              <w:t>Stockholders</w:t>
            </w:r>
          </w:p>
        </w:tc>
        <w:tc>
          <w:tcPr>
            <w:tcW w:w="160" w:type="dxa"/>
            <w:vAlign w:val="bottom"/>
            <w:shd w:val="clear" w:color="auto" w:fill="0171B9"/>
          </w:tcPr>
          <w:p>
            <w:pPr>
              <w:spacing w:after="0"/>
              <w:rPr>
                <w:sz w:val="19"/>
                <w:szCs w:val="19"/>
                <w:color w:val="auto"/>
              </w:rPr>
            </w:pPr>
          </w:p>
        </w:tc>
        <w:tc>
          <w:tcPr>
            <w:tcW w:w="2220" w:type="dxa"/>
            <w:vAlign w:val="bottom"/>
            <w:shd w:val="clear" w:color="auto" w:fill="0171B9"/>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2260" w:type="dxa"/>
            <w:vAlign w:val="bottom"/>
            <w:vMerge w:val="restart"/>
            <w:shd w:val="clear" w:color="auto" w:fill="0171B9"/>
          </w:tcPr>
          <w:p>
            <w:pPr>
              <w:jc w:val="center"/>
              <w:ind w:left="35"/>
              <w:spacing w:after="0"/>
              <w:rPr>
                <w:sz w:val="20"/>
                <w:szCs w:val="20"/>
                <w:color w:val="auto"/>
              </w:rPr>
            </w:pPr>
            <w:r>
              <w:rPr>
                <w:rFonts w:ascii="Arial" w:cs="Arial" w:eastAsia="Arial" w:hAnsi="Arial"/>
                <w:sz w:val="17"/>
                <w:szCs w:val="17"/>
                <w:b w:val="1"/>
                <w:bCs w:val="1"/>
                <w:color w:val="FFFFFF"/>
                <w:w w:val="99"/>
              </w:rPr>
              <w:t>Be Ethical</w:t>
            </w:r>
          </w:p>
        </w:tc>
        <w:tc>
          <w:tcPr>
            <w:tcW w:w="160" w:type="dxa"/>
            <w:vAlign w:val="bottom"/>
            <w:shd w:val="clear" w:color="auto" w:fill="0171B9"/>
          </w:tcPr>
          <w:p>
            <w:pPr>
              <w:spacing w:after="0"/>
              <w:rPr>
                <w:sz w:val="24"/>
                <w:szCs w:val="24"/>
                <w:color w:val="auto"/>
              </w:rPr>
            </w:pPr>
          </w:p>
        </w:tc>
        <w:tc>
          <w:tcPr>
            <w:tcW w:w="2220" w:type="dxa"/>
            <w:vAlign w:val="bottom"/>
            <w:shd w:val="clear" w:color="auto" w:fill="0171B9"/>
          </w:tcPr>
          <w:p>
            <w:pPr>
              <w:jc w:val="center"/>
              <w:spacing w:after="0"/>
              <w:rPr>
                <w:sz w:val="20"/>
                <w:szCs w:val="20"/>
                <w:color w:val="auto"/>
              </w:rPr>
            </w:pPr>
            <w:r>
              <w:rPr>
                <w:rFonts w:ascii="Arial" w:cs="Arial" w:eastAsia="Arial" w:hAnsi="Arial"/>
                <w:sz w:val="17"/>
                <w:szCs w:val="17"/>
                <w:b w:val="1"/>
                <w:bCs w:val="1"/>
                <w:color w:val="FFFFFF"/>
                <w:w w:val="99"/>
              </w:rPr>
              <w:t>Collaborate,</w:t>
            </w:r>
          </w:p>
        </w:tc>
        <w:tc>
          <w:tcPr>
            <w:tcW w:w="0" w:type="dxa"/>
            <w:vAlign w:val="bottom"/>
          </w:tcPr>
          <w:p>
            <w:pPr>
              <w:spacing w:after="0"/>
              <w:rPr>
                <w:sz w:val="1"/>
                <w:szCs w:val="1"/>
                <w:color w:val="auto"/>
              </w:rPr>
            </w:pPr>
          </w:p>
        </w:tc>
      </w:tr>
      <w:tr>
        <w:trPr>
          <w:trHeight w:val="189"/>
        </w:trPr>
        <w:tc>
          <w:tcPr>
            <w:tcW w:w="2260" w:type="dxa"/>
            <w:vAlign w:val="bottom"/>
            <w:vMerge w:val="continue"/>
            <w:shd w:val="clear" w:color="auto" w:fill="0171B9"/>
          </w:tcPr>
          <w:p>
            <w:pPr>
              <w:spacing w:after="0"/>
              <w:rPr>
                <w:sz w:val="16"/>
                <w:szCs w:val="16"/>
                <w:color w:val="auto"/>
              </w:rPr>
            </w:pPr>
          </w:p>
        </w:tc>
        <w:tc>
          <w:tcPr>
            <w:tcW w:w="160" w:type="dxa"/>
            <w:vAlign w:val="bottom"/>
            <w:shd w:val="clear" w:color="auto" w:fill="0171B9"/>
          </w:tcPr>
          <w:p>
            <w:pPr>
              <w:spacing w:after="0"/>
              <w:rPr>
                <w:sz w:val="16"/>
                <w:szCs w:val="16"/>
                <w:color w:val="auto"/>
              </w:rPr>
            </w:pPr>
          </w:p>
        </w:tc>
        <w:tc>
          <w:tcPr>
            <w:tcW w:w="2220" w:type="dxa"/>
            <w:vAlign w:val="bottom"/>
            <w:shd w:val="clear" w:color="auto" w:fill="0171B9"/>
          </w:tcPr>
          <w:p>
            <w:pPr>
              <w:jc w:val="center"/>
              <w:spacing w:after="0" w:line="189" w:lineRule="exact"/>
              <w:rPr>
                <w:sz w:val="20"/>
                <w:szCs w:val="20"/>
                <w:color w:val="auto"/>
              </w:rPr>
            </w:pPr>
            <w:r>
              <w:rPr>
                <w:rFonts w:ascii="Arial" w:cs="Arial" w:eastAsia="Arial" w:hAnsi="Arial"/>
                <w:sz w:val="17"/>
                <w:szCs w:val="17"/>
                <w:b w:val="1"/>
                <w:bCs w:val="1"/>
                <w:color w:val="FFFFFF"/>
              </w:rPr>
              <w:t>Communicate, and Be</w:t>
            </w:r>
          </w:p>
        </w:tc>
        <w:tc>
          <w:tcPr>
            <w:tcW w:w="0" w:type="dxa"/>
            <w:vAlign w:val="bottom"/>
          </w:tcPr>
          <w:p>
            <w:pPr>
              <w:spacing w:after="0"/>
              <w:rPr>
                <w:sz w:val="1"/>
                <w:szCs w:val="1"/>
                <w:color w:val="auto"/>
              </w:rPr>
            </w:pPr>
          </w:p>
        </w:tc>
      </w:tr>
      <w:tr>
        <w:trPr>
          <w:trHeight w:val="225"/>
        </w:trPr>
        <w:tc>
          <w:tcPr>
            <w:tcW w:w="2260" w:type="dxa"/>
            <w:vAlign w:val="bottom"/>
            <w:shd w:val="clear" w:color="auto" w:fill="0171B9"/>
          </w:tcPr>
          <w:p>
            <w:pPr>
              <w:spacing w:after="0"/>
              <w:rPr>
                <w:sz w:val="19"/>
                <w:szCs w:val="19"/>
                <w:color w:val="auto"/>
              </w:rPr>
            </w:pPr>
          </w:p>
        </w:tc>
        <w:tc>
          <w:tcPr>
            <w:tcW w:w="160" w:type="dxa"/>
            <w:vAlign w:val="bottom"/>
            <w:shd w:val="clear" w:color="auto" w:fill="0171B9"/>
          </w:tcPr>
          <w:p>
            <w:pPr>
              <w:spacing w:after="0"/>
              <w:rPr>
                <w:sz w:val="19"/>
                <w:szCs w:val="19"/>
                <w:color w:val="auto"/>
              </w:rPr>
            </w:pPr>
          </w:p>
        </w:tc>
        <w:tc>
          <w:tcPr>
            <w:tcW w:w="2220" w:type="dxa"/>
            <w:vAlign w:val="bottom"/>
            <w:shd w:val="clear" w:color="auto" w:fill="0171B9"/>
          </w:tcPr>
          <w:p>
            <w:pPr>
              <w:jc w:val="center"/>
              <w:spacing w:after="0"/>
              <w:rPr>
                <w:sz w:val="20"/>
                <w:szCs w:val="20"/>
                <w:color w:val="auto"/>
              </w:rPr>
            </w:pPr>
            <w:r>
              <w:rPr>
                <w:rFonts w:ascii="Arial" w:cs="Arial" w:eastAsia="Arial" w:hAnsi="Arial"/>
                <w:sz w:val="17"/>
                <w:szCs w:val="17"/>
                <w:b w:val="1"/>
                <w:bCs w:val="1"/>
                <w:color w:val="FFFFFF"/>
                <w:w w:val="99"/>
              </w:rPr>
              <w:t>Accountable</w:t>
            </w:r>
          </w:p>
        </w:tc>
        <w:tc>
          <w:tcPr>
            <w:tcW w:w="0" w:type="dxa"/>
            <w:vAlign w:val="bottom"/>
          </w:tcPr>
          <w:p>
            <w:pPr>
              <w:spacing w:after="0"/>
              <w:rPr>
                <w:sz w:val="1"/>
                <w:szCs w:val="1"/>
                <w:color w:val="auto"/>
              </w:rPr>
            </w:pPr>
          </w:p>
        </w:tc>
      </w:tr>
      <w:tr>
        <w:trPr>
          <w:trHeight w:val="45"/>
        </w:trPr>
        <w:tc>
          <w:tcPr>
            <w:tcW w:w="2260" w:type="dxa"/>
            <w:vAlign w:val="bottom"/>
            <w:shd w:val="clear" w:color="auto" w:fill="0171B9"/>
          </w:tcPr>
          <w:p>
            <w:pPr>
              <w:spacing w:after="0"/>
              <w:rPr>
                <w:sz w:val="3"/>
                <w:szCs w:val="3"/>
                <w:color w:val="auto"/>
              </w:rPr>
            </w:pPr>
          </w:p>
        </w:tc>
        <w:tc>
          <w:tcPr>
            <w:tcW w:w="160" w:type="dxa"/>
            <w:vAlign w:val="bottom"/>
            <w:shd w:val="clear" w:color="auto" w:fill="0171B9"/>
          </w:tcPr>
          <w:p>
            <w:pPr>
              <w:spacing w:after="0"/>
              <w:rPr>
                <w:sz w:val="3"/>
                <w:szCs w:val="3"/>
                <w:color w:val="auto"/>
              </w:rPr>
            </w:pPr>
          </w:p>
        </w:tc>
        <w:tc>
          <w:tcPr>
            <w:tcW w:w="2220" w:type="dxa"/>
            <w:vAlign w:val="bottom"/>
            <w:shd w:val="clear" w:color="auto" w:fill="0171B9"/>
          </w:tcPr>
          <w:p>
            <w:pPr>
              <w:spacing w:after="0"/>
              <w:rPr>
                <w:sz w:val="3"/>
                <w:szCs w:val="3"/>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ind w:left="120"/>
        <w:spacing w:after="0" w:line="237" w:lineRule="auto"/>
        <w:rPr>
          <w:sz w:val="20"/>
          <w:szCs w:val="20"/>
          <w:color w:val="auto"/>
        </w:rPr>
      </w:pPr>
      <w:r>
        <w:rPr>
          <w:rFonts w:ascii="Arial" w:cs="Arial" w:eastAsia="Arial" w:hAnsi="Arial"/>
          <w:sz w:val="17"/>
          <w:szCs w:val="17"/>
          <w:b w:val="1"/>
          <w:bCs w:val="1"/>
          <w:i w:val="1"/>
          <w:iCs w:val="1"/>
          <w:color w:val="0171B9"/>
        </w:rPr>
        <w:t xml:space="preserve">Diverse and Inclusive Workforce. </w:t>
      </w:r>
      <w:r>
        <w:rPr>
          <w:rFonts w:ascii="Arial" w:cs="Arial" w:eastAsia="Arial" w:hAnsi="Arial"/>
          <w:sz w:val="17"/>
          <w:szCs w:val="17"/>
          <w:color w:val="000000"/>
        </w:rPr>
        <w:t>Consistent with the Amgen</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Values, we are working to bring the diversity of the world community into the Amgen community. We believe that a diverse and inclusive culture fosters innovation, which supports our ability to serve patients. Further, we also believe our global presence is strengthened by having a workforce that reflects the diversity of the patients we serve. It is with these beliefs in mind that we have continued to strengthen and grow our culture of diversity, inclusion, and belonging.</w:t>
      </w:r>
    </w:p>
    <w:p>
      <w:pPr>
        <w:spacing w:after="0" w:line="96"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Our Diversity, Inclusion and Belonging Council is led by our executive leadership and is responsible for overseeing our strategy to further a diverse and inclusive workplace, with an ongoing focus on women in leadership and minority representation. With endorsement from executive management and engagement with senior leaders across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organization, we are implementing a global strategy designed to leverage our diversity and create a more inclusive workplace. We are engaging in activities and setting goals to improve our focus around diversity, inclusion, and belonging and offer a variety of training and learning programs and have continued to launch enhanced tools and resources that guides staff members on the role they play in advancing diversity, inclusion, and belonging throughout the organization. Further, we continue to incorporate diversity, inclusion, and belonging considerations into our business operations, including clinical trial design, procurement, and site selection.</w:t>
      </w:r>
    </w:p>
    <w:p>
      <w:pPr>
        <w:spacing w:after="0" w:line="100"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Each of our twelve Employee Resource Groups, dedicated to representing, supporting, and celebrating the diversity of our staff, are supported by a sponsor from our senior executive leadership team. In 2022, we launched our newest global Employee Resource Group called Recognition of Indigenous Peoples, Values and Environmental Resources, or RIVER, to share and continue the traditions, values, and culture of Indigenous people.</w:t>
      </w:r>
    </w:p>
    <w:p>
      <w:pPr>
        <w:spacing w:after="0" w:line="7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0171B9"/>
        </w:rPr>
        <w:t>Amgen Employee Resource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64135</wp:posOffset>
            </wp:positionV>
            <wp:extent cx="3008630" cy="3068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008630" cy="3068955"/>
                    </a:xfrm>
                    <a:prstGeom prst="rect">
                      <a:avLst/>
                    </a:prstGeom>
                    <a:noFill/>
                  </pic:spPr>
                </pic:pic>
              </a:graphicData>
            </a:graphic>
          </wp:anchor>
        </w:drawing>
      </w:r>
    </w:p>
    <w:p>
      <w:pPr>
        <w:spacing w:after="0" w:line="116" w:lineRule="exact"/>
        <w:rPr>
          <w:sz w:val="20"/>
          <w:szCs w:val="20"/>
          <w:color w:val="auto"/>
        </w:rPr>
      </w:pPr>
    </w:p>
    <w:tbl>
      <w:tblPr>
        <w:tblLayout w:type="fixed"/>
        <w:tblInd w:w="800" w:type="dxa"/>
        <w:tblCellMar>
          <w:top w:w="0" w:type="dxa"/>
          <w:left w:w="0" w:type="dxa"/>
          <w:bottom w:w="0" w:type="dxa"/>
          <w:right w:w="0" w:type="dxa"/>
        </w:tblCellMar>
      </w:tblPr>
      <w:tr>
        <w:trPr>
          <w:trHeight w:val="195"/>
        </w:trPr>
        <w:tc>
          <w:tcPr>
            <w:tcW w:w="1920" w:type="dxa"/>
            <w:vAlign w:val="bottom"/>
            <w:vMerge w:val="restart"/>
          </w:tcPr>
          <w:p>
            <w:pPr>
              <w:jc w:val="center"/>
              <w:ind w:right="315"/>
              <w:spacing w:after="0"/>
              <w:rPr>
                <w:sz w:val="20"/>
                <w:szCs w:val="20"/>
                <w:color w:val="auto"/>
              </w:rPr>
            </w:pPr>
            <w:r>
              <w:rPr>
                <w:rFonts w:ascii="Arial" w:cs="Arial" w:eastAsia="Arial" w:hAnsi="Arial"/>
                <w:sz w:val="17"/>
                <w:szCs w:val="17"/>
                <w:b w:val="1"/>
                <w:bCs w:val="1"/>
                <w:color w:val="FFFFFF"/>
                <w:w w:val="99"/>
              </w:rPr>
              <w:t>Amgen Asian</w:t>
            </w:r>
          </w:p>
        </w:tc>
        <w:tc>
          <w:tcPr>
            <w:tcW w:w="1960" w:type="dxa"/>
            <w:vAlign w:val="bottom"/>
          </w:tcPr>
          <w:p>
            <w:pPr>
              <w:jc w:val="center"/>
              <w:ind w:left="315"/>
              <w:spacing w:after="0"/>
              <w:rPr>
                <w:sz w:val="20"/>
                <w:szCs w:val="20"/>
                <w:color w:val="auto"/>
              </w:rPr>
            </w:pPr>
            <w:r>
              <w:rPr>
                <w:rFonts w:ascii="Arial" w:cs="Arial" w:eastAsia="Arial" w:hAnsi="Arial"/>
                <w:sz w:val="17"/>
                <w:szCs w:val="17"/>
                <w:b w:val="1"/>
                <w:bCs w:val="1"/>
                <w:color w:val="FFFFFF"/>
              </w:rPr>
              <w:t>Amgen Black</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1960" w:type="dxa"/>
            <w:vAlign w:val="bottom"/>
            <w:vMerge w:val="restart"/>
          </w:tcPr>
          <w:p>
            <w:pPr>
              <w:jc w:val="center"/>
              <w:ind w:left="335"/>
              <w:spacing w:after="0" w:line="189" w:lineRule="exact"/>
              <w:rPr>
                <w:sz w:val="20"/>
                <w:szCs w:val="20"/>
                <w:color w:val="auto"/>
              </w:rPr>
            </w:pPr>
            <w:r>
              <w:rPr>
                <w:rFonts w:ascii="Arial" w:cs="Arial" w:eastAsia="Arial" w:hAnsi="Arial"/>
                <w:sz w:val="17"/>
                <w:szCs w:val="17"/>
                <w:b w:val="1"/>
                <w:bCs w:val="1"/>
                <w:color w:val="FFFFFF"/>
              </w:rPr>
              <w:t>Employee Network</w:t>
            </w:r>
          </w:p>
        </w:tc>
        <w:tc>
          <w:tcPr>
            <w:tcW w:w="0" w:type="dxa"/>
            <w:vAlign w:val="bottom"/>
          </w:tcPr>
          <w:p>
            <w:pPr>
              <w:spacing w:after="0"/>
              <w:rPr>
                <w:sz w:val="1"/>
                <w:szCs w:val="1"/>
                <w:color w:val="auto"/>
              </w:rPr>
            </w:pPr>
          </w:p>
        </w:tc>
      </w:tr>
      <w:tr>
        <w:trPr>
          <w:trHeight w:val="94"/>
        </w:trPr>
        <w:tc>
          <w:tcPr>
            <w:tcW w:w="1920" w:type="dxa"/>
            <w:vAlign w:val="bottom"/>
            <w:vMerge w:val="restart"/>
          </w:tcPr>
          <w:p>
            <w:pPr>
              <w:jc w:val="center"/>
              <w:ind w:right="335"/>
              <w:spacing w:after="0"/>
              <w:rPr>
                <w:sz w:val="20"/>
                <w:szCs w:val="20"/>
                <w:color w:val="auto"/>
              </w:rPr>
            </w:pPr>
            <w:r>
              <w:rPr>
                <w:rFonts w:ascii="Arial" w:cs="Arial" w:eastAsia="Arial" w:hAnsi="Arial"/>
                <w:sz w:val="17"/>
                <w:szCs w:val="17"/>
                <w:b w:val="1"/>
                <w:bCs w:val="1"/>
                <w:color w:val="FFFFFF"/>
              </w:rPr>
              <w:t>Association (AAA)</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920" w:type="dxa"/>
            <w:vAlign w:val="bottom"/>
            <w:vMerge w:val="continue"/>
          </w:tcPr>
          <w:p>
            <w:pPr>
              <w:spacing w:after="0"/>
              <w:rPr>
                <w:sz w:val="11"/>
                <w:szCs w:val="11"/>
                <w:color w:val="auto"/>
              </w:rPr>
            </w:pPr>
          </w:p>
        </w:tc>
        <w:tc>
          <w:tcPr>
            <w:tcW w:w="1960" w:type="dxa"/>
            <w:vAlign w:val="bottom"/>
            <w:vMerge w:val="restart"/>
          </w:tcPr>
          <w:p>
            <w:pPr>
              <w:jc w:val="center"/>
              <w:ind w:left="315"/>
              <w:spacing w:after="0"/>
              <w:rPr>
                <w:sz w:val="20"/>
                <w:szCs w:val="20"/>
                <w:color w:val="auto"/>
              </w:rPr>
            </w:pPr>
            <w:r>
              <w:rPr>
                <w:rFonts w:ascii="Arial" w:cs="Arial" w:eastAsia="Arial" w:hAnsi="Arial"/>
                <w:sz w:val="17"/>
                <w:szCs w:val="17"/>
                <w:b w:val="1"/>
                <w:bCs w:val="1"/>
                <w:color w:val="FFFFFF"/>
              </w:rPr>
              <w:t>(ABEN)</w:t>
            </w:r>
          </w:p>
        </w:tc>
        <w:tc>
          <w:tcPr>
            <w:tcW w:w="0" w:type="dxa"/>
            <w:vAlign w:val="bottom"/>
          </w:tcPr>
          <w:p>
            <w:pPr>
              <w:spacing w:after="0"/>
              <w:rPr>
                <w:sz w:val="1"/>
                <w:szCs w:val="1"/>
                <w:color w:val="auto"/>
              </w:rPr>
            </w:pPr>
          </w:p>
        </w:tc>
      </w:tr>
      <w:tr>
        <w:trPr>
          <w:trHeight w:val="95"/>
        </w:trPr>
        <w:tc>
          <w:tcPr>
            <w:tcW w:w="192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left="640" w:right="20"/>
        <w:spacing w:after="0" w:line="249" w:lineRule="auto"/>
        <w:rPr>
          <w:sz w:val="20"/>
          <w:szCs w:val="20"/>
          <w:color w:val="auto"/>
        </w:rPr>
      </w:pPr>
      <w:r>
        <w:rPr>
          <w:rFonts w:ascii="Arial" w:cs="Arial" w:eastAsia="Arial" w:hAnsi="Arial"/>
          <w:sz w:val="17"/>
          <w:szCs w:val="17"/>
          <w:b w:val="1"/>
          <w:bCs w:val="1"/>
          <w:color w:val="FFFFFF"/>
        </w:rPr>
        <w:t>Ability Bettered through Leadership and Education (ABLE), a resource group for those with disabilities, visible and invisible</w:t>
      </w:r>
    </w:p>
    <w:p>
      <w:pPr>
        <w:spacing w:after="0" w:line="141" w:lineRule="exact"/>
        <w:rPr>
          <w:sz w:val="20"/>
          <w:szCs w:val="20"/>
          <w:color w:val="auto"/>
        </w:rPr>
      </w:pPr>
    </w:p>
    <w:tbl>
      <w:tblPr>
        <w:tblLayout w:type="fixed"/>
        <w:tblInd w:w="680" w:type="dxa"/>
        <w:tblCellMar>
          <w:top w:w="0" w:type="dxa"/>
          <w:left w:w="0" w:type="dxa"/>
          <w:bottom w:w="0" w:type="dxa"/>
          <w:right w:w="0" w:type="dxa"/>
        </w:tblCellMar>
      </w:tblPr>
      <w:tr>
        <w:trPr>
          <w:trHeight w:val="195"/>
        </w:trPr>
        <w:tc>
          <w:tcPr>
            <w:tcW w:w="2080" w:type="dxa"/>
            <w:vAlign w:val="bottom"/>
          </w:tcPr>
          <w:p>
            <w:pPr>
              <w:jc w:val="center"/>
              <w:ind w:right="235"/>
              <w:spacing w:after="0"/>
              <w:rPr>
                <w:sz w:val="20"/>
                <w:szCs w:val="20"/>
                <w:color w:val="auto"/>
              </w:rPr>
            </w:pPr>
            <w:r>
              <w:rPr>
                <w:rFonts w:ascii="Arial" w:cs="Arial" w:eastAsia="Arial" w:hAnsi="Arial"/>
                <w:sz w:val="17"/>
                <w:szCs w:val="17"/>
                <w:b w:val="1"/>
                <w:bCs w:val="1"/>
                <w:color w:val="FFFFFF"/>
              </w:rPr>
              <w:t>Amgen Early Career</w:t>
            </w:r>
          </w:p>
        </w:tc>
        <w:tc>
          <w:tcPr>
            <w:tcW w:w="1980" w:type="dxa"/>
            <w:vAlign w:val="bottom"/>
          </w:tcPr>
          <w:p>
            <w:pPr>
              <w:jc w:val="center"/>
              <w:ind w:left="235"/>
              <w:spacing w:after="0"/>
              <w:rPr>
                <w:sz w:val="20"/>
                <w:szCs w:val="20"/>
                <w:color w:val="auto"/>
              </w:rPr>
            </w:pPr>
            <w:r>
              <w:rPr>
                <w:rFonts w:ascii="Arial" w:cs="Arial" w:eastAsia="Arial" w:hAnsi="Arial"/>
                <w:sz w:val="17"/>
                <w:szCs w:val="17"/>
                <w:b w:val="1"/>
                <w:bCs w:val="1"/>
                <w:color w:val="FFFFFF"/>
              </w:rPr>
              <w:t>Amgen International</w:t>
            </w:r>
          </w:p>
        </w:tc>
      </w:tr>
      <w:tr>
        <w:trPr>
          <w:trHeight w:val="225"/>
        </w:trPr>
        <w:tc>
          <w:tcPr>
            <w:tcW w:w="2080" w:type="dxa"/>
            <w:vAlign w:val="bottom"/>
          </w:tcPr>
          <w:p>
            <w:pPr>
              <w:jc w:val="center"/>
              <w:ind w:right="235"/>
              <w:spacing w:after="0"/>
              <w:rPr>
                <w:sz w:val="20"/>
                <w:szCs w:val="20"/>
                <w:color w:val="auto"/>
              </w:rPr>
            </w:pPr>
            <w:r>
              <w:rPr>
                <w:rFonts w:ascii="Arial" w:cs="Arial" w:eastAsia="Arial" w:hAnsi="Arial"/>
                <w:sz w:val="17"/>
                <w:szCs w:val="17"/>
                <w:b w:val="1"/>
                <w:bCs w:val="1"/>
                <w:color w:val="FFFFFF"/>
              </w:rPr>
              <w:t>Professionals (AECP)</w:t>
            </w:r>
          </w:p>
        </w:tc>
        <w:tc>
          <w:tcPr>
            <w:tcW w:w="1980" w:type="dxa"/>
            <w:vAlign w:val="bottom"/>
          </w:tcPr>
          <w:p>
            <w:pPr>
              <w:jc w:val="center"/>
              <w:ind w:left="235"/>
              <w:spacing w:after="0"/>
              <w:rPr>
                <w:sz w:val="20"/>
                <w:szCs w:val="20"/>
                <w:color w:val="auto"/>
              </w:rPr>
            </w:pPr>
            <w:r>
              <w:rPr>
                <w:rFonts w:ascii="Arial" w:cs="Arial" w:eastAsia="Arial" w:hAnsi="Arial"/>
                <w:sz w:val="17"/>
                <w:szCs w:val="17"/>
                <w:b w:val="1"/>
                <w:bCs w:val="1"/>
                <w:color w:val="FFFFFF"/>
              </w:rPr>
              <w:t>Network (AIN)</w:t>
            </w:r>
          </w:p>
        </w:tc>
      </w:tr>
      <w:tr>
        <w:trPr>
          <w:trHeight w:val="328"/>
        </w:trPr>
        <w:tc>
          <w:tcPr>
            <w:tcW w:w="2080" w:type="dxa"/>
            <w:vAlign w:val="bottom"/>
          </w:tcPr>
          <w:p>
            <w:pPr>
              <w:jc w:val="center"/>
              <w:ind w:right="235"/>
              <w:spacing w:after="0"/>
              <w:rPr>
                <w:sz w:val="20"/>
                <w:szCs w:val="20"/>
                <w:color w:val="auto"/>
              </w:rPr>
            </w:pPr>
            <w:r>
              <w:rPr>
                <w:rFonts w:ascii="Arial" w:cs="Arial" w:eastAsia="Arial" w:hAnsi="Arial"/>
                <w:sz w:val="17"/>
                <w:szCs w:val="17"/>
                <w:b w:val="1"/>
                <w:bCs w:val="1"/>
                <w:color w:val="FFFFFF"/>
              </w:rPr>
              <w:t>Amgen Latin</w:t>
            </w:r>
          </w:p>
        </w:tc>
        <w:tc>
          <w:tcPr>
            <w:tcW w:w="1980" w:type="dxa"/>
            <w:vAlign w:val="bottom"/>
          </w:tcPr>
          <w:p>
            <w:pPr>
              <w:jc w:val="center"/>
              <w:ind w:left="235"/>
              <w:spacing w:after="0"/>
              <w:rPr>
                <w:sz w:val="20"/>
                <w:szCs w:val="20"/>
                <w:color w:val="auto"/>
              </w:rPr>
            </w:pPr>
            <w:r>
              <w:rPr>
                <w:rFonts w:ascii="Arial" w:cs="Arial" w:eastAsia="Arial" w:hAnsi="Arial"/>
                <w:sz w:val="17"/>
                <w:szCs w:val="17"/>
                <w:b w:val="1"/>
                <w:bCs w:val="1"/>
                <w:color w:val="FFFFFF"/>
              </w:rPr>
              <w:t>Amgen LGBTQ and</w:t>
            </w:r>
          </w:p>
        </w:tc>
      </w:tr>
      <w:tr>
        <w:trPr>
          <w:trHeight w:val="189"/>
        </w:trPr>
        <w:tc>
          <w:tcPr>
            <w:tcW w:w="2080" w:type="dxa"/>
            <w:vAlign w:val="bottom"/>
          </w:tcPr>
          <w:p>
            <w:pPr>
              <w:jc w:val="center"/>
              <w:ind w:right="235"/>
              <w:spacing w:after="0" w:line="189" w:lineRule="exact"/>
              <w:rPr>
                <w:sz w:val="20"/>
                <w:szCs w:val="20"/>
                <w:color w:val="auto"/>
              </w:rPr>
            </w:pPr>
            <w:r>
              <w:rPr>
                <w:rFonts w:ascii="Arial" w:cs="Arial" w:eastAsia="Arial" w:hAnsi="Arial"/>
                <w:sz w:val="17"/>
                <w:szCs w:val="17"/>
                <w:b w:val="1"/>
                <w:bCs w:val="1"/>
                <w:color w:val="FFFFFF"/>
                <w:w w:val="99"/>
              </w:rPr>
              <w:t>Employee Network</w:t>
            </w:r>
          </w:p>
        </w:tc>
        <w:tc>
          <w:tcPr>
            <w:tcW w:w="1980" w:type="dxa"/>
            <w:vAlign w:val="bottom"/>
          </w:tcPr>
          <w:p>
            <w:pPr>
              <w:jc w:val="center"/>
              <w:ind w:left="235"/>
              <w:spacing w:after="0" w:line="189" w:lineRule="exact"/>
              <w:rPr>
                <w:sz w:val="20"/>
                <w:szCs w:val="20"/>
                <w:color w:val="auto"/>
              </w:rPr>
            </w:pPr>
            <w:r>
              <w:rPr>
                <w:rFonts w:ascii="Arial" w:cs="Arial" w:eastAsia="Arial" w:hAnsi="Arial"/>
                <w:sz w:val="17"/>
                <w:szCs w:val="17"/>
                <w:b w:val="1"/>
                <w:bCs w:val="1"/>
                <w:color w:val="FFFFFF"/>
              </w:rPr>
              <w:t>Allies Network</w:t>
            </w:r>
          </w:p>
        </w:tc>
      </w:tr>
      <w:tr>
        <w:trPr>
          <w:trHeight w:val="239"/>
        </w:trPr>
        <w:tc>
          <w:tcPr>
            <w:tcW w:w="2080" w:type="dxa"/>
            <w:vAlign w:val="bottom"/>
          </w:tcPr>
          <w:p>
            <w:pPr>
              <w:jc w:val="center"/>
              <w:ind w:right="255"/>
              <w:spacing w:after="0"/>
              <w:rPr>
                <w:sz w:val="20"/>
                <w:szCs w:val="20"/>
                <w:color w:val="auto"/>
              </w:rPr>
            </w:pPr>
            <w:r>
              <w:rPr>
                <w:rFonts w:ascii="Arial" w:cs="Arial" w:eastAsia="Arial" w:hAnsi="Arial"/>
                <w:sz w:val="17"/>
                <w:szCs w:val="17"/>
                <w:b w:val="1"/>
                <w:bCs w:val="1"/>
                <w:color w:val="FFFFFF"/>
              </w:rPr>
              <w:t>(ALEN)</w:t>
            </w:r>
          </w:p>
        </w:tc>
        <w:tc>
          <w:tcPr>
            <w:tcW w:w="1980" w:type="dxa"/>
            <w:vAlign w:val="bottom"/>
          </w:tcPr>
          <w:p>
            <w:pPr>
              <w:jc w:val="center"/>
              <w:ind w:left="215"/>
              <w:spacing w:after="0"/>
              <w:rPr>
                <w:sz w:val="20"/>
                <w:szCs w:val="20"/>
                <w:color w:val="auto"/>
              </w:rPr>
            </w:pPr>
            <w:r>
              <w:rPr>
                <w:rFonts w:ascii="Arial" w:cs="Arial" w:eastAsia="Arial" w:hAnsi="Arial"/>
                <w:sz w:val="17"/>
                <w:szCs w:val="17"/>
                <w:b w:val="1"/>
                <w:bCs w:val="1"/>
                <w:color w:val="FFFFFF"/>
              </w:rPr>
              <w:t>(PRIDE)</w:t>
            </w:r>
          </w:p>
        </w:tc>
      </w:tr>
      <w:tr>
        <w:trPr>
          <w:trHeight w:val="288"/>
        </w:trPr>
        <w:tc>
          <w:tcPr>
            <w:tcW w:w="2080" w:type="dxa"/>
            <w:vAlign w:val="bottom"/>
          </w:tcPr>
          <w:p>
            <w:pPr>
              <w:jc w:val="center"/>
              <w:ind w:right="255"/>
              <w:spacing w:after="0"/>
              <w:rPr>
                <w:sz w:val="20"/>
                <w:szCs w:val="20"/>
                <w:color w:val="auto"/>
              </w:rPr>
            </w:pPr>
            <w:r>
              <w:rPr>
                <w:rFonts w:ascii="Arial" w:cs="Arial" w:eastAsia="Arial" w:hAnsi="Arial"/>
                <w:sz w:val="17"/>
                <w:szCs w:val="17"/>
                <w:b w:val="1"/>
                <w:bCs w:val="1"/>
                <w:color w:val="FFFFFF"/>
              </w:rPr>
              <w:t>Amgen South Asian</w:t>
            </w:r>
          </w:p>
        </w:tc>
        <w:tc>
          <w:tcPr>
            <w:tcW w:w="1980" w:type="dxa"/>
            <w:vAlign w:val="bottom"/>
          </w:tcPr>
          <w:p>
            <w:pPr>
              <w:jc w:val="center"/>
              <w:ind w:left="235"/>
              <w:spacing w:after="0"/>
              <w:rPr>
                <w:sz w:val="20"/>
                <w:szCs w:val="20"/>
                <w:color w:val="auto"/>
              </w:rPr>
            </w:pPr>
            <w:r>
              <w:rPr>
                <w:rFonts w:ascii="Arial" w:cs="Arial" w:eastAsia="Arial" w:hAnsi="Arial"/>
                <w:sz w:val="17"/>
                <w:szCs w:val="17"/>
                <w:b w:val="1"/>
                <w:bCs w:val="1"/>
                <w:color w:val="FFFFFF"/>
                <w:w w:val="99"/>
              </w:rPr>
              <w:t>Amgen Veterans</w:t>
            </w:r>
          </w:p>
        </w:tc>
      </w:tr>
      <w:tr>
        <w:trPr>
          <w:trHeight w:val="189"/>
        </w:trPr>
        <w:tc>
          <w:tcPr>
            <w:tcW w:w="2080" w:type="dxa"/>
            <w:vAlign w:val="bottom"/>
          </w:tcPr>
          <w:p>
            <w:pPr>
              <w:jc w:val="center"/>
              <w:ind w:right="235"/>
              <w:spacing w:after="0" w:line="189" w:lineRule="exact"/>
              <w:rPr>
                <w:sz w:val="20"/>
                <w:szCs w:val="20"/>
                <w:color w:val="auto"/>
              </w:rPr>
            </w:pPr>
            <w:r>
              <w:rPr>
                <w:rFonts w:ascii="Arial" w:cs="Arial" w:eastAsia="Arial" w:hAnsi="Arial"/>
                <w:sz w:val="17"/>
                <w:szCs w:val="17"/>
                <w:b w:val="1"/>
                <w:bCs w:val="1"/>
                <w:color w:val="FFFFFF"/>
              </w:rPr>
              <w:t>Network</w:t>
            </w:r>
          </w:p>
        </w:tc>
        <w:tc>
          <w:tcPr>
            <w:tcW w:w="1980" w:type="dxa"/>
            <w:vAlign w:val="bottom"/>
          </w:tcPr>
          <w:p>
            <w:pPr>
              <w:jc w:val="center"/>
              <w:ind w:left="235"/>
              <w:spacing w:after="0" w:line="189" w:lineRule="exact"/>
              <w:rPr>
                <w:sz w:val="20"/>
                <w:szCs w:val="20"/>
                <w:color w:val="auto"/>
              </w:rPr>
            </w:pPr>
            <w:r>
              <w:rPr>
                <w:rFonts w:ascii="Arial" w:cs="Arial" w:eastAsia="Arial" w:hAnsi="Arial"/>
                <w:sz w:val="17"/>
                <w:szCs w:val="17"/>
                <w:b w:val="1"/>
                <w:bCs w:val="1"/>
                <w:color w:val="FFFFFF"/>
              </w:rPr>
              <w:t>Employee Network</w:t>
            </w:r>
          </w:p>
        </w:tc>
      </w:tr>
      <w:tr>
        <w:trPr>
          <w:trHeight w:val="238"/>
        </w:trPr>
        <w:tc>
          <w:tcPr>
            <w:tcW w:w="2080" w:type="dxa"/>
            <w:vAlign w:val="bottom"/>
          </w:tcPr>
          <w:p>
            <w:pPr>
              <w:jc w:val="center"/>
              <w:ind w:right="235"/>
              <w:spacing w:after="0"/>
              <w:rPr>
                <w:sz w:val="20"/>
                <w:szCs w:val="20"/>
                <w:color w:val="auto"/>
              </w:rPr>
            </w:pPr>
            <w:r>
              <w:rPr>
                <w:rFonts w:ascii="Arial" w:cs="Arial" w:eastAsia="Arial" w:hAnsi="Arial"/>
                <w:sz w:val="17"/>
                <w:szCs w:val="17"/>
                <w:b w:val="1"/>
                <w:bCs w:val="1"/>
                <w:color w:val="FFFFFF"/>
              </w:rPr>
              <w:t>(ASAN)</w:t>
            </w:r>
          </w:p>
        </w:tc>
        <w:tc>
          <w:tcPr>
            <w:tcW w:w="1980" w:type="dxa"/>
            <w:vAlign w:val="bottom"/>
          </w:tcPr>
          <w:p>
            <w:pPr>
              <w:jc w:val="center"/>
              <w:ind w:left="235"/>
              <w:spacing w:after="0"/>
              <w:rPr>
                <w:sz w:val="20"/>
                <w:szCs w:val="20"/>
                <w:color w:val="auto"/>
              </w:rPr>
            </w:pPr>
            <w:r>
              <w:rPr>
                <w:rFonts w:ascii="Arial" w:cs="Arial" w:eastAsia="Arial" w:hAnsi="Arial"/>
                <w:sz w:val="17"/>
                <w:szCs w:val="17"/>
                <w:b w:val="1"/>
                <w:bCs w:val="1"/>
                <w:color w:val="FFFFFF"/>
                <w:w w:val="98"/>
              </w:rPr>
              <w:t>(AVEN)</w:t>
            </w:r>
          </w:p>
        </w:tc>
      </w:tr>
    </w:tbl>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FFFFFF"/>
        </w:rPr>
        <w:t>Recognition of Indigenous Peoples, Values and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FFFFFF"/>
        </w:rPr>
        <w:t>Environmental Resources (RIVER)</w:t>
      </w:r>
    </w:p>
    <w:p>
      <w:pPr>
        <w:spacing w:after="0" w:line="156" w:lineRule="exact"/>
        <w:rPr>
          <w:sz w:val="20"/>
          <w:szCs w:val="20"/>
          <w:color w:val="auto"/>
        </w:rPr>
      </w:pPr>
    </w:p>
    <w:tbl>
      <w:tblPr>
        <w:tblLayout w:type="fixed"/>
        <w:tblInd w:w="740" w:type="dxa"/>
        <w:tblCellMar>
          <w:top w:w="0" w:type="dxa"/>
          <w:left w:w="0" w:type="dxa"/>
          <w:bottom w:w="0" w:type="dxa"/>
          <w:right w:w="0" w:type="dxa"/>
        </w:tblCellMar>
      </w:tblPr>
      <w:tr>
        <w:trPr>
          <w:trHeight w:val="195"/>
        </w:trPr>
        <w:tc>
          <w:tcPr>
            <w:tcW w:w="2060" w:type="dxa"/>
            <w:vAlign w:val="bottom"/>
          </w:tcPr>
          <w:p>
            <w:pPr>
              <w:jc w:val="center"/>
              <w:ind w:right="335"/>
              <w:spacing w:after="0"/>
              <w:rPr>
                <w:sz w:val="20"/>
                <w:szCs w:val="20"/>
                <w:color w:val="auto"/>
              </w:rPr>
            </w:pPr>
            <w:r>
              <w:rPr>
                <w:rFonts w:ascii="Arial" w:cs="Arial" w:eastAsia="Arial" w:hAnsi="Arial"/>
                <w:sz w:val="17"/>
                <w:szCs w:val="17"/>
                <w:b w:val="1"/>
                <w:bCs w:val="1"/>
                <w:color w:val="FFFFFF"/>
              </w:rPr>
              <w:t>Women Empowered</w:t>
            </w:r>
          </w:p>
        </w:tc>
        <w:tc>
          <w:tcPr>
            <w:tcW w:w="1780" w:type="dxa"/>
            <w:vAlign w:val="bottom"/>
          </w:tcPr>
          <w:p>
            <w:pPr>
              <w:jc w:val="center"/>
              <w:ind w:left="355"/>
              <w:spacing w:after="0"/>
              <w:rPr>
                <w:sz w:val="20"/>
                <w:szCs w:val="20"/>
                <w:color w:val="auto"/>
              </w:rPr>
            </w:pPr>
            <w:r>
              <w:rPr>
                <w:rFonts w:ascii="Arial" w:cs="Arial" w:eastAsia="Arial" w:hAnsi="Arial"/>
                <w:sz w:val="17"/>
                <w:szCs w:val="17"/>
                <w:b w:val="1"/>
                <w:bCs w:val="1"/>
                <w:color w:val="FFFFFF"/>
              </w:rPr>
              <w:t>Women in STEM</w:t>
            </w:r>
          </w:p>
        </w:tc>
      </w:tr>
      <w:tr>
        <w:trPr>
          <w:trHeight w:val="189"/>
        </w:trPr>
        <w:tc>
          <w:tcPr>
            <w:tcW w:w="2060" w:type="dxa"/>
            <w:vAlign w:val="bottom"/>
          </w:tcPr>
          <w:p>
            <w:pPr>
              <w:jc w:val="center"/>
              <w:ind w:right="355"/>
              <w:spacing w:after="0" w:line="189" w:lineRule="exact"/>
              <w:rPr>
                <w:sz w:val="20"/>
                <w:szCs w:val="20"/>
                <w:color w:val="auto"/>
              </w:rPr>
            </w:pPr>
            <w:r>
              <w:rPr>
                <w:rFonts w:ascii="Arial" w:cs="Arial" w:eastAsia="Arial" w:hAnsi="Arial"/>
                <w:sz w:val="17"/>
                <w:szCs w:val="17"/>
                <w:b w:val="1"/>
                <w:bCs w:val="1"/>
                <w:color w:val="FFFFFF"/>
              </w:rPr>
              <w:t>to be Exceptional</w:t>
            </w:r>
          </w:p>
        </w:tc>
        <w:tc>
          <w:tcPr>
            <w:tcW w:w="1780" w:type="dxa"/>
            <w:vAlign w:val="bottom"/>
          </w:tcPr>
          <w:p>
            <w:pPr>
              <w:jc w:val="center"/>
              <w:ind w:left="355"/>
              <w:spacing w:after="0" w:line="189" w:lineRule="exact"/>
              <w:rPr>
                <w:sz w:val="20"/>
                <w:szCs w:val="20"/>
                <w:color w:val="auto"/>
              </w:rPr>
            </w:pPr>
            <w:r>
              <w:rPr>
                <w:rFonts w:ascii="Arial" w:cs="Arial" w:eastAsia="Arial" w:hAnsi="Arial"/>
                <w:sz w:val="17"/>
                <w:szCs w:val="17"/>
                <w:b w:val="1"/>
                <w:bCs w:val="1"/>
                <w:color w:val="FFFFFF"/>
              </w:rPr>
              <w:t>Enrichment</w:t>
            </w:r>
          </w:p>
        </w:tc>
      </w:tr>
      <w:tr>
        <w:trPr>
          <w:trHeight w:val="225"/>
        </w:trPr>
        <w:tc>
          <w:tcPr>
            <w:tcW w:w="2060" w:type="dxa"/>
            <w:vAlign w:val="bottom"/>
          </w:tcPr>
          <w:p>
            <w:pPr>
              <w:jc w:val="center"/>
              <w:ind w:right="335"/>
              <w:spacing w:after="0"/>
              <w:rPr>
                <w:sz w:val="20"/>
                <w:szCs w:val="20"/>
                <w:color w:val="auto"/>
              </w:rPr>
            </w:pPr>
            <w:r>
              <w:rPr>
                <w:rFonts w:ascii="Arial" w:cs="Arial" w:eastAsia="Arial" w:hAnsi="Arial"/>
                <w:sz w:val="17"/>
                <w:szCs w:val="17"/>
                <w:b w:val="1"/>
                <w:bCs w:val="1"/>
                <w:color w:val="FFFFFF"/>
                <w:w w:val="99"/>
              </w:rPr>
              <w:t>(WE2)</w:t>
            </w:r>
          </w:p>
        </w:tc>
        <w:tc>
          <w:tcPr>
            <w:tcW w:w="1780" w:type="dxa"/>
            <w:vAlign w:val="bottom"/>
          </w:tcPr>
          <w:p>
            <w:pPr>
              <w:jc w:val="center"/>
              <w:ind w:left="355"/>
              <w:spacing w:after="0"/>
              <w:rPr>
                <w:sz w:val="20"/>
                <w:szCs w:val="20"/>
                <w:color w:val="auto"/>
              </w:rPr>
            </w:pPr>
            <w:r>
              <w:rPr>
                <w:rFonts w:ascii="Arial" w:cs="Arial" w:eastAsia="Arial" w:hAnsi="Arial"/>
                <w:sz w:val="17"/>
                <w:szCs w:val="17"/>
                <w:b w:val="1"/>
                <w:bCs w:val="1"/>
                <w:color w:val="FFFFFF"/>
                <w:w w:val="98"/>
              </w:rPr>
              <w:t>(WISE)</w:t>
            </w:r>
          </w:p>
        </w:tc>
      </w:tr>
    </w:tbl>
    <w:p>
      <w:pPr>
        <w:spacing w:after="0" w:line="200"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Our inclusive hiring practices also consider, as appropriate, a skills-based hiring approach. For example, developed in 2022 and launched in 2023, our U.S. in-house apprenticeship program has been designed with the goal of hiring and upskilling talent without a four-year college degree by combining formal learning with on-the-job training. After successful completion of the program, apprentices are provided opportunities to transition to full-time roles at Amgen. This program is one example of our commitment to OneTen.</w:t>
      </w:r>
    </w:p>
    <w:p>
      <w:pPr>
        <w:spacing w:after="0" w:line="200" w:lineRule="exact"/>
        <w:rPr>
          <w:sz w:val="20"/>
          <w:szCs w:val="20"/>
          <w:color w:val="auto"/>
        </w:rPr>
      </w:pPr>
    </w:p>
    <w:p>
      <w:pPr>
        <w:spacing w:after="0" w:line="371"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1134745</wp:posOffset>
            </wp:positionH>
            <wp:positionV relativeFrom="paragraph">
              <wp:posOffset>-162560</wp:posOffset>
            </wp:positionV>
            <wp:extent cx="58293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2">
            <w:col w:w="5400" w:space="340"/>
            <w:col w:w="5400"/>
          </w:cols>
          <w:pgMar w:left="320" w:top="486" w:right="4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6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ectPr>
          <w:pgSz w:w="11900" w:h="16838" w:orient="portrait"/>
          <w:cols w:equalWidth="0" w:num="1">
            <w:col w:w="11120"/>
          </w:cols>
          <w:pgMar w:left="320" w:top="486" w:right="45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both"/>
        <w:ind w:left="220" w:right="100"/>
        <w:spacing w:after="0"/>
        <w:rPr>
          <w:sz w:val="20"/>
          <w:szCs w:val="20"/>
          <w:color w:val="auto"/>
        </w:rPr>
      </w:pPr>
      <w:r>
        <w:rPr>
          <w:rFonts w:ascii="Arial" w:cs="Arial" w:eastAsia="Arial" w:hAnsi="Arial"/>
          <w:sz w:val="17"/>
          <w:szCs w:val="17"/>
          <w:b w:val="1"/>
          <w:bCs w:val="1"/>
          <w:color w:val="0171B9"/>
        </w:rPr>
        <w:t>Amgen is a founding member of OneTen, a coalition of many of the world’s largest, best-known companies that aims collectively to hire one million Black Americans (with a specific focus on those without four-year college degrees) into good-paying, family-sustaining jobs over the next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-648335</wp:posOffset>
            </wp:positionV>
            <wp:extent cx="3364230" cy="8102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4230" cy="810260"/>
                    </a:xfrm>
                    <a:prstGeom prst="rect">
                      <a:avLst/>
                    </a:prstGeom>
                    <a:noFill/>
                  </pic:spPr>
                </pic:pic>
              </a:graphicData>
            </a:graphic>
          </wp:anchor>
        </w:drawing>
      </w:r>
    </w:p>
    <w:p>
      <w:pPr>
        <w:spacing w:after="0" w:line="332"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Additionally, Amgen is taking a leadership role in the greater Los Angeles region, where we are headquartered, to help expand the coalition of organizations that share our desire to offer opportunities to diverse talent.</w:t>
      </w:r>
    </w:p>
    <w:p>
      <w:pPr>
        <w:spacing w:after="0" w:line="77" w:lineRule="exact"/>
        <w:rPr>
          <w:sz w:val="20"/>
          <w:szCs w:val="20"/>
          <w:color w:val="auto"/>
        </w:rPr>
      </w:pPr>
    </w:p>
    <w:p>
      <w:pPr>
        <w:jc w:val="both"/>
        <w:ind w:left="120"/>
        <w:spacing w:after="0" w:line="237" w:lineRule="auto"/>
        <w:rPr>
          <w:sz w:val="20"/>
          <w:szCs w:val="20"/>
          <w:color w:val="auto"/>
        </w:rPr>
      </w:pPr>
      <w:r>
        <w:rPr>
          <w:rFonts w:ascii="Arial" w:cs="Arial" w:eastAsia="Arial" w:hAnsi="Arial"/>
          <w:sz w:val="17"/>
          <w:szCs w:val="17"/>
          <w:i w:val="1"/>
          <w:iCs w:val="1"/>
          <w:color w:val="0171B9"/>
        </w:rPr>
        <w:t xml:space="preserve">Attracting and Developing Talent. </w:t>
      </w:r>
      <w:r>
        <w:rPr>
          <w:rFonts w:ascii="Arial" w:cs="Arial" w:eastAsia="Arial" w:hAnsi="Arial"/>
          <w:sz w:val="17"/>
          <w:szCs w:val="17"/>
          <w:color w:val="000000"/>
        </w:rPr>
        <w:t>We recognize the importance of</w:t>
      </w:r>
      <w:r>
        <w:rPr>
          <w:rFonts w:ascii="Arial" w:cs="Arial" w:eastAsia="Arial" w:hAnsi="Arial"/>
          <w:sz w:val="17"/>
          <w:szCs w:val="17"/>
          <w:i w:val="1"/>
          <w:iCs w:val="1"/>
          <w:color w:val="0171B9"/>
        </w:rPr>
        <w:t xml:space="preserve"> </w:t>
      </w:r>
      <w:r>
        <w:rPr>
          <w:rFonts w:ascii="Arial" w:cs="Arial" w:eastAsia="Arial" w:hAnsi="Arial"/>
          <w:sz w:val="17"/>
          <w:szCs w:val="17"/>
          <w:color w:val="000000"/>
        </w:rPr>
        <w:t>attracting, motivating, developing, and retaining top global talent and skilled staff members. We compensate our staff members based on their roles, experience, and performance, provide wellness and work-life resources, as well as support employees in giving back and volunteering in their local communities. To support the development of our staff, we provide a variety of programs, including leadership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development programs, classroom-based and virtual instructor-led courses, and self-paced learning options as well as mentoring, networking, and coaching opportunities.</w:t>
      </w:r>
    </w:p>
    <w:p>
      <w:pPr>
        <w:spacing w:after="0" w:line="9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Our benefit programs are generally broad-based, promote health and overall well-being, and emphasize saving for retirement. Amgen offers top-tier benefits for full- and part-time employees, including, in the U.S. and Puerto Rico, on-site child care at certain of our facilities, adoption assistance, resources for elder care and behavioral health, and paid parental leave for all Amgen staff members who have or adopt, or become a foster parent or legal guardian for a child. Globally, comparable benefit programs are offered with the same health and well-being goals, while also designed to comply with local statutory requirements.</w:t>
      </w:r>
    </w:p>
    <w:p>
      <w:pPr>
        <w:spacing w:after="0" w:line="10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(For more information regarding our approach to human capital resource management, including activities in support of workplace safety and diversity, please see our Form 10-K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330200</wp:posOffset>
            </wp:positionV>
            <wp:extent cx="6926580" cy="3977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26580" cy="3977640"/>
                    </a:xfrm>
                    <a:prstGeom prst="rect">
                      <a:avLst/>
                    </a:prstGeom>
                    <a:noFill/>
                  </pic:spPr>
                </pic:pic>
              </a:graphicData>
            </a:graphic>
          </wp:anchor>
        </w:drawing>
      </w:r>
    </w:p>
    <w:p>
      <w:pPr>
        <w:spacing w:after="0" w:line="332" w:lineRule="exact"/>
        <w:rPr>
          <w:sz w:val="20"/>
          <w:szCs w:val="20"/>
          <w:color w:val="auto"/>
        </w:rPr>
      </w:pPr>
    </w:p>
    <w:p>
      <w:pPr>
        <w:sectPr>
          <w:pgSz w:w="11900" w:h="16838" w:orient="portrait"/>
          <w:cols w:equalWidth="0" w:num="2">
            <w:col w:w="5400" w:space="340"/>
            <w:col w:w="5380"/>
          </w:cols>
          <w:pgMar w:left="320" w:top="486" w:right="459" w:bottom="1440" w:gutter="0" w:footer="0" w:header="0"/>
          <w:type w:val="continuous"/>
        </w:sectPr>
      </w:pPr>
    </w:p>
    <w:p>
      <w:pPr>
        <w:spacing w:after="0" w:line="267" w:lineRule="exact"/>
        <w:rPr>
          <w:sz w:val="20"/>
          <w:szCs w:val="20"/>
          <w:color w:val="auto"/>
        </w:rPr>
      </w:pPr>
    </w:p>
    <w:p>
      <w:pPr>
        <w:ind w:left="200" w:right="140"/>
        <w:spacing w:after="0" w:line="267" w:lineRule="auto"/>
        <w:rPr>
          <w:sz w:val="20"/>
          <w:szCs w:val="20"/>
          <w:color w:val="auto"/>
        </w:rPr>
      </w:pPr>
      <w:r>
        <w:rPr>
          <w:rFonts w:ascii="Arial" w:cs="Arial" w:eastAsia="Arial" w:hAnsi="Arial"/>
          <w:sz w:val="25"/>
          <w:szCs w:val="25"/>
          <w:b w:val="1"/>
          <w:bCs w:val="1"/>
          <w:i w:val="1"/>
          <w:iCs w:val="1"/>
          <w:color w:val="0171B9"/>
        </w:rPr>
        <w:t>Compensation and Management Development Committee</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Current Members:</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Robert A. Eckert (Chair)</w:t>
      </w:r>
    </w:p>
    <w:p>
      <w:pPr>
        <w:ind w:left="200"/>
        <w:spacing w:after="0" w:line="232" w:lineRule="auto"/>
        <w:rPr>
          <w:sz w:val="20"/>
          <w:szCs w:val="20"/>
          <w:color w:val="auto"/>
        </w:rPr>
      </w:pPr>
      <w:r>
        <w:rPr>
          <w:rFonts w:ascii="Arial" w:cs="Arial" w:eastAsia="Arial" w:hAnsi="Arial"/>
          <w:sz w:val="17"/>
          <w:szCs w:val="17"/>
          <w:color w:val="auto"/>
        </w:rPr>
        <w:t>Wanda M. Austin</w:t>
      </w:r>
    </w:p>
    <w:p>
      <w:pPr>
        <w:ind w:left="200"/>
        <w:spacing w:after="0" w:line="232" w:lineRule="auto"/>
        <w:rPr>
          <w:sz w:val="20"/>
          <w:szCs w:val="20"/>
          <w:color w:val="auto"/>
        </w:rPr>
      </w:pPr>
      <w:r>
        <w:rPr>
          <w:rFonts w:ascii="Arial" w:cs="Arial" w:eastAsia="Arial" w:hAnsi="Arial"/>
          <w:sz w:val="17"/>
          <w:szCs w:val="17"/>
          <w:color w:val="auto"/>
        </w:rPr>
        <w:t>Brian J. Druker</w:t>
      </w:r>
    </w:p>
    <w:p>
      <w:pPr>
        <w:ind w:left="200"/>
        <w:spacing w:after="0" w:line="232" w:lineRule="auto"/>
        <w:rPr>
          <w:sz w:val="20"/>
          <w:szCs w:val="20"/>
          <w:color w:val="auto"/>
        </w:rPr>
      </w:pPr>
      <w:r>
        <w:rPr>
          <w:rFonts w:ascii="Arial" w:cs="Arial" w:eastAsia="Arial" w:hAnsi="Arial"/>
          <w:sz w:val="17"/>
          <w:szCs w:val="17"/>
          <w:color w:val="auto"/>
        </w:rPr>
        <w:t>Greg C. Garland</w:t>
      </w:r>
    </w:p>
    <w:p>
      <w:pPr>
        <w:ind w:left="200"/>
        <w:spacing w:after="0" w:line="232" w:lineRule="auto"/>
        <w:rPr>
          <w:sz w:val="20"/>
          <w:szCs w:val="20"/>
          <w:color w:val="auto"/>
        </w:rPr>
      </w:pPr>
      <w:r>
        <w:rPr>
          <w:rFonts w:ascii="Arial" w:cs="Arial" w:eastAsia="Arial" w:hAnsi="Arial"/>
          <w:sz w:val="17"/>
          <w:szCs w:val="17"/>
          <w:color w:val="auto"/>
        </w:rPr>
        <w:t>S. Omar Ishrak</w:t>
      </w:r>
    </w:p>
    <w:p>
      <w:pPr>
        <w:ind w:left="200"/>
        <w:spacing w:after="0"/>
        <w:rPr>
          <w:sz w:val="20"/>
          <w:szCs w:val="20"/>
          <w:color w:val="auto"/>
        </w:rPr>
      </w:pPr>
      <w:r>
        <w:rPr>
          <w:rFonts w:ascii="Arial" w:cs="Arial" w:eastAsia="Arial" w:hAnsi="Arial"/>
          <w:sz w:val="17"/>
          <w:szCs w:val="17"/>
          <w:color w:val="auto"/>
        </w:rPr>
        <w:t>Tyler Jacks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Number of Meetings Held in 2022: </w:t>
      </w:r>
      <w:r>
        <w:rPr>
          <w:rFonts w:ascii="Arial" w:cs="Arial" w:eastAsia="Arial" w:hAnsi="Arial"/>
          <w:sz w:val="18"/>
          <w:szCs w:val="18"/>
          <w:b w:val="1"/>
          <w:bCs w:val="1"/>
          <w:color w:val="0171B9"/>
        </w:rPr>
        <w:t>5</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Independent Compensation</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Consultant: </w:t>
      </w:r>
      <w:r>
        <w:rPr>
          <w:rFonts w:ascii="Arial" w:cs="Arial" w:eastAsia="Arial" w:hAnsi="Arial"/>
          <w:sz w:val="18"/>
          <w:szCs w:val="18"/>
          <w:color w:val="auto"/>
        </w:rPr>
        <w:t>FW Cook</w:t>
      </w:r>
    </w:p>
    <w:p>
      <w:pPr>
        <w:spacing w:after="0" w:line="94" w:lineRule="exact"/>
        <w:rPr>
          <w:sz w:val="20"/>
          <w:szCs w:val="20"/>
          <w:color w:val="auto"/>
        </w:rPr>
      </w:pPr>
    </w:p>
    <w:p>
      <w:pPr>
        <w:jc w:val="both"/>
        <w:ind w:left="200"/>
        <w:spacing w:after="0" w:line="243" w:lineRule="auto"/>
        <w:rPr>
          <w:sz w:val="20"/>
          <w:szCs w:val="20"/>
          <w:color w:val="auto"/>
        </w:rPr>
      </w:pPr>
      <w:r>
        <w:rPr>
          <w:rFonts w:ascii="Arial" w:cs="Arial" w:eastAsia="Arial" w:hAnsi="Arial"/>
          <w:sz w:val="17"/>
          <w:szCs w:val="17"/>
          <w:i w:val="1"/>
          <w:iCs w:val="1"/>
          <w:color w:val="auto"/>
        </w:rPr>
        <w:t>Each member has been determined by the Board to be independent under The NASDAQ Stock Market listing standards and the requirements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1398905</wp:posOffset>
            </wp:positionV>
            <wp:extent cx="7715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Description and Key Responsibilities:</w:t>
      </w:r>
    </w:p>
    <w:p>
      <w:pPr>
        <w:spacing w:after="0" w:line="134" w:lineRule="exact"/>
        <w:rPr>
          <w:sz w:val="20"/>
          <w:szCs w:val="20"/>
          <w:color w:val="auto"/>
        </w:rPr>
      </w:pPr>
    </w:p>
    <w:p>
      <w:pPr>
        <w:jc w:val="both"/>
        <w:ind w:left="220" w:right="120" w:hanging="214"/>
        <w:spacing w:after="0" w:line="236"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Assists the Board in fulfilling its fiduciary responsibilities with respect to the oversight of the</w:t>
      </w:r>
      <w:r>
        <w:rPr>
          <w:rFonts w:ascii="Arial" w:cs="Arial" w:eastAsia="Arial" w:hAnsi="Arial"/>
          <w:sz w:val="17"/>
          <w:szCs w:val="17"/>
          <w:color w:val="0171B9"/>
        </w:rPr>
        <w:t xml:space="preserve"> </w:t>
      </w:r>
      <w:r>
        <w:rPr>
          <w:rFonts w:ascii="Arial" w:cs="Arial" w:eastAsia="Arial" w:hAnsi="Arial"/>
          <w:sz w:val="17"/>
          <w:szCs w:val="17"/>
          <w:color w:val="000000"/>
        </w:rPr>
        <w:t>Company’s compensation plans, policies, and programs with a focus on encouraging high performance, promoting accountability and adherence to Company values, and aligning with the interests of the Company’s stockholders.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Approves all executive officer compensation.</w:t>
      </w:r>
    </w:p>
    <w:p>
      <w:pPr>
        <w:spacing w:after="0" w:line="115" w:lineRule="exact"/>
        <w:rPr>
          <w:sz w:val="20"/>
          <w:szCs w:val="20"/>
          <w:color w:val="auto"/>
        </w:rPr>
      </w:pPr>
    </w:p>
    <w:p>
      <w:pPr>
        <w:jc w:val="both"/>
        <w:ind w:left="220" w:right="120" w:hanging="214"/>
        <w:spacing w:after="0" w:line="236"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Oversees human capital management, including labor and employment and diversity,</w:t>
      </w:r>
      <w:r>
        <w:rPr>
          <w:rFonts w:ascii="Arial" w:cs="Arial" w:eastAsia="Arial" w:hAnsi="Arial"/>
          <w:sz w:val="17"/>
          <w:szCs w:val="17"/>
          <w:color w:val="0171B9"/>
        </w:rPr>
        <w:t xml:space="preserve"> </w:t>
      </w:r>
      <w:r>
        <w:rPr>
          <w:rFonts w:ascii="Arial" w:cs="Arial" w:eastAsia="Arial" w:hAnsi="Arial"/>
          <w:sz w:val="17"/>
          <w:szCs w:val="17"/>
          <w:color w:val="000000"/>
        </w:rPr>
        <w:t>inclusion, and belonging activities, and succession planning for senior management, including that our approaches to management development are effective in attracting, developing, and retaining talented leadership.</w:t>
      </w:r>
    </w:p>
    <w:p>
      <w:pPr>
        <w:spacing w:after="0" w:line="109" w:lineRule="exact"/>
        <w:rPr>
          <w:sz w:val="20"/>
          <w:szCs w:val="20"/>
          <w:color w:val="auto"/>
        </w:rPr>
      </w:pPr>
    </w:p>
    <w:p>
      <w:pPr>
        <w:jc w:val="both"/>
        <w:ind w:left="220" w:right="100" w:hanging="214"/>
        <w:spacing w:after="0" w:line="238"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Oversees the Board’s relationship with stockholders on executive compensation matters,</w:t>
      </w:r>
      <w:r>
        <w:rPr>
          <w:rFonts w:ascii="Arial" w:cs="Arial" w:eastAsia="Arial" w:hAnsi="Arial"/>
          <w:sz w:val="17"/>
          <w:szCs w:val="17"/>
          <w:color w:val="0171B9"/>
        </w:rPr>
        <w:t xml:space="preserve"> </w:t>
      </w:r>
      <w:r>
        <w:rPr>
          <w:rFonts w:ascii="Arial" w:cs="Arial" w:eastAsia="Arial" w:hAnsi="Arial"/>
          <w:sz w:val="17"/>
          <w:szCs w:val="17"/>
          <w:color w:val="000000"/>
        </w:rPr>
        <w:t>including stockholder outreach efforts, stockholder proposals, advisory votes, communications with proxy advisory firms, and related matters.</w:t>
      </w:r>
    </w:p>
    <w:p>
      <w:pPr>
        <w:spacing w:after="0" w:line="107" w:lineRule="exact"/>
        <w:rPr>
          <w:sz w:val="20"/>
          <w:szCs w:val="20"/>
          <w:color w:val="auto"/>
        </w:rPr>
      </w:pPr>
    </w:p>
    <w:p>
      <w:pPr>
        <w:jc w:val="both"/>
        <w:ind w:left="220" w:right="120" w:hanging="214"/>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Oversees staff member relations, including information obtained from regular staff member</w:t>
      </w:r>
      <w:r>
        <w:rPr>
          <w:rFonts w:ascii="Arial" w:cs="Arial" w:eastAsia="Arial" w:hAnsi="Arial"/>
          <w:sz w:val="17"/>
          <w:szCs w:val="17"/>
          <w:color w:val="0171B9"/>
        </w:rPr>
        <w:t xml:space="preserve"> </w:t>
      </w:r>
      <w:r>
        <w:rPr>
          <w:rFonts w:ascii="Arial" w:cs="Arial" w:eastAsia="Arial" w:hAnsi="Arial"/>
          <w:sz w:val="17"/>
          <w:szCs w:val="17"/>
          <w:color w:val="000000"/>
        </w:rPr>
        <w:t>survey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171B9"/>
        </w:rPr>
        <w:t>Executive Compensation Website</w:t>
      </w:r>
    </w:p>
    <w:p>
      <w:pPr>
        <w:spacing w:after="0" w:line="12" w:lineRule="exact"/>
        <w:rPr>
          <w:sz w:val="20"/>
          <w:szCs w:val="20"/>
          <w:color w:val="auto"/>
        </w:rPr>
      </w:pPr>
    </w:p>
    <w:p>
      <w:pPr>
        <w:jc w:val="both"/>
        <w:ind w:right="320"/>
        <w:spacing w:after="0" w:line="236" w:lineRule="auto"/>
        <w:rPr>
          <w:sz w:val="20"/>
          <w:szCs w:val="20"/>
          <w:color w:val="auto"/>
        </w:rPr>
      </w:pPr>
      <w:r>
        <w:rPr>
          <w:rFonts w:ascii="Arial" w:cs="Arial" w:eastAsia="Arial" w:hAnsi="Arial"/>
          <w:sz w:val="17"/>
          <w:szCs w:val="17"/>
          <w:color w:val="auto"/>
        </w:rPr>
        <w:t xml:space="preserve">We maintain a website accessible throughout the year at </w:t>
      </w:r>
      <w:r>
        <w:rPr>
          <w:rFonts w:ascii="Arial" w:cs="Arial" w:eastAsia="Arial" w:hAnsi="Arial"/>
          <w:sz w:val="17"/>
          <w:szCs w:val="17"/>
          <w:i w:val="1"/>
          <w:iCs w:val="1"/>
          <w:color w:val="0171B9"/>
        </w:rPr>
        <w:t>www.amgen.com/executive</w:t>
      </w:r>
      <w:r>
        <w:rPr>
          <w:rFonts w:ascii="Arial" w:cs="Arial" w:eastAsia="Arial" w:hAnsi="Arial"/>
          <w:sz w:val="17"/>
          <w:szCs w:val="17"/>
          <w:color w:val="auto"/>
        </w:rPr>
        <w:t xml:space="preserve"> </w:t>
      </w:r>
      <w:r>
        <w:rPr>
          <w:rFonts w:ascii="Arial" w:cs="Arial" w:eastAsia="Arial" w:hAnsi="Arial"/>
          <w:sz w:val="17"/>
          <w:szCs w:val="17"/>
          <w:i w:val="1"/>
          <w:iCs w:val="1"/>
          <w:color w:val="0171B9"/>
        </w:rPr>
        <w:t>compensation</w:t>
      </w:r>
      <w:r>
        <w:rPr>
          <w:rFonts w:ascii="Arial" w:cs="Arial" w:eastAsia="Arial" w:hAnsi="Arial"/>
          <w:sz w:val="17"/>
          <w:szCs w:val="17"/>
          <w:color w:val="000000"/>
        </w:rPr>
        <w:t>,</w:t>
      </w:r>
      <w:r>
        <w:rPr>
          <w:rFonts w:ascii="Arial" w:cs="Arial" w:eastAsia="Arial" w:hAnsi="Arial"/>
          <w:sz w:val="12"/>
          <w:szCs w:val="12"/>
          <w:color w:val="000000"/>
        </w:rPr>
        <w:t>(1)</w:t>
      </w:r>
      <w:r>
        <w:rPr>
          <w:rFonts w:ascii="Arial" w:cs="Arial" w:eastAsia="Arial" w:hAnsi="Arial"/>
          <w:sz w:val="17"/>
          <w:szCs w:val="17"/>
          <w:i w:val="1"/>
          <w:iCs w:val="1"/>
          <w:color w:val="0171B9"/>
        </w:rPr>
        <w:t xml:space="preserve"> </w:t>
      </w:r>
      <w:r>
        <w:rPr>
          <w:rFonts w:ascii="Arial" w:cs="Arial" w:eastAsia="Arial" w:hAnsi="Arial"/>
          <w:sz w:val="17"/>
          <w:szCs w:val="17"/>
          <w:color w:val="000000"/>
        </w:rPr>
        <w:t>which provides a link to our most recent proxy statement and invites</w:t>
      </w:r>
      <w:r>
        <w:rPr>
          <w:rFonts w:ascii="Arial" w:cs="Arial" w:eastAsia="Arial" w:hAnsi="Arial"/>
          <w:sz w:val="17"/>
          <w:szCs w:val="17"/>
          <w:i w:val="1"/>
          <w:iCs w:val="1"/>
          <w:color w:val="0171B9"/>
        </w:rPr>
        <w:t xml:space="preserve"> </w:t>
      </w:r>
      <w:r>
        <w:rPr>
          <w:rFonts w:ascii="Arial" w:cs="Arial" w:eastAsia="Arial" w:hAnsi="Arial"/>
          <w:sz w:val="17"/>
          <w:szCs w:val="17"/>
          <w:color w:val="000000"/>
        </w:rPr>
        <w:t>our stockholders to fill out a survey to provide input and feedback to the Compensation Committee regarding our executive compensation policies and practices.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0171B9"/>
        </w:rPr>
        <w:t>Equity Award Committee</w:t>
      </w:r>
    </w:p>
    <w:p>
      <w:pPr>
        <w:spacing w:after="0" w:line="12" w:lineRule="exact"/>
        <w:rPr>
          <w:sz w:val="20"/>
          <w:szCs w:val="20"/>
          <w:color w:val="auto"/>
        </w:rPr>
      </w:pPr>
    </w:p>
    <w:p>
      <w:pPr>
        <w:jc w:val="both"/>
        <w:ind w:right="320"/>
        <w:spacing w:after="0" w:line="236" w:lineRule="auto"/>
        <w:rPr>
          <w:sz w:val="20"/>
          <w:szCs w:val="20"/>
          <w:color w:val="auto"/>
        </w:rPr>
      </w:pPr>
      <w:r>
        <w:rPr>
          <w:rFonts w:ascii="Arial" w:cs="Arial" w:eastAsia="Arial" w:hAnsi="Arial"/>
          <w:sz w:val="17"/>
          <w:szCs w:val="17"/>
          <w:color w:val="auto"/>
        </w:rPr>
        <w:t>The Equity Award Committee, with Robert A. Bradway currently the sole member, assists the Board by determining equity-based awards to non-Section 16 officers and employees at the level of vice president or below, consistent with the equity grant guidelines established by the Compensation Committee, and acted four times in 2022.</w:t>
      </w:r>
    </w:p>
    <w:p>
      <w:pPr>
        <w:spacing w:after="0" w:line="200" w:lineRule="exact"/>
        <w:rPr>
          <w:sz w:val="20"/>
          <w:szCs w:val="20"/>
          <w:color w:val="auto"/>
        </w:rPr>
      </w:pPr>
    </w:p>
    <w:p>
      <w:pPr>
        <w:sectPr>
          <w:pgSz w:w="11900" w:h="16838" w:orient="portrait"/>
          <w:cols w:equalWidth="0" w:num="2">
            <w:col w:w="3300" w:space="520"/>
            <w:col w:w="7300"/>
          </w:cols>
          <w:pgMar w:left="320" w:top="486" w:right="459" w:bottom="1440" w:gutter="0" w:footer="0" w:header="0"/>
          <w:type w:val="continuous"/>
        </w:sectPr>
      </w:pPr>
    </w:p>
    <w:p>
      <w:pPr>
        <w:spacing w:after="0" w:line="190"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Reference to our website is not intended to function as a hyperlink and the information contained on our website is not intended to be part of this proxy statement.</w:t>
      </w:r>
    </w:p>
    <w:p>
      <w:pPr>
        <w:spacing w:after="0" w:line="117"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36</w:t>
      </w:r>
      <w:r>
        <w:rPr>
          <w:sz w:val="20"/>
          <w:szCs w:val="20"/>
          <w:color w:val="auto"/>
        </w:rPr>
        <w:tab/>
      </w:r>
      <w:r>
        <w:rPr>
          <w:sz w:val="1"/>
          <w:szCs w:val="1"/>
          <w:color w:val="auto"/>
        </w:rPr>
        <w:drawing>
          <wp:inline distT="0" distB="0" distL="0" distR="0">
            <wp:extent cx="582930" cy="13716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20"/>
          </w:cols>
          <w:pgMar w:left="320" w:top="486" w:right="4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pacing w:after="0" w:line="343" w:lineRule="exact"/>
        <w:rPr>
          <w:sz w:val="20"/>
          <w:szCs w:val="20"/>
          <w:color w:val="auto"/>
        </w:rPr>
      </w:pPr>
    </w:p>
    <w:p>
      <w:pPr>
        <w:ind w:left="120" w:right="600"/>
        <w:spacing w:after="0" w:line="288" w:lineRule="auto"/>
        <w:rPr>
          <w:sz w:val="20"/>
          <w:szCs w:val="20"/>
          <w:color w:val="auto"/>
        </w:rPr>
      </w:pPr>
      <w:r>
        <w:rPr>
          <w:rFonts w:ascii="Arial" w:cs="Arial" w:eastAsia="Arial" w:hAnsi="Arial"/>
          <w:sz w:val="25"/>
          <w:szCs w:val="25"/>
          <w:b w:val="1"/>
          <w:bCs w:val="1"/>
          <w:color w:val="0171B9"/>
        </w:rPr>
        <w:t>Compensation Committee Processes and Procedures for Considering and Determining Executive Compensation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192"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b w:val="1"/>
          <w:bCs w:val="1"/>
          <w:i w:val="1"/>
          <w:iCs w:val="1"/>
          <w:color w:val="0171B9"/>
        </w:rPr>
        <w:t xml:space="preserve">Compensation Committee Determination of Compensation. </w:t>
      </w:r>
      <w:r>
        <w:rPr>
          <w:rFonts w:ascii="Arial" w:cs="Arial" w:eastAsia="Arial" w:hAnsi="Arial"/>
          <w:sz w:val="17"/>
          <w:szCs w:val="17"/>
          <w:color w:val="000000"/>
        </w:rPr>
        <w:t>Generally, by the first calendar quarter of each year, the Compensation Committee reviews and approves Company performance goals and objectives for the current year and evaluates the CEO’s performance for the previous year in light of the Company performance goals and objectives established for the prior year. The Compensation Committee evaluates the performance of the CEO within the context of the financial and operational performance of the Company, considers competitive market data, and establishes the CEO’s compensation based on this evaluation as well as the compensation for each executive officer.</w:t>
      </w:r>
    </w:p>
    <w:p>
      <w:pPr>
        <w:spacing w:after="0" w:line="75"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i w:val="1"/>
          <w:iCs w:val="1"/>
          <w:color w:val="0171B9"/>
        </w:rPr>
        <w:t xml:space="preserve">Values and Components. </w:t>
      </w:r>
      <w:r>
        <w:rPr>
          <w:rFonts w:ascii="Arial" w:cs="Arial" w:eastAsia="Arial" w:hAnsi="Arial"/>
          <w:sz w:val="17"/>
          <w:szCs w:val="17"/>
          <w:color w:val="000000"/>
        </w:rPr>
        <w:t>The values of each component of total</w:t>
      </w:r>
      <w:r>
        <w:rPr>
          <w:rFonts w:ascii="Arial" w:cs="Arial" w:eastAsia="Arial" w:hAnsi="Arial"/>
          <w:sz w:val="17"/>
          <w:szCs w:val="17"/>
          <w:i w:val="1"/>
          <w:iCs w:val="1"/>
          <w:color w:val="0171B9"/>
        </w:rPr>
        <w:t xml:space="preserve"> </w:t>
      </w:r>
      <w:r>
        <w:rPr>
          <w:rFonts w:ascii="Arial" w:cs="Arial" w:eastAsia="Arial" w:hAnsi="Arial"/>
          <w:sz w:val="17"/>
          <w:szCs w:val="17"/>
          <w:color w:val="000000"/>
        </w:rPr>
        <w:t>compensation (base salary, target annual cash incentive awards, and equity awards) for the current year, as well as total annual compensation for the prior year (including the value of equity holdings, potential change of control payments, and vested benefits under our Retirement and Savings Plan, Supplemental Retirement Plan, and Nonqualified Deferred Compensation Plan as of the end of the last fiscal year) are considered at this time. Final determinations regarding our CEO’s performance and compensation are made during an executive session of the Compensation Committee and are reported to and reviewed by the Board in an independent directors’ session.</w:t>
      </w:r>
    </w:p>
    <w:p>
      <w:pPr>
        <w:spacing w:after="0" w:line="79" w:lineRule="exact"/>
        <w:rPr>
          <w:sz w:val="20"/>
          <w:szCs w:val="20"/>
          <w:color w:val="auto"/>
        </w:rPr>
      </w:pPr>
    </w:p>
    <w:p>
      <w:pPr>
        <w:jc w:val="both"/>
        <w:ind w:left="120"/>
        <w:spacing w:after="0" w:line="237" w:lineRule="auto"/>
        <w:rPr>
          <w:sz w:val="20"/>
          <w:szCs w:val="20"/>
          <w:color w:val="auto"/>
        </w:rPr>
      </w:pPr>
      <w:r>
        <w:rPr>
          <w:rFonts w:ascii="Arial" w:cs="Arial" w:eastAsia="Arial" w:hAnsi="Arial"/>
          <w:sz w:val="17"/>
          <w:szCs w:val="17"/>
          <w:i w:val="1"/>
          <w:iCs w:val="1"/>
          <w:color w:val="0171B9"/>
        </w:rPr>
        <w:t xml:space="preserve">Executive Officers. </w:t>
      </w:r>
      <w:r>
        <w:rPr>
          <w:rFonts w:ascii="Arial" w:cs="Arial" w:eastAsia="Arial" w:hAnsi="Arial"/>
          <w:sz w:val="17"/>
          <w:szCs w:val="17"/>
          <w:color w:val="000000"/>
        </w:rPr>
        <w:t>Our Compensation Committee determines</w:t>
      </w:r>
      <w:r>
        <w:rPr>
          <w:rFonts w:ascii="Arial" w:cs="Arial" w:eastAsia="Arial" w:hAnsi="Arial"/>
          <w:sz w:val="17"/>
          <w:szCs w:val="17"/>
          <w:i w:val="1"/>
          <w:iCs w:val="1"/>
          <w:color w:val="0171B9"/>
        </w:rPr>
        <w:t xml:space="preserve"> </w:t>
      </w:r>
      <w:r>
        <w:rPr>
          <w:rFonts w:ascii="Arial" w:cs="Arial" w:eastAsia="Arial" w:hAnsi="Arial"/>
          <w:sz w:val="17"/>
          <w:szCs w:val="17"/>
          <w:color w:val="000000"/>
        </w:rPr>
        <w:t>compensation for the executive officers (other than the CEO) based, in part, on the recommendations of our CEO regarding base salary, annual cash incentive awards, and equity awards. In determining compensation recommendations for each Named Executive Officer, or NEO, our CEO reviews comparative peer group data, as well as the performance of the executive. The Compensation Committee has typically followed these recommendations.</w:t>
      </w:r>
    </w:p>
    <w:p>
      <w:pPr>
        <w:spacing w:after="0" w:line="76" w:lineRule="exact"/>
        <w:rPr>
          <w:sz w:val="20"/>
          <w:szCs w:val="20"/>
          <w:color w:val="auto"/>
        </w:rPr>
      </w:pPr>
    </w:p>
    <w:p>
      <w:pPr>
        <w:jc w:val="both"/>
        <w:ind w:left="120"/>
        <w:spacing w:after="0"/>
        <w:rPr>
          <w:sz w:val="20"/>
          <w:szCs w:val="20"/>
          <w:color w:val="auto"/>
        </w:rPr>
      </w:pPr>
      <w:r>
        <w:rPr>
          <w:rFonts w:ascii="Arial" w:cs="Arial" w:eastAsia="Arial" w:hAnsi="Arial"/>
          <w:sz w:val="17"/>
          <w:szCs w:val="17"/>
          <w:i w:val="1"/>
          <w:iCs w:val="1"/>
          <w:color w:val="0171B9"/>
        </w:rPr>
        <w:t xml:space="preserve">Executive Sessions. </w:t>
      </w:r>
      <w:r>
        <w:rPr>
          <w:rFonts w:ascii="Arial" w:cs="Arial" w:eastAsia="Arial" w:hAnsi="Arial"/>
          <w:sz w:val="17"/>
          <w:szCs w:val="17"/>
          <w:color w:val="000000"/>
        </w:rPr>
        <w:t>Each Compensation Committee meeting</w:t>
      </w:r>
      <w:r>
        <w:rPr>
          <w:rFonts w:ascii="Arial" w:cs="Arial" w:eastAsia="Arial" w:hAnsi="Arial"/>
          <w:sz w:val="17"/>
          <w:szCs w:val="17"/>
          <w:i w:val="1"/>
          <w:iCs w:val="1"/>
          <w:color w:val="0171B9"/>
        </w:rPr>
        <w:t xml:space="preserve"> </w:t>
      </w:r>
      <w:r>
        <w:rPr>
          <w:rFonts w:ascii="Arial" w:cs="Arial" w:eastAsia="Arial" w:hAnsi="Arial"/>
          <w:sz w:val="17"/>
          <w:szCs w:val="17"/>
          <w:color w:val="000000"/>
        </w:rPr>
        <w:t>includes adequate time for executive session and the Compensation Committee meets in executive session on a regular basis with no members of management present (unless otherwise requested by the Compensation Committee).</w:t>
      </w:r>
    </w:p>
    <w:p>
      <w:pPr>
        <w:spacing w:after="0" w:line="76" w:lineRule="exact"/>
        <w:rPr>
          <w:sz w:val="20"/>
          <w:szCs w:val="20"/>
          <w:color w:val="auto"/>
        </w:rPr>
      </w:pPr>
    </w:p>
    <w:p>
      <w:pPr>
        <w:jc w:val="both"/>
        <w:ind w:left="120"/>
        <w:spacing w:after="0" w:line="248" w:lineRule="auto"/>
        <w:rPr>
          <w:sz w:val="20"/>
          <w:szCs w:val="20"/>
          <w:color w:val="auto"/>
        </w:rPr>
      </w:pPr>
      <w:r>
        <w:rPr>
          <w:rFonts w:ascii="Arial" w:cs="Arial" w:eastAsia="Arial" w:hAnsi="Arial"/>
          <w:sz w:val="17"/>
          <w:szCs w:val="17"/>
          <w:i w:val="1"/>
          <w:iCs w:val="1"/>
          <w:color w:val="0171B9"/>
        </w:rPr>
        <w:t xml:space="preserve">Delegation of Authority. </w:t>
      </w:r>
      <w:r>
        <w:rPr>
          <w:rFonts w:ascii="Arial" w:cs="Arial" w:eastAsia="Arial" w:hAnsi="Arial"/>
          <w:sz w:val="17"/>
          <w:szCs w:val="17"/>
          <w:color w:val="000000"/>
        </w:rPr>
        <w:t>The Compensation Committee has authority</w:t>
      </w:r>
      <w:r>
        <w:rPr>
          <w:rFonts w:ascii="Arial" w:cs="Arial" w:eastAsia="Arial" w:hAnsi="Arial"/>
          <w:sz w:val="17"/>
          <w:szCs w:val="17"/>
          <w:i w:val="1"/>
          <w:iCs w:val="1"/>
          <w:color w:val="0171B9"/>
        </w:rPr>
        <w:t xml:space="preserve"> </w:t>
      </w:r>
      <w:r>
        <w:rPr>
          <w:rFonts w:ascii="Arial" w:cs="Arial" w:eastAsia="Arial" w:hAnsi="Arial"/>
          <w:sz w:val="17"/>
          <w:szCs w:val="17"/>
          <w:color w:val="000000"/>
        </w:rPr>
        <w:t>to delegate any of its functions to a subcommittee of its members. No delegation of authority was made in 2022.</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b w:val="1"/>
          <w:bCs w:val="1"/>
          <w:i w:val="1"/>
          <w:iCs w:val="1"/>
          <w:color w:val="0171B9"/>
        </w:rPr>
        <w:t xml:space="preserve">Independent Compensation Consultant. </w:t>
      </w:r>
      <w:r>
        <w:rPr>
          <w:rFonts w:ascii="Arial" w:cs="Arial" w:eastAsia="Arial" w:hAnsi="Arial"/>
          <w:sz w:val="17"/>
          <w:szCs w:val="17"/>
          <w:color w:val="000000"/>
        </w:rPr>
        <w:t>The Compensation</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Committee continued to engage FW Cook, an independent compensation consultant, to provide advice regarding executive compensation and executive compensation trends and developments, compensation designs, and equity compensation practices, market data as requested, and opinions on the appropriateness and competitiveness of our executive compensation programs relative to market practice. FW Cook reported directly to the Compensation Committee and attended regularly scheduled meetings of the Compensation Committee (including meeting in executive session with the Compensation Committee, as requested). Each year the Compensation Committee reviews the independence of FW Cook and whether any conflicts of interest exist. After review and consultation with FW Cook, the Compensation Committee has determined that FW Cook is independent and there is no conflict of interest resulting from retaining FW Cook currently or during the year ended December 31, 2022. In performing its analysis, the Compensation Committee considers the factors set forth in the SEC rules and The NASDAQ Stock Market listing standards.</w:t>
      </w:r>
    </w:p>
    <w:p>
      <w:pPr>
        <w:spacing w:after="0" w:line="78"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b w:val="1"/>
          <w:bCs w:val="1"/>
          <w:i w:val="1"/>
          <w:iCs w:val="1"/>
          <w:color w:val="0171B9"/>
        </w:rPr>
        <w:t xml:space="preserve">Peer Group Review. </w:t>
      </w:r>
      <w:r>
        <w:rPr>
          <w:rFonts w:ascii="Arial" w:cs="Arial" w:eastAsia="Arial" w:hAnsi="Arial"/>
          <w:sz w:val="17"/>
          <w:szCs w:val="17"/>
          <w:color w:val="000000"/>
        </w:rPr>
        <w:t>In setting executive compensation, the</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Compensation Committee compares the Company’s pay levels and programs to those available for the Company’s competitors for executive talent and uses this comparative data as a guide in its review and determination of compensation. Our Compensation Committee annually considers and selects an appropriate peer group (consisting of biotechnology and pharmaceutical companies), based, in part, on the recommendations of FW Cook, and, for each NEO, the Compensation Committee reviews the compensation levels and practices of our peer group, which for our NEOs, other than the CEO, are based on reports prepared by management from information contained in compensation surveys and proxy statements as available. FW Cook provides the Compensation Committee with market data, an annual report on the compensation levels and practices of our peer group, and compensation recommendations for the CEO position.</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0171B9"/>
        </w:rPr>
        <w:t xml:space="preserve">Compensation Risk Management. </w:t>
      </w:r>
      <w:r>
        <w:rPr>
          <w:rFonts w:ascii="Arial" w:cs="Arial" w:eastAsia="Arial" w:hAnsi="Arial"/>
          <w:sz w:val="17"/>
          <w:szCs w:val="17"/>
          <w:color w:val="000000"/>
        </w:rPr>
        <w:t>In cooperation with management,</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FW Cook assesses the potential risks arising from our compensation policies and practices as discussed more fully below.</w:t>
      </w:r>
    </w:p>
    <w:p>
      <w:pPr>
        <w:spacing w:after="0" w:line="793"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Compensation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p>
      <w:pPr>
        <w:spacing w:after="0" w:line="284"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b w:val="1"/>
          <w:bCs w:val="1"/>
          <w:i w:val="1"/>
          <w:iCs w:val="1"/>
          <w:color w:val="0171B9"/>
        </w:rPr>
        <w:t xml:space="preserve">Annual Risk Management Assessment. </w:t>
      </w:r>
      <w:r>
        <w:rPr>
          <w:rFonts w:ascii="Arial" w:cs="Arial" w:eastAsia="Arial" w:hAnsi="Arial"/>
          <w:sz w:val="17"/>
          <w:szCs w:val="17"/>
          <w:color w:val="000000"/>
        </w:rPr>
        <w:t>On an annual basis,</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management, working with the Compensation Committee’s independent compensation consultant, conducts an assessment of the Company’s compensation policies and practices for all staff members generally, and for our staff members who participate in our sales incentive compensation program, for material risk to the Company.</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i w:val="1"/>
          <w:iCs w:val="1"/>
          <w:color w:val="0171B9"/>
        </w:rPr>
        <w:t xml:space="preserve">Results of Risk Management Assessment. </w:t>
      </w:r>
      <w:r>
        <w:rPr>
          <w:rFonts w:ascii="Arial" w:cs="Arial" w:eastAsia="Arial" w:hAnsi="Arial"/>
          <w:sz w:val="17"/>
          <w:szCs w:val="17"/>
          <w:color w:val="000000"/>
        </w:rPr>
        <w:t>The results of this</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assessment are reviewed and discussed with the Compensation Committee. Based on this assessment, review and discussion, we believe that, through a combination of risk-mitigating features and incentives guided by relevant market practices and our Company performance goals, our compensation policies and practices do not present risks that are reasonably likely to have a material adverse effect on us.</w:t>
      </w:r>
    </w:p>
    <w:p>
      <w:pPr>
        <w:spacing w:after="0" w:line="200"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74" w:lineRule="exact"/>
        <w:rPr>
          <w:sz w:val="20"/>
          <w:szCs w:val="20"/>
          <w:color w:val="auto"/>
        </w:r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b w:val="1"/>
          <w:bCs w:val="1"/>
          <w:i w:val="1"/>
          <w:iCs w:val="1"/>
          <w:color w:val="0171B9"/>
        </w:rPr>
        <w:t xml:space="preserve">Factors That Discourage Excessive Risk-Taking. </w:t>
      </w:r>
      <w:r>
        <w:rPr>
          <w:rFonts w:ascii="Arial" w:cs="Arial" w:eastAsia="Arial" w:hAnsi="Arial"/>
          <w:sz w:val="17"/>
          <w:szCs w:val="17"/>
          <w:color w:val="000000"/>
        </w:rPr>
        <w:t>In evaluating our</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compensation policies and practices, a number of factors were identified which the Company, the Compensation Committee, and its independent consultant believe discourage excessive risk-taking, including:</w:t>
      </w:r>
    </w:p>
    <w:p>
      <w:pPr>
        <w:spacing w:after="0" w:line="87" w:lineRule="exact"/>
        <w:rPr>
          <w:sz w:val="20"/>
          <w:szCs w:val="20"/>
          <w:color w:val="auto"/>
        </w:rPr>
      </w:pPr>
    </w:p>
    <w:p>
      <w:pPr>
        <w:jc w:val="both"/>
        <w:ind w:left="380" w:hanging="264"/>
        <w:spacing w:after="0"/>
        <w:tabs>
          <w:tab w:leader="none" w:pos="380" w:val="left"/>
        </w:tabs>
        <w:numPr>
          <w:ilvl w:val="0"/>
          <w:numId w:val="49"/>
        </w:numPr>
        <w:rPr>
          <w:rFonts w:ascii="Arial" w:cs="Arial" w:eastAsia="Arial" w:hAnsi="Arial"/>
          <w:sz w:val="17"/>
          <w:szCs w:val="17"/>
          <w:color w:val="0171B9"/>
        </w:rPr>
      </w:pPr>
      <w:r>
        <w:rPr>
          <w:rFonts w:ascii="Arial" w:cs="Arial" w:eastAsia="Arial" w:hAnsi="Arial"/>
          <w:sz w:val="17"/>
          <w:szCs w:val="17"/>
          <w:i w:val="1"/>
          <w:iCs w:val="1"/>
          <w:color w:val="0171B9"/>
        </w:rPr>
        <w:t xml:space="preserve">Mix of Incentives and Metrics. </w:t>
      </w:r>
      <w:r>
        <w:rPr>
          <w:rFonts w:ascii="Arial" w:cs="Arial" w:eastAsia="Arial" w:hAnsi="Arial"/>
          <w:sz w:val="17"/>
          <w:szCs w:val="17"/>
          <w:color w:val="000000"/>
        </w:rPr>
        <w:t>Our compensation programs</w:t>
      </w:r>
      <w:r>
        <w:rPr>
          <w:rFonts w:ascii="Arial" w:cs="Arial" w:eastAsia="Arial" w:hAnsi="Arial"/>
          <w:sz w:val="17"/>
          <w:szCs w:val="17"/>
          <w:i w:val="1"/>
          <w:iCs w:val="1"/>
          <w:color w:val="0171B9"/>
        </w:rPr>
        <w:t xml:space="preserve"> </w:t>
      </w:r>
      <w:r>
        <w:rPr>
          <w:rFonts w:ascii="Arial" w:cs="Arial" w:eastAsia="Arial" w:hAnsi="Arial"/>
          <w:sz w:val="17"/>
          <w:szCs w:val="17"/>
          <w:color w:val="000000"/>
        </w:rPr>
        <w:t>consist of a mix of incentives and metrics (financial and operational) that are tied to varying performance periods and are designed to balance our need to drive our current performance with the need to position the Company for long-term success.</w:t>
      </w:r>
    </w:p>
    <w:p>
      <w:pPr>
        <w:spacing w:after="0" w:line="89" w:lineRule="exact"/>
        <w:rPr>
          <w:rFonts w:ascii="Arial" w:cs="Arial" w:eastAsia="Arial" w:hAnsi="Arial"/>
          <w:sz w:val="17"/>
          <w:szCs w:val="17"/>
          <w:color w:val="0171B9"/>
        </w:rPr>
      </w:pPr>
    </w:p>
    <w:p>
      <w:pPr>
        <w:jc w:val="both"/>
        <w:ind w:left="380" w:right="20" w:hanging="264"/>
        <w:spacing w:after="0" w:line="248" w:lineRule="auto"/>
        <w:tabs>
          <w:tab w:leader="none" w:pos="380" w:val="left"/>
        </w:tabs>
        <w:numPr>
          <w:ilvl w:val="0"/>
          <w:numId w:val="49"/>
        </w:numPr>
        <w:rPr>
          <w:rFonts w:ascii="Arial" w:cs="Arial" w:eastAsia="Arial" w:hAnsi="Arial"/>
          <w:sz w:val="17"/>
          <w:szCs w:val="17"/>
          <w:color w:val="0171B9"/>
        </w:rPr>
      </w:pPr>
      <w:r>
        <w:rPr>
          <w:rFonts w:ascii="Arial" w:cs="Arial" w:eastAsia="Arial" w:hAnsi="Arial"/>
          <w:sz w:val="17"/>
          <w:szCs w:val="17"/>
          <w:i w:val="1"/>
          <w:iCs w:val="1"/>
          <w:color w:val="0171B9"/>
        </w:rPr>
        <w:t>Company-wide Results</w:t>
      </w:r>
      <w:r>
        <w:rPr>
          <w:rFonts w:ascii="Arial" w:cs="Arial" w:eastAsia="Arial" w:hAnsi="Arial"/>
          <w:sz w:val="17"/>
          <w:szCs w:val="17"/>
          <w:i w:val="1"/>
          <w:iCs w:val="1"/>
          <w:color w:val="000000"/>
        </w:rPr>
        <w:t>.</w:t>
      </w:r>
      <w:r>
        <w:rPr>
          <w:rFonts w:ascii="Arial" w:cs="Arial" w:eastAsia="Arial" w:hAnsi="Arial"/>
          <w:sz w:val="17"/>
          <w:szCs w:val="17"/>
          <w:i w:val="1"/>
          <w:iCs w:val="1"/>
          <w:color w:val="0171B9"/>
        </w:rPr>
        <w:t xml:space="preserve"> </w:t>
      </w:r>
      <w:r>
        <w:rPr>
          <w:rFonts w:ascii="Arial" w:cs="Arial" w:eastAsia="Arial" w:hAnsi="Arial"/>
          <w:sz w:val="17"/>
          <w:szCs w:val="17"/>
          <w:color w:val="000000"/>
        </w:rPr>
        <w:t>Company-wide results are the most</w:t>
      </w:r>
      <w:r>
        <w:rPr>
          <w:rFonts w:ascii="Arial" w:cs="Arial" w:eastAsia="Arial" w:hAnsi="Arial"/>
          <w:sz w:val="17"/>
          <w:szCs w:val="17"/>
          <w:i w:val="1"/>
          <w:iCs w:val="1"/>
          <w:color w:val="0171B9"/>
        </w:rPr>
        <w:t xml:space="preserve"> </w:t>
      </w:r>
      <w:r>
        <w:rPr>
          <w:rFonts w:ascii="Arial" w:cs="Arial" w:eastAsia="Arial" w:hAnsi="Arial"/>
          <w:sz w:val="17"/>
          <w:szCs w:val="17"/>
          <w:color w:val="000000"/>
        </w:rPr>
        <w:t>important factor in determining the amount of an annual cash incentive award for each of our staff members.</w:t>
      </w:r>
    </w:p>
    <w:p>
      <w:pPr>
        <w:spacing w:after="0" w:line="82" w:lineRule="exact"/>
        <w:rPr>
          <w:rFonts w:ascii="Arial" w:cs="Arial" w:eastAsia="Arial" w:hAnsi="Arial"/>
          <w:sz w:val="17"/>
          <w:szCs w:val="17"/>
          <w:color w:val="0171B9"/>
        </w:rPr>
      </w:pPr>
    </w:p>
    <w:p>
      <w:pPr>
        <w:jc w:val="both"/>
        <w:ind w:left="380" w:hanging="264"/>
        <w:spacing w:after="0" w:line="236" w:lineRule="auto"/>
        <w:tabs>
          <w:tab w:leader="none" w:pos="380" w:val="left"/>
        </w:tabs>
        <w:numPr>
          <w:ilvl w:val="0"/>
          <w:numId w:val="49"/>
        </w:numPr>
        <w:rPr>
          <w:rFonts w:ascii="Arial" w:cs="Arial" w:eastAsia="Arial" w:hAnsi="Arial"/>
          <w:sz w:val="17"/>
          <w:szCs w:val="17"/>
          <w:color w:val="0171B9"/>
        </w:rPr>
      </w:pPr>
      <w:r>
        <w:rPr>
          <w:rFonts w:ascii="Arial" w:cs="Arial" w:eastAsia="Arial" w:hAnsi="Arial"/>
          <w:sz w:val="17"/>
          <w:szCs w:val="17"/>
          <w:i w:val="1"/>
          <w:iCs w:val="1"/>
          <w:color w:val="0171B9"/>
        </w:rPr>
        <w:t xml:space="preserve">Emphasis on Long-Term Performance. </w:t>
      </w:r>
      <w:r>
        <w:rPr>
          <w:rFonts w:ascii="Arial" w:cs="Arial" w:eastAsia="Arial" w:hAnsi="Arial"/>
          <w:sz w:val="17"/>
          <w:szCs w:val="17"/>
          <w:color w:val="000000"/>
        </w:rPr>
        <w:t>We cap short-term</w:t>
      </w:r>
      <w:r>
        <w:rPr>
          <w:rFonts w:ascii="Arial" w:cs="Arial" w:eastAsia="Arial" w:hAnsi="Arial"/>
          <w:sz w:val="17"/>
          <w:szCs w:val="17"/>
          <w:i w:val="1"/>
          <w:iCs w:val="1"/>
          <w:color w:val="0171B9"/>
        </w:rPr>
        <w:t xml:space="preserve"> </w:t>
      </w:r>
      <w:r>
        <w:rPr>
          <w:rFonts w:ascii="Arial" w:cs="Arial" w:eastAsia="Arial" w:hAnsi="Arial"/>
          <w:sz w:val="17"/>
          <w:szCs w:val="17"/>
          <w:color w:val="000000"/>
        </w:rPr>
        <w:t>incentives and performance unit payouts and make LTI equity awards a component of compensation for nearly all of our full-time staff members. In particular, the CEO and the other executive officers’ compensation is designed so that the largest component of their compensation is in the form of LTI equity awards to ensure that a significant portion of their compensation is associated with long-term, rather than short-term, outcomes, which aligns these individuals’ interests with those of our stockholders.</w:t>
      </w:r>
    </w:p>
    <w:p>
      <w:pPr>
        <w:spacing w:after="0" w:line="92" w:lineRule="exact"/>
        <w:rPr>
          <w:rFonts w:ascii="Arial" w:cs="Arial" w:eastAsia="Arial" w:hAnsi="Arial"/>
          <w:sz w:val="17"/>
          <w:szCs w:val="17"/>
          <w:color w:val="0171B9"/>
        </w:rPr>
      </w:pPr>
    </w:p>
    <w:p>
      <w:pPr>
        <w:jc w:val="both"/>
        <w:ind w:left="380" w:hanging="264"/>
        <w:spacing w:after="0" w:line="238" w:lineRule="auto"/>
        <w:tabs>
          <w:tab w:leader="none" w:pos="380" w:val="left"/>
        </w:tabs>
        <w:numPr>
          <w:ilvl w:val="0"/>
          <w:numId w:val="49"/>
        </w:numPr>
        <w:rPr>
          <w:rFonts w:ascii="Arial" w:cs="Arial" w:eastAsia="Arial" w:hAnsi="Arial"/>
          <w:sz w:val="17"/>
          <w:szCs w:val="17"/>
          <w:color w:val="0171B9"/>
        </w:rPr>
      </w:pPr>
      <w:r>
        <w:rPr>
          <w:rFonts w:ascii="Arial" w:cs="Arial" w:eastAsia="Arial" w:hAnsi="Arial"/>
          <w:sz w:val="17"/>
          <w:szCs w:val="17"/>
          <w:i w:val="1"/>
          <w:iCs w:val="1"/>
          <w:color w:val="0171B9"/>
        </w:rPr>
        <w:t xml:space="preserve">Equity Award Grant Practices. </w:t>
      </w:r>
      <w:r>
        <w:rPr>
          <w:rFonts w:ascii="Arial" w:cs="Arial" w:eastAsia="Arial" w:hAnsi="Arial"/>
          <w:sz w:val="17"/>
          <w:szCs w:val="17"/>
          <w:color w:val="000000"/>
        </w:rPr>
        <w:t>We employ appropriate practices</w:t>
      </w:r>
      <w:r>
        <w:rPr>
          <w:rFonts w:ascii="Arial" w:cs="Arial" w:eastAsia="Arial" w:hAnsi="Arial"/>
          <w:sz w:val="17"/>
          <w:szCs w:val="17"/>
          <w:i w:val="1"/>
          <w:iCs w:val="1"/>
          <w:color w:val="0171B9"/>
        </w:rPr>
        <w:t xml:space="preserve"> </w:t>
      </w:r>
      <w:r>
        <w:rPr>
          <w:rFonts w:ascii="Arial" w:cs="Arial" w:eastAsia="Arial" w:hAnsi="Arial"/>
          <w:sz w:val="17"/>
          <w:szCs w:val="17"/>
          <w:color w:val="000000"/>
        </w:rPr>
        <w:t>with respect to equity awards: we do not award mega-grants, discounted stock options, or immediately vested equity to staff members; and we have grant guidelines that generally limit the grant date for our equity grants to the third business day after our announcement of quarterly earnings.</w:t>
      </w:r>
    </w:p>
    <w:p>
      <w:pPr>
        <w:spacing w:after="0" w:line="92" w:lineRule="exact"/>
        <w:rPr>
          <w:rFonts w:ascii="Arial" w:cs="Arial" w:eastAsia="Arial" w:hAnsi="Arial"/>
          <w:sz w:val="17"/>
          <w:szCs w:val="17"/>
          <w:color w:val="0171B9"/>
        </w:rPr>
      </w:pPr>
    </w:p>
    <w:p>
      <w:pPr>
        <w:jc w:val="both"/>
        <w:ind w:left="380" w:hanging="264"/>
        <w:spacing w:after="0" w:line="236" w:lineRule="auto"/>
        <w:tabs>
          <w:tab w:leader="none" w:pos="380" w:val="left"/>
        </w:tabs>
        <w:numPr>
          <w:ilvl w:val="0"/>
          <w:numId w:val="49"/>
        </w:numPr>
        <w:rPr>
          <w:rFonts w:ascii="Arial" w:cs="Arial" w:eastAsia="Arial" w:hAnsi="Arial"/>
          <w:sz w:val="17"/>
          <w:szCs w:val="17"/>
          <w:color w:val="0171B9"/>
        </w:rPr>
      </w:pPr>
      <w:r>
        <w:rPr>
          <w:rFonts w:ascii="Arial" w:cs="Arial" w:eastAsia="Arial" w:hAnsi="Arial"/>
          <w:sz w:val="17"/>
          <w:szCs w:val="17"/>
          <w:i w:val="1"/>
          <w:iCs w:val="1"/>
          <w:color w:val="0171B9"/>
        </w:rPr>
        <w:t xml:space="preserve">Stock Ownership and Retention Guidelines. </w:t>
      </w:r>
      <w:r>
        <w:rPr>
          <w:rFonts w:ascii="Arial" w:cs="Arial" w:eastAsia="Arial" w:hAnsi="Arial"/>
          <w:sz w:val="17"/>
          <w:szCs w:val="17"/>
          <w:color w:val="000000"/>
        </w:rPr>
        <w:t>We have stock</w:t>
      </w:r>
      <w:r>
        <w:rPr>
          <w:rFonts w:ascii="Arial" w:cs="Arial" w:eastAsia="Arial" w:hAnsi="Arial"/>
          <w:sz w:val="17"/>
          <w:szCs w:val="17"/>
          <w:i w:val="1"/>
          <w:iCs w:val="1"/>
          <w:color w:val="0171B9"/>
        </w:rPr>
        <w:t xml:space="preserve"> </w:t>
      </w:r>
      <w:r>
        <w:rPr>
          <w:rFonts w:ascii="Arial" w:cs="Arial" w:eastAsia="Arial" w:hAnsi="Arial"/>
          <w:sz w:val="17"/>
          <w:szCs w:val="17"/>
          <w:color w:val="000000"/>
        </w:rPr>
        <w:t>ownership guidelines for vice presidents and above that require significant investment by these individuals in our Common Stock. We require that each officer who has not met his or her required ownership guidelines hold shares of our Common Stock acquired through the vesting of restricted stock units, the payout of performance units, and the exercise of stock options (net of shares retained by us to satisfy associated tax withholding requirements and exercise price amounts) until such officer has reached his or her required stock ownership level.</w:t>
      </w:r>
    </w:p>
    <w:p>
      <w:pPr>
        <w:spacing w:after="0" w:line="89" w:lineRule="exact"/>
        <w:rPr>
          <w:rFonts w:ascii="Arial" w:cs="Arial" w:eastAsia="Arial" w:hAnsi="Arial"/>
          <w:sz w:val="17"/>
          <w:szCs w:val="17"/>
          <w:color w:val="0171B9"/>
        </w:rPr>
      </w:pPr>
    </w:p>
    <w:p>
      <w:pPr>
        <w:jc w:val="both"/>
        <w:ind w:left="380" w:hanging="264"/>
        <w:spacing w:after="0" w:line="238" w:lineRule="auto"/>
        <w:tabs>
          <w:tab w:leader="none" w:pos="380" w:val="left"/>
        </w:tabs>
        <w:numPr>
          <w:ilvl w:val="0"/>
          <w:numId w:val="49"/>
        </w:numPr>
        <w:rPr>
          <w:rFonts w:ascii="Arial" w:cs="Arial" w:eastAsia="Arial" w:hAnsi="Arial"/>
          <w:sz w:val="17"/>
          <w:szCs w:val="17"/>
          <w:color w:val="0171B9"/>
        </w:rPr>
      </w:pPr>
      <w:r>
        <w:rPr>
          <w:rFonts w:ascii="Arial" w:cs="Arial" w:eastAsia="Arial" w:hAnsi="Arial"/>
          <w:sz w:val="17"/>
          <w:szCs w:val="17"/>
          <w:i w:val="1"/>
          <w:iCs w:val="1"/>
          <w:color w:val="0171B9"/>
        </w:rPr>
        <w:t xml:space="preserve">Comprehensive Performance Evaluations. </w:t>
      </w:r>
      <w:r>
        <w:rPr>
          <w:rFonts w:ascii="Arial" w:cs="Arial" w:eastAsia="Arial" w:hAnsi="Arial"/>
          <w:sz w:val="17"/>
          <w:szCs w:val="17"/>
          <w:color w:val="000000"/>
        </w:rPr>
        <w:t>Our Company values</w:t>
      </w:r>
      <w:r>
        <w:rPr>
          <w:rFonts w:ascii="Arial" w:cs="Arial" w:eastAsia="Arial" w:hAnsi="Arial"/>
          <w:sz w:val="17"/>
          <w:szCs w:val="17"/>
          <w:i w:val="1"/>
          <w:iCs w:val="1"/>
          <w:color w:val="0171B9"/>
        </w:rPr>
        <w:t xml:space="preserve"> </w:t>
      </w:r>
      <w:r>
        <w:rPr>
          <w:rFonts w:ascii="Arial" w:cs="Arial" w:eastAsia="Arial" w:hAnsi="Arial"/>
          <w:sz w:val="17"/>
          <w:szCs w:val="17"/>
          <w:color w:val="000000"/>
        </w:rPr>
        <w:t>and leadership behaviors are an integral part of the performance assessments of our staff members and are particularly emphasized in our assessment tools at higher positions. These evaluations serve as an important information tool and basis for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314325</wp:posOffset>
            </wp:positionV>
            <wp:extent cx="7715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jc w:val="both"/>
        <w:ind w:left="266" w:right="20" w:hanging="266"/>
        <w:spacing w:after="0" w:line="237" w:lineRule="auto"/>
        <w:tabs>
          <w:tab w:leader="none" w:pos="266" w:val="left"/>
        </w:tabs>
        <w:numPr>
          <w:ilvl w:val="0"/>
          <w:numId w:val="50"/>
        </w:numPr>
        <w:rPr>
          <w:rFonts w:ascii="Arial" w:cs="Arial" w:eastAsia="Arial" w:hAnsi="Arial"/>
          <w:sz w:val="17"/>
          <w:szCs w:val="17"/>
          <w:color w:val="0171B9"/>
        </w:rPr>
      </w:pPr>
      <w:r>
        <w:rPr>
          <w:rFonts w:ascii="Arial" w:cs="Arial" w:eastAsia="Arial" w:hAnsi="Arial"/>
          <w:sz w:val="17"/>
          <w:szCs w:val="17"/>
          <w:i w:val="1"/>
          <w:iCs w:val="1"/>
          <w:color w:val="0171B9"/>
        </w:rPr>
        <w:t xml:space="preserve">Clawback Policy. </w:t>
      </w:r>
      <w:r>
        <w:rPr>
          <w:rFonts w:ascii="Arial" w:cs="Arial" w:eastAsia="Arial" w:hAnsi="Arial"/>
          <w:sz w:val="17"/>
          <w:szCs w:val="17"/>
          <w:color w:val="000000"/>
        </w:rPr>
        <w:t>We have a clawback policy that requires our</w:t>
      </w:r>
      <w:r>
        <w:rPr>
          <w:rFonts w:ascii="Arial" w:cs="Arial" w:eastAsia="Arial" w:hAnsi="Arial"/>
          <w:sz w:val="17"/>
          <w:szCs w:val="17"/>
          <w:i w:val="1"/>
          <w:iCs w:val="1"/>
          <w:color w:val="0171B9"/>
        </w:rPr>
        <w:t xml:space="preserve"> </w:t>
      </w:r>
      <w:r>
        <w:rPr>
          <w:rFonts w:ascii="Arial" w:cs="Arial" w:eastAsia="Arial" w:hAnsi="Arial"/>
          <w:sz w:val="17"/>
          <w:szCs w:val="17"/>
          <w:color w:val="000000"/>
        </w:rPr>
        <w:t>Board to consider recapturing past cash or equity compensation payouts awarded to our executive officers if it is subsequently determined that the amounts of such compensation were determined based on financial results that are later restated and the executive officer’s misconduct caused or partially caused such restatement.</w:t>
      </w:r>
      <w:r>
        <w:rPr>
          <w:rFonts w:ascii="Arial" w:cs="Arial" w:eastAsia="Arial" w:hAnsi="Arial"/>
          <w:sz w:val="10"/>
          <w:szCs w:val="10"/>
          <w:color w:val="000000"/>
        </w:rPr>
        <w:t>(1)</w:t>
      </w:r>
    </w:p>
    <w:p>
      <w:pPr>
        <w:spacing w:after="0" w:line="93" w:lineRule="exact"/>
        <w:rPr>
          <w:rFonts w:ascii="Arial" w:cs="Arial" w:eastAsia="Arial" w:hAnsi="Arial"/>
          <w:sz w:val="17"/>
          <w:szCs w:val="17"/>
          <w:color w:val="0171B9"/>
        </w:rPr>
      </w:pPr>
    </w:p>
    <w:p>
      <w:pPr>
        <w:jc w:val="both"/>
        <w:ind w:left="266" w:right="20" w:hanging="266"/>
        <w:spacing w:after="0" w:line="238" w:lineRule="auto"/>
        <w:tabs>
          <w:tab w:leader="none" w:pos="266" w:val="left"/>
        </w:tabs>
        <w:numPr>
          <w:ilvl w:val="0"/>
          <w:numId w:val="50"/>
        </w:numPr>
        <w:rPr>
          <w:rFonts w:ascii="Arial" w:cs="Arial" w:eastAsia="Arial" w:hAnsi="Arial"/>
          <w:sz w:val="17"/>
          <w:szCs w:val="17"/>
          <w:color w:val="0171B9"/>
        </w:rPr>
      </w:pPr>
      <w:r>
        <w:rPr>
          <w:rFonts w:ascii="Arial" w:cs="Arial" w:eastAsia="Arial" w:hAnsi="Arial"/>
          <w:sz w:val="17"/>
          <w:szCs w:val="17"/>
          <w:i w:val="1"/>
          <w:iCs w:val="1"/>
          <w:color w:val="0171B9"/>
        </w:rPr>
        <w:t xml:space="preserve">Recoupment. </w:t>
      </w:r>
      <w:r>
        <w:rPr>
          <w:rFonts w:ascii="Arial" w:cs="Arial" w:eastAsia="Arial" w:hAnsi="Arial"/>
          <w:sz w:val="17"/>
          <w:szCs w:val="17"/>
          <w:color w:val="000000"/>
        </w:rPr>
        <w:t>We have recoupment provisions that expressly allow</w:t>
      </w:r>
      <w:r>
        <w:rPr>
          <w:rFonts w:ascii="Arial" w:cs="Arial" w:eastAsia="Arial" w:hAnsi="Arial"/>
          <w:sz w:val="17"/>
          <w:szCs w:val="17"/>
          <w:i w:val="1"/>
          <w:iCs w:val="1"/>
          <w:color w:val="0171B9"/>
        </w:rPr>
        <w:t xml:space="preserve"> </w:t>
      </w:r>
      <w:r>
        <w:rPr>
          <w:rFonts w:ascii="Arial" w:cs="Arial" w:eastAsia="Arial" w:hAnsi="Arial"/>
          <w:sz w:val="17"/>
          <w:szCs w:val="17"/>
          <w:color w:val="000000"/>
        </w:rPr>
        <w:t>the Compensation Committee or management, as appropriate, to consider employee misconduct that caused serious financial or reputational damage to the Company when determining whether an employee has earned an annual cash incentive award or the amount of any such award.</w:t>
      </w:r>
    </w:p>
    <w:p>
      <w:pPr>
        <w:spacing w:after="0" w:line="97" w:lineRule="exact"/>
        <w:rPr>
          <w:sz w:val="20"/>
          <w:szCs w:val="20"/>
          <w:color w:val="auto"/>
        </w:rPr>
      </w:pPr>
    </w:p>
    <w:p>
      <w:pPr>
        <w:jc w:val="both"/>
        <w:ind w:left="206"/>
        <w:spacing w:after="0" w:line="234" w:lineRule="auto"/>
        <w:rPr>
          <w:sz w:val="20"/>
          <w:szCs w:val="20"/>
          <w:color w:val="auto"/>
        </w:rPr>
      </w:pPr>
      <w:r>
        <w:rPr>
          <w:rFonts w:ascii="Arial" w:cs="Arial" w:eastAsia="Arial" w:hAnsi="Arial"/>
          <w:sz w:val="17"/>
          <w:szCs w:val="17"/>
          <w:color w:val="auto"/>
        </w:rPr>
        <w:t>The Compensation Committee has adopted an executive officer equity recoupment policy that provides the Compensation Committee with the ability to cause the forfeiture and cancellation of unvested equity awards and any unexercised portion of any stock options (granted after December 31, 2020) if an executive officer is terminated for engaging in misconduct that caused serious financial or reputational damage to the Company (including, but not limited to, a financial restatement).</w:t>
      </w:r>
    </w:p>
    <w:p>
      <w:pPr>
        <w:spacing w:after="0" w:line="91" w:lineRule="exact"/>
        <w:rPr>
          <w:sz w:val="20"/>
          <w:szCs w:val="20"/>
          <w:color w:val="auto"/>
        </w:rPr>
      </w:pPr>
    </w:p>
    <w:p>
      <w:pPr>
        <w:jc w:val="both"/>
        <w:ind w:left="266" w:right="20" w:hanging="266"/>
        <w:spacing w:after="0"/>
        <w:tabs>
          <w:tab w:leader="none" w:pos="266" w:val="left"/>
        </w:tabs>
        <w:numPr>
          <w:ilvl w:val="0"/>
          <w:numId w:val="51"/>
        </w:numPr>
        <w:rPr>
          <w:rFonts w:ascii="Arial" w:cs="Arial" w:eastAsia="Arial" w:hAnsi="Arial"/>
          <w:sz w:val="17"/>
          <w:szCs w:val="17"/>
          <w:color w:val="0171B9"/>
        </w:rPr>
      </w:pPr>
      <w:r>
        <w:rPr>
          <w:rFonts w:ascii="Arial" w:cs="Arial" w:eastAsia="Arial" w:hAnsi="Arial"/>
          <w:sz w:val="17"/>
          <w:szCs w:val="17"/>
          <w:i w:val="1"/>
          <w:iCs w:val="1"/>
          <w:color w:val="0171B9"/>
        </w:rPr>
        <w:t xml:space="preserve">Disclosure. </w:t>
      </w:r>
      <w:r>
        <w:rPr>
          <w:rFonts w:ascii="Arial" w:cs="Arial" w:eastAsia="Arial" w:hAnsi="Arial"/>
          <w:sz w:val="17"/>
          <w:szCs w:val="17"/>
          <w:color w:val="000000"/>
        </w:rPr>
        <w:t>Subject to our recoupment and clawback policies and</w:t>
      </w:r>
      <w:r>
        <w:rPr>
          <w:rFonts w:ascii="Arial" w:cs="Arial" w:eastAsia="Arial" w:hAnsi="Arial"/>
          <w:sz w:val="17"/>
          <w:szCs w:val="17"/>
          <w:i w:val="1"/>
          <w:iCs w:val="1"/>
          <w:color w:val="0171B9"/>
        </w:rPr>
        <w:t xml:space="preserve"> </w:t>
      </w:r>
      <w:r>
        <w:rPr>
          <w:rFonts w:ascii="Arial" w:cs="Arial" w:eastAsia="Arial" w:hAnsi="Arial"/>
          <w:sz w:val="17"/>
          <w:szCs w:val="17"/>
          <w:color w:val="000000"/>
        </w:rPr>
        <w:t>provisions, we intend to disclose the general circumstances of any application of our recoupment or clawback policies and provisions against any executive officer (current or former) and the aggregate amount of compensation recovered.</w:t>
      </w:r>
    </w:p>
    <w:p>
      <w:pPr>
        <w:spacing w:after="0" w:line="89" w:lineRule="exact"/>
        <w:rPr>
          <w:rFonts w:ascii="Arial" w:cs="Arial" w:eastAsia="Arial" w:hAnsi="Arial"/>
          <w:sz w:val="17"/>
          <w:szCs w:val="17"/>
          <w:color w:val="0171B9"/>
        </w:rPr>
      </w:pPr>
    </w:p>
    <w:p>
      <w:pPr>
        <w:jc w:val="both"/>
        <w:ind w:left="266" w:right="20" w:hanging="266"/>
        <w:spacing w:after="0" w:line="243" w:lineRule="auto"/>
        <w:tabs>
          <w:tab w:leader="none" w:pos="266" w:val="left"/>
        </w:tabs>
        <w:numPr>
          <w:ilvl w:val="0"/>
          <w:numId w:val="51"/>
        </w:numPr>
        <w:rPr>
          <w:rFonts w:ascii="Arial" w:cs="Arial" w:eastAsia="Arial" w:hAnsi="Arial"/>
          <w:sz w:val="17"/>
          <w:szCs w:val="17"/>
          <w:color w:val="0171B9"/>
        </w:rPr>
      </w:pPr>
      <w:r>
        <w:rPr>
          <w:rFonts w:ascii="Arial" w:cs="Arial" w:eastAsia="Arial" w:hAnsi="Arial"/>
          <w:sz w:val="17"/>
          <w:szCs w:val="17"/>
          <w:i w:val="1"/>
          <w:iCs w:val="1"/>
          <w:color w:val="0171B9"/>
        </w:rPr>
        <w:t xml:space="preserve">No Hedging or Pledging. </w:t>
      </w:r>
      <w:r>
        <w:rPr>
          <w:rFonts w:ascii="Arial" w:cs="Arial" w:eastAsia="Arial" w:hAnsi="Arial"/>
          <w:sz w:val="17"/>
          <w:szCs w:val="17"/>
          <w:color w:val="000000"/>
        </w:rPr>
        <w:t>Our Insider Trading Policy prohibits</w:t>
      </w:r>
      <w:r>
        <w:rPr>
          <w:rFonts w:ascii="Arial" w:cs="Arial" w:eastAsia="Arial" w:hAnsi="Arial"/>
          <w:sz w:val="17"/>
          <w:szCs w:val="17"/>
          <w:i w:val="1"/>
          <w:iCs w:val="1"/>
          <w:color w:val="0171B9"/>
        </w:rPr>
        <w:t xml:space="preserve"> </w:t>
      </w:r>
      <w:r>
        <w:rPr>
          <w:rFonts w:ascii="Arial" w:cs="Arial" w:eastAsia="Arial" w:hAnsi="Arial"/>
          <w:sz w:val="17"/>
          <w:szCs w:val="17"/>
          <w:color w:val="000000"/>
        </w:rPr>
        <w:t>pledging or purchasing of our Common Stock on margin</w:t>
      </w:r>
      <w:r>
        <w:rPr>
          <w:rFonts w:ascii="Arial" w:cs="Arial" w:eastAsia="Arial" w:hAnsi="Arial"/>
          <w:sz w:val="10"/>
          <w:szCs w:val="10"/>
          <w:color w:val="000000"/>
        </w:rPr>
        <w:t>(2)</w:t>
      </w:r>
      <w:r>
        <w:rPr>
          <w:rFonts w:ascii="Arial" w:cs="Arial" w:eastAsia="Arial" w:hAnsi="Arial"/>
          <w:sz w:val="17"/>
          <w:szCs w:val="17"/>
          <w:color w:val="000000"/>
        </w:rPr>
        <w:t xml:space="preserve"> and hedging the economic risk of our Common Stock (as discussed more fully below).</w:t>
      </w:r>
    </w:p>
    <w:p>
      <w:pPr>
        <w:spacing w:after="0" w:line="85" w:lineRule="exact"/>
        <w:rPr>
          <w:rFonts w:ascii="Arial" w:cs="Arial" w:eastAsia="Arial" w:hAnsi="Arial"/>
          <w:sz w:val="17"/>
          <w:szCs w:val="17"/>
          <w:color w:val="0171B9"/>
        </w:rPr>
      </w:pPr>
    </w:p>
    <w:p>
      <w:pPr>
        <w:jc w:val="both"/>
        <w:ind w:left="266" w:right="20" w:hanging="266"/>
        <w:spacing w:after="0" w:line="237" w:lineRule="auto"/>
        <w:tabs>
          <w:tab w:leader="none" w:pos="266" w:val="left"/>
        </w:tabs>
        <w:numPr>
          <w:ilvl w:val="0"/>
          <w:numId w:val="51"/>
        </w:numPr>
        <w:rPr>
          <w:rFonts w:ascii="Arial" w:cs="Arial" w:eastAsia="Arial" w:hAnsi="Arial"/>
          <w:sz w:val="17"/>
          <w:szCs w:val="17"/>
          <w:color w:val="0171B9"/>
        </w:rPr>
      </w:pPr>
      <w:r>
        <w:rPr>
          <w:rFonts w:ascii="Arial" w:cs="Arial" w:eastAsia="Arial" w:hAnsi="Arial"/>
          <w:sz w:val="17"/>
          <w:szCs w:val="17"/>
          <w:i w:val="1"/>
          <w:iCs w:val="1"/>
          <w:color w:val="0171B9"/>
        </w:rPr>
        <w:t>Pricing Policies and Controls</w:t>
      </w:r>
      <w:r>
        <w:rPr>
          <w:rFonts w:ascii="Arial" w:cs="Arial" w:eastAsia="Arial" w:hAnsi="Arial"/>
          <w:sz w:val="17"/>
          <w:szCs w:val="17"/>
          <w:i w:val="1"/>
          <w:iCs w:val="1"/>
          <w:color w:val="000000"/>
        </w:rPr>
        <w:t>.</w:t>
      </w:r>
      <w:r>
        <w:rPr>
          <w:rFonts w:ascii="Arial" w:cs="Arial" w:eastAsia="Arial" w:hAnsi="Arial"/>
          <w:sz w:val="17"/>
          <w:szCs w:val="17"/>
          <w:i w:val="1"/>
          <w:iCs w:val="1"/>
          <w:color w:val="0171B9"/>
        </w:rPr>
        <w:t xml:space="preserve"> </w:t>
      </w:r>
      <w:r>
        <w:rPr>
          <w:rFonts w:ascii="Arial" w:cs="Arial" w:eastAsia="Arial" w:hAnsi="Arial"/>
          <w:sz w:val="17"/>
          <w:szCs w:val="17"/>
          <w:color w:val="000000"/>
        </w:rPr>
        <w:t>Our approach to pricing includes</w:t>
      </w:r>
      <w:r>
        <w:rPr>
          <w:rFonts w:ascii="Arial" w:cs="Arial" w:eastAsia="Arial" w:hAnsi="Arial"/>
          <w:sz w:val="17"/>
          <w:szCs w:val="17"/>
          <w:i w:val="1"/>
          <w:iCs w:val="1"/>
          <w:color w:val="0171B9"/>
        </w:rPr>
        <w:t xml:space="preserve"> </w:t>
      </w:r>
      <w:r>
        <w:rPr>
          <w:rFonts w:ascii="Arial" w:cs="Arial" w:eastAsia="Arial" w:hAnsi="Arial"/>
          <w:sz w:val="17"/>
          <w:szCs w:val="17"/>
          <w:color w:val="000000"/>
        </w:rPr>
        <w:t>training, standard operating procedures, policies, approval mechanisms for price increases and price policy exceptions, and other controls that balance regional and country autonomy with centrally managed price discipline. Our Board, with the assistance of the Compliance Committee, has a key role in the oversight of pricing risk and regularly receives presentations from management on drug pricing practices and trends.</w:t>
      </w:r>
    </w:p>
    <w:p>
      <w:pPr>
        <w:spacing w:after="0" w:line="89" w:lineRule="exact"/>
        <w:rPr>
          <w:rFonts w:ascii="Arial" w:cs="Arial" w:eastAsia="Arial" w:hAnsi="Arial"/>
          <w:sz w:val="17"/>
          <w:szCs w:val="17"/>
          <w:color w:val="0171B9"/>
        </w:rPr>
      </w:pPr>
    </w:p>
    <w:p>
      <w:pPr>
        <w:jc w:val="both"/>
        <w:ind w:left="266" w:right="20" w:hanging="266"/>
        <w:spacing w:after="0" w:line="238" w:lineRule="auto"/>
        <w:tabs>
          <w:tab w:leader="none" w:pos="266" w:val="left"/>
        </w:tabs>
        <w:numPr>
          <w:ilvl w:val="0"/>
          <w:numId w:val="51"/>
        </w:numPr>
        <w:rPr>
          <w:rFonts w:ascii="Arial" w:cs="Arial" w:eastAsia="Arial" w:hAnsi="Arial"/>
          <w:sz w:val="17"/>
          <w:szCs w:val="17"/>
          <w:color w:val="0171B9"/>
        </w:rPr>
      </w:pPr>
      <w:r>
        <w:rPr>
          <w:rFonts w:ascii="Arial" w:cs="Arial" w:eastAsia="Arial" w:hAnsi="Arial"/>
          <w:sz w:val="17"/>
          <w:szCs w:val="17"/>
          <w:i w:val="1"/>
          <w:iCs w:val="1"/>
          <w:color w:val="0171B9"/>
        </w:rPr>
        <w:t xml:space="preserve">Mandatory Global Code of Conduct Compliance Training. </w:t>
      </w:r>
      <w:r>
        <w:rPr>
          <w:rFonts w:ascii="Arial" w:cs="Arial" w:eastAsia="Arial" w:hAnsi="Arial"/>
          <w:sz w:val="17"/>
          <w:szCs w:val="17"/>
          <w:color w:val="000000"/>
        </w:rPr>
        <w:t>We</w:t>
      </w:r>
      <w:r>
        <w:rPr>
          <w:rFonts w:ascii="Arial" w:cs="Arial" w:eastAsia="Arial" w:hAnsi="Arial"/>
          <w:sz w:val="17"/>
          <w:szCs w:val="17"/>
          <w:i w:val="1"/>
          <w:iCs w:val="1"/>
          <w:color w:val="0171B9"/>
        </w:rPr>
        <w:t xml:space="preserve"> </w:t>
      </w:r>
      <w:r>
        <w:rPr>
          <w:rFonts w:ascii="Arial" w:cs="Arial" w:eastAsia="Arial" w:hAnsi="Arial"/>
          <w:sz w:val="17"/>
          <w:szCs w:val="17"/>
          <w:color w:val="000000"/>
        </w:rPr>
        <w:t>require training on our global Code of Conduct and other policies that educate our staff members on appropriate behaviors, the consequences of taking inappropriate actions, and where to escalate concerns, including providing the option of doing so anonymously.</w:t>
      </w:r>
    </w:p>
    <w:p>
      <w:pPr>
        <w:spacing w:after="0" w:line="213" w:lineRule="exact"/>
        <w:rPr>
          <w:sz w:val="20"/>
          <w:szCs w:val="20"/>
          <w:color w:val="auto"/>
        </w:rPr>
      </w:pPr>
    </w:p>
    <w:p>
      <w:pPr>
        <w:sectPr>
          <w:pgSz w:w="11900" w:h="16838" w:orient="portrait"/>
          <w:cols w:equalWidth="0" w:num="2">
            <w:col w:w="5400" w:space="334"/>
            <w:col w:w="5406"/>
          </w:cols>
          <w:pgMar w:left="320" w:top="486" w:right="439" w:bottom="1440" w:gutter="0" w:footer="0" w:header="0"/>
          <w:type w:val="continuous"/>
        </w:sectPr>
      </w:pPr>
    </w:p>
    <w:p>
      <w:pPr>
        <w:spacing w:after="0" w:line="340" w:lineRule="exact"/>
        <w:rPr>
          <w:sz w:val="20"/>
          <w:szCs w:val="20"/>
          <w:color w:val="auto"/>
        </w:rPr>
      </w:pPr>
    </w:p>
    <w:p>
      <w:pPr>
        <w:ind w:left="440" w:right="20" w:hanging="324"/>
        <w:spacing w:after="0" w:line="187" w:lineRule="auto"/>
        <w:tabs>
          <w:tab w:leader="none" w:pos="44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For further information on our compliance with The NASDAQ Stock Market listing standards related to the SEC’s rules regarding clawbacks of erroneously awarded incentive-based compensation, please see “Compensation Policies and Practices” in our Compensation Discussion and Analysis.</w:t>
      </w:r>
    </w:p>
    <w:p>
      <w:pPr>
        <w:spacing w:after="0" w:line="1" w:lineRule="exact"/>
        <w:rPr>
          <w:rFonts w:ascii="Arial" w:cs="Arial" w:eastAsia="Arial" w:hAnsi="Arial"/>
          <w:sz w:val="22"/>
          <w:szCs w:val="22"/>
          <w:color w:val="auto"/>
          <w:vertAlign w:val="superscript"/>
        </w:rPr>
      </w:pPr>
    </w:p>
    <w:p>
      <w:pPr>
        <w:ind w:left="440" w:right="20" w:hanging="324"/>
        <w:spacing w:after="0" w:line="193" w:lineRule="auto"/>
        <w:tabs>
          <w:tab w:leader="none" w:pos="44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With the exception of the use of a margin account to purchase our common stock in connection with the exercise of Amgen-granted stock options (</w:t>
      </w:r>
      <w:r>
        <w:rPr>
          <w:rFonts w:ascii="Arial" w:cs="Arial" w:eastAsia="Arial" w:hAnsi="Arial"/>
          <w:sz w:val="14"/>
          <w:szCs w:val="14"/>
          <w:i w:val="1"/>
          <w:iCs w:val="1"/>
          <w:color w:val="auto"/>
        </w:rPr>
        <w:t>i.e.</w:t>
      </w:r>
      <w:r>
        <w:rPr>
          <w:rFonts w:ascii="Arial" w:cs="Arial" w:eastAsia="Arial" w:hAnsi="Arial"/>
          <w:sz w:val="14"/>
          <w:szCs w:val="14"/>
          <w:color w:val="auto"/>
        </w:rPr>
        <w:t>, “cashless exercises”).</w:t>
      </w:r>
    </w:p>
    <w:p>
      <w:pPr>
        <w:spacing w:after="0" w:line="118"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38</w:t>
      </w:r>
      <w:r>
        <w:rPr>
          <w:sz w:val="20"/>
          <w:szCs w:val="20"/>
          <w:color w:val="auto"/>
        </w:rPr>
        <w:tab/>
      </w:r>
      <w:r>
        <w:rPr>
          <w:sz w:val="1"/>
          <w:szCs w:val="1"/>
          <w:color w:val="auto"/>
        </w:rPr>
        <w:drawing>
          <wp:inline distT="0" distB="0" distL="0" distR="0">
            <wp:extent cx="582930" cy="13716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Corporate Governance</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Prohibition on Hedging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196"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Under our global Insider Trading Policy, all of our Board members and staff members, including our NEOs, consultants, contract workers, secondees, and temporary staff worldwide are considered “Covered Persons.” It is against the Insider Trading Policy for Covered Persons to directly or indirectly participate in transactions involving trading activities in our securities that, by their nature, are aggressive or speculative, or may give rise to an appearance of impropriety. Covered Persons may not:</w:t>
      </w:r>
    </w:p>
    <w:p>
      <w:pPr>
        <w:spacing w:after="0" w:line="109" w:lineRule="exact"/>
        <w:rPr>
          <w:sz w:val="20"/>
          <w:szCs w:val="20"/>
          <w:color w:val="auto"/>
        </w:rPr>
      </w:pPr>
    </w:p>
    <w:p>
      <w:pPr>
        <w:jc w:val="both"/>
        <w:ind w:left="380" w:right="20" w:hanging="264"/>
        <w:spacing w:after="0" w:line="238" w:lineRule="auto"/>
        <w:tabs>
          <w:tab w:leader="none" w:pos="380" w:val="left"/>
        </w:tabs>
        <w:numPr>
          <w:ilvl w:val="0"/>
          <w:numId w:val="53"/>
        </w:numPr>
        <w:rPr>
          <w:rFonts w:ascii="Arial" w:cs="Arial" w:eastAsia="Arial" w:hAnsi="Arial"/>
          <w:sz w:val="17"/>
          <w:szCs w:val="17"/>
          <w:color w:val="0171B9"/>
        </w:rPr>
      </w:pPr>
      <w:r>
        <w:rPr>
          <w:rFonts w:ascii="Arial" w:cs="Arial" w:eastAsia="Arial" w:hAnsi="Arial"/>
          <w:sz w:val="17"/>
          <w:szCs w:val="17"/>
          <w:color w:val="auto"/>
        </w:rPr>
        <w:t>Engage in short sales (sales of stock that the seller does not own or a sale that is completed by delivery of borrowed stock) with respect to our securities;</w:t>
      </w:r>
    </w:p>
    <w:p>
      <w:pPr>
        <w:spacing w:after="0" w:line="106" w:lineRule="exact"/>
        <w:rPr>
          <w:rFonts w:ascii="Arial" w:cs="Arial" w:eastAsia="Arial" w:hAnsi="Arial"/>
          <w:sz w:val="17"/>
          <w:szCs w:val="17"/>
          <w:color w:val="0171B9"/>
        </w:rPr>
      </w:pPr>
    </w:p>
    <w:p>
      <w:pPr>
        <w:jc w:val="both"/>
        <w:ind w:left="380" w:hanging="264"/>
        <w:spacing w:after="0" w:line="243" w:lineRule="auto"/>
        <w:tabs>
          <w:tab w:leader="none" w:pos="380" w:val="left"/>
        </w:tabs>
        <w:numPr>
          <w:ilvl w:val="0"/>
          <w:numId w:val="53"/>
        </w:numPr>
        <w:rPr>
          <w:rFonts w:ascii="Arial" w:cs="Arial" w:eastAsia="Arial" w:hAnsi="Arial"/>
          <w:sz w:val="17"/>
          <w:szCs w:val="17"/>
          <w:color w:val="0171B9"/>
        </w:rPr>
      </w:pPr>
      <w:r>
        <w:rPr>
          <w:rFonts w:ascii="Arial" w:cs="Arial" w:eastAsia="Arial" w:hAnsi="Arial"/>
          <w:sz w:val="17"/>
          <w:szCs w:val="17"/>
          <w:color w:val="auto"/>
        </w:rPr>
        <w:t>Engage in transactions that hedge or offset, or are designed to hedge or offset, any decrease in the market value of Amgen stock;</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266" w:right="40" w:hanging="266"/>
        <w:spacing w:after="0" w:line="243" w:lineRule="auto"/>
        <w:tabs>
          <w:tab w:leader="none" w:pos="266" w:val="left"/>
        </w:tabs>
        <w:numPr>
          <w:ilvl w:val="0"/>
          <w:numId w:val="54"/>
        </w:numPr>
        <w:rPr>
          <w:rFonts w:ascii="Arial" w:cs="Arial" w:eastAsia="Arial" w:hAnsi="Arial"/>
          <w:sz w:val="17"/>
          <w:szCs w:val="17"/>
          <w:color w:val="0171B9"/>
        </w:rPr>
      </w:pPr>
      <w:r>
        <w:rPr>
          <w:rFonts w:ascii="Arial" w:cs="Arial" w:eastAsia="Arial" w:hAnsi="Arial"/>
          <w:sz w:val="17"/>
          <w:szCs w:val="17"/>
          <w:color w:val="auto"/>
        </w:rPr>
        <w:t>Purchase or pledge Amgen stock on margin or as collateral to secure a loan or other obligation</w:t>
      </w:r>
      <w:r>
        <w:rPr>
          <w:rFonts w:ascii="Arial" w:cs="Arial" w:eastAsia="Arial" w:hAnsi="Arial"/>
          <w:sz w:val="12"/>
          <w:szCs w:val="12"/>
          <w:color w:val="auto"/>
        </w:rPr>
        <w:t>(1)</w:t>
      </w:r>
      <w:r>
        <w:rPr>
          <w:rFonts w:ascii="Arial" w:cs="Arial" w:eastAsia="Arial" w:hAnsi="Arial"/>
          <w:sz w:val="17"/>
          <w:szCs w:val="17"/>
          <w:color w:val="auto"/>
        </w:rPr>
        <w:t>; or</w:t>
      </w:r>
    </w:p>
    <w:p>
      <w:pPr>
        <w:spacing w:after="0" w:line="103" w:lineRule="exact"/>
        <w:rPr>
          <w:rFonts w:ascii="Arial" w:cs="Arial" w:eastAsia="Arial" w:hAnsi="Arial"/>
          <w:sz w:val="17"/>
          <w:szCs w:val="17"/>
          <w:color w:val="0171B9"/>
        </w:rPr>
      </w:pPr>
    </w:p>
    <w:p>
      <w:pPr>
        <w:ind w:left="266" w:right="20" w:hanging="266"/>
        <w:spacing w:after="0" w:line="243" w:lineRule="auto"/>
        <w:tabs>
          <w:tab w:leader="none" w:pos="266" w:val="left"/>
        </w:tabs>
        <w:numPr>
          <w:ilvl w:val="0"/>
          <w:numId w:val="54"/>
        </w:numPr>
        <w:rPr>
          <w:rFonts w:ascii="Arial" w:cs="Arial" w:eastAsia="Arial" w:hAnsi="Arial"/>
          <w:sz w:val="17"/>
          <w:szCs w:val="17"/>
          <w:color w:val="0171B9"/>
        </w:rPr>
      </w:pPr>
      <w:r>
        <w:rPr>
          <w:rFonts w:ascii="Arial" w:cs="Arial" w:eastAsia="Arial" w:hAnsi="Arial"/>
          <w:sz w:val="17"/>
          <w:szCs w:val="17"/>
          <w:color w:val="auto"/>
        </w:rPr>
        <w:t>Enter into any derivative or similar transactions with respect to our securities.</w:t>
      </w:r>
    </w:p>
    <w:p>
      <w:pPr>
        <w:spacing w:after="0" w:line="90" w:lineRule="exact"/>
        <w:rPr>
          <w:sz w:val="20"/>
          <w:szCs w:val="20"/>
          <w:color w:val="auto"/>
        </w:rPr>
      </w:pPr>
    </w:p>
    <w:p>
      <w:pPr>
        <w:jc w:val="both"/>
        <w:ind w:left="6"/>
        <w:spacing w:after="0" w:line="234" w:lineRule="auto"/>
        <w:rPr>
          <w:sz w:val="20"/>
          <w:szCs w:val="20"/>
          <w:color w:val="auto"/>
        </w:rPr>
      </w:pPr>
      <w:r>
        <w:rPr>
          <w:rFonts w:ascii="Arial" w:cs="Arial" w:eastAsia="Arial" w:hAnsi="Arial"/>
          <w:sz w:val="17"/>
          <w:szCs w:val="17"/>
          <w:color w:val="auto"/>
        </w:rPr>
        <w:t>Examples of prohibited derivative transactions include, but are not limited to, purchases or sales of puts and calls (whether written or purchased or sold), options (whether “covered” or not), forward contracts, including but not limited to prepaid variable forward contracts; put and call “collars” (“European” or “American”), “equity” or “performance” swap or exchange agreements, or any similar agreements or arrangements however denominated, in our securities.</w:t>
      </w:r>
    </w:p>
    <w:p>
      <w:pPr>
        <w:spacing w:after="0" w:line="598" w:lineRule="exact"/>
        <w:rPr>
          <w:sz w:val="20"/>
          <w:szCs w:val="20"/>
          <w:color w:val="auto"/>
        </w:rPr>
      </w:pPr>
    </w:p>
    <w:p>
      <w:pPr>
        <w:sectPr>
          <w:pgSz w:w="11900" w:h="16838" w:orient="portrait"/>
          <w:cols w:equalWidth="0" w:num="2">
            <w:col w:w="5400" w:space="334"/>
            <w:col w:w="5406"/>
          </w:cols>
          <w:pgMar w:left="320" w:top="486" w:right="439" w:bottom="1440" w:gutter="0" w:footer="0" w:header="0"/>
          <w:type w:val="continuous"/>
        </w:sect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p>
      <w:pPr>
        <w:spacing w:after="0" w:line="304"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Following is a reasonable estimate, prepared under applicable SEC rules, of the ratio of the annual total compensation of our CEO to the median of the annual total compensation of our other staff members, calculated in accordance with the requirements of Item 402(c)(2)(x) of Regulation S-K. The Company determined our median employee based on target total direct compensation paid to all of our staff members worldwide and recorded in our global human resources systems as of December 31, 2022. Target total direct compensation included base salary, target annual cash incentive award opportunity for the period, and the target annual grant value of LTI equity awards during 2022. Earnings of our staff members outside of the U.S. were converted to</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U.S. dollars using currency exchange rates as of December 31, 2022. No cost-of-living adjustments were made. We then determined the annual total compensation of our median employee for 2022 which was $134,713. As disclosed in the “Summary Compensation Table” appearing on page 75, our CEO’s annual total compensation for 2022 was $21,399,733. Based on the foregoing, the ratio of the annual total compensation of our CEO to that of the median staff member was 159 to 1. For information on the determination of executive compensation, please see “Compensation Committee Processes and Procedures for Considering and Determining Executive Compensation in 2022” above and our Compensation Discussion and Analysis beginning on page 41.</w:t>
      </w:r>
    </w:p>
    <w:p>
      <w:pPr>
        <w:spacing w:after="0" w:line="389"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27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The Compensation Committee has reviewed and discussed the Compensation Discussion and Analysis with management, and based on the review and discussions, recommended to the Board of Directors that the Compensation Discussion and Analysis be included in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Company’s 2023 Annual Meeting proxy statement and incorporated by reference into the Company’s Annual Report on Form 10-K for the year ended December 31, 2022.</w:t>
      </w:r>
    </w:p>
    <w:p>
      <w:pPr>
        <w:spacing w:after="0" w:line="575"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Compensation Committee of the Board of Directors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Robert A. Eckert, Chair</w:t>
      </w:r>
    </w:p>
    <w:p>
      <w:pPr>
        <w:jc w:val="center"/>
        <w:ind w:right="-119"/>
        <w:spacing w:after="0" w:line="232" w:lineRule="auto"/>
        <w:rPr>
          <w:sz w:val="20"/>
          <w:szCs w:val="20"/>
          <w:color w:val="auto"/>
        </w:rPr>
      </w:pPr>
      <w:r>
        <w:rPr>
          <w:rFonts w:ascii="Arial" w:cs="Arial" w:eastAsia="Arial" w:hAnsi="Arial"/>
          <w:sz w:val="17"/>
          <w:szCs w:val="17"/>
          <w:color w:val="auto"/>
        </w:rPr>
        <w:t>Wanda M. Austin</w:t>
      </w:r>
    </w:p>
    <w:p>
      <w:pPr>
        <w:jc w:val="center"/>
        <w:ind w:right="-119"/>
        <w:spacing w:after="0" w:line="232" w:lineRule="auto"/>
        <w:rPr>
          <w:sz w:val="20"/>
          <w:szCs w:val="20"/>
          <w:color w:val="auto"/>
        </w:rPr>
      </w:pPr>
      <w:r>
        <w:rPr>
          <w:rFonts w:ascii="Arial" w:cs="Arial" w:eastAsia="Arial" w:hAnsi="Arial"/>
          <w:sz w:val="17"/>
          <w:szCs w:val="17"/>
          <w:color w:val="auto"/>
        </w:rPr>
        <w:t>Brian J. Druker</w:t>
      </w:r>
    </w:p>
    <w:p>
      <w:pPr>
        <w:jc w:val="center"/>
        <w:ind w:right="-119"/>
        <w:spacing w:after="0" w:line="232" w:lineRule="auto"/>
        <w:rPr>
          <w:sz w:val="20"/>
          <w:szCs w:val="20"/>
          <w:color w:val="auto"/>
        </w:rPr>
      </w:pPr>
      <w:r>
        <w:rPr>
          <w:rFonts w:ascii="Arial" w:cs="Arial" w:eastAsia="Arial" w:hAnsi="Arial"/>
          <w:sz w:val="17"/>
          <w:szCs w:val="17"/>
          <w:color w:val="auto"/>
        </w:rPr>
        <w:t>Greg C. Garland</w:t>
      </w:r>
    </w:p>
    <w:p>
      <w:pPr>
        <w:jc w:val="center"/>
        <w:ind w:right="-119"/>
        <w:spacing w:after="0" w:line="232" w:lineRule="auto"/>
        <w:rPr>
          <w:sz w:val="20"/>
          <w:szCs w:val="20"/>
          <w:color w:val="auto"/>
        </w:rPr>
      </w:pPr>
      <w:r>
        <w:rPr>
          <w:rFonts w:ascii="Arial" w:cs="Arial" w:eastAsia="Arial" w:hAnsi="Arial"/>
          <w:sz w:val="17"/>
          <w:szCs w:val="17"/>
          <w:color w:val="auto"/>
        </w:rPr>
        <w:t>S. Omar Ishrak</w:t>
      </w:r>
    </w:p>
    <w:p>
      <w:pPr>
        <w:jc w:val="center"/>
        <w:ind w:right="-119"/>
        <w:spacing w:after="0"/>
        <w:rPr>
          <w:sz w:val="20"/>
          <w:szCs w:val="20"/>
          <w:color w:val="auto"/>
        </w:rPr>
      </w:pPr>
      <w:r>
        <w:rPr>
          <w:rFonts w:ascii="Arial" w:cs="Arial" w:eastAsia="Arial" w:hAnsi="Arial"/>
          <w:sz w:val="17"/>
          <w:szCs w:val="17"/>
          <w:color w:val="auto"/>
        </w:rPr>
        <w:t>Tyler Jacks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3" w:lineRule="exact"/>
        <w:rPr>
          <w:sz w:val="20"/>
          <w:szCs w:val="20"/>
          <w:color w:val="auto"/>
        </w:rPr>
      </w:pPr>
    </w:p>
    <w:p>
      <w:pPr>
        <w:ind w:left="440" w:right="20" w:hanging="324"/>
        <w:spacing w:after="0" w:line="201" w:lineRule="auto"/>
        <w:tabs>
          <w:tab w:leader="none" w:pos="44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With the exception of the use of a margin account to purchase our common stock in connection with the exercise of Amgen-granted stock options (</w:t>
      </w:r>
      <w:r>
        <w:rPr>
          <w:rFonts w:ascii="Arial" w:cs="Arial" w:eastAsia="Arial" w:hAnsi="Arial"/>
          <w:sz w:val="14"/>
          <w:szCs w:val="14"/>
          <w:i w:val="1"/>
          <w:iCs w:val="1"/>
          <w:color w:val="auto"/>
        </w:rPr>
        <w:t>i.e.</w:t>
      </w:r>
      <w:r>
        <w:rPr>
          <w:rFonts w:ascii="Arial" w:cs="Arial" w:eastAsia="Arial" w:hAnsi="Arial"/>
          <w:sz w:val="14"/>
          <w:szCs w:val="14"/>
          <w:color w:val="auto"/>
        </w:rPr>
        <w:t>, “cashless exercises”).</w:t>
      </w:r>
    </w:p>
    <w:p>
      <w:pPr>
        <w:spacing w:after="0" w:line="118"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205740</wp:posOffset>
            </wp:positionV>
            <wp:extent cx="4826000" cy="3689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826000" cy="368935"/>
                    </a:xfrm>
                    <a:prstGeom prst="rect">
                      <a:avLst/>
                    </a:prstGeom>
                    <a:noFill/>
                  </pic:spPr>
                </pic:pic>
              </a:graphicData>
            </a:graphic>
          </wp:anchor>
        </w:drawing>
      </w:r>
    </w:p>
    <w:p>
      <w:pPr>
        <w:spacing w:after="0" w:line="312" w:lineRule="exact"/>
        <w:rPr>
          <w:sz w:val="20"/>
          <w:szCs w:val="20"/>
          <w:color w:val="auto"/>
        </w:rPr>
      </w:pPr>
    </w:p>
    <w:p>
      <w:pPr>
        <w:jc w:val="center"/>
        <w:ind w:left="3480"/>
        <w:spacing w:after="0"/>
        <w:rPr>
          <w:sz w:val="20"/>
          <w:szCs w:val="20"/>
          <w:color w:val="auto"/>
        </w:rPr>
      </w:pPr>
      <w:r>
        <w:rPr>
          <w:rFonts w:ascii="Arial" w:cs="Arial" w:eastAsia="Arial" w:hAnsi="Arial"/>
          <w:sz w:val="21"/>
          <w:szCs w:val="21"/>
          <w:b w:val="1"/>
          <w:bCs w:val="1"/>
          <w:color w:val="FFFFFF"/>
        </w:rPr>
        <w:t>Item 2 — Advisory Vote on the Frequency of Future Stockholder Advisory</w:t>
      </w:r>
    </w:p>
    <w:p>
      <w:pPr>
        <w:spacing w:after="0" w:line="28" w:lineRule="exact"/>
        <w:rPr>
          <w:sz w:val="20"/>
          <w:szCs w:val="20"/>
          <w:color w:val="auto"/>
        </w:rPr>
      </w:pPr>
    </w:p>
    <w:p>
      <w:pPr>
        <w:jc w:val="center"/>
        <w:ind w:left="3480"/>
        <w:spacing w:after="0"/>
        <w:rPr>
          <w:sz w:val="20"/>
          <w:szCs w:val="20"/>
          <w:color w:val="auto"/>
        </w:rPr>
      </w:pPr>
      <w:r>
        <w:rPr>
          <w:rFonts w:ascii="Arial" w:cs="Arial" w:eastAsia="Arial" w:hAnsi="Arial"/>
          <w:sz w:val="22"/>
          <w:szCs w:val="22"/>
          <w:b w:val="1"/>
          <w:bCs w:val="1"/>
          <w:color w:val="FFFFFF"/>
        </w:rPr>
        <w:t>Votes to Approve Executive Compensation</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Item 2</w:t>
      </w:r>
    </w:p>
    <w:p>
      <w:pPr>
        <w:spacing w:after="0" w:line="218" w:lineRule="exact"/>
        <w:rPr>
          <w:sz w:val="20"/>
          <w:szCs w:val="20"/>
          <w:color w:val="auto"/>
        </w:rPr>
      </w:pPr>
    </w:p>
    <w:p>
      <w:pPr>
        <w:ind w:left="120" w:right="600"/>
        <w:spacing w:after="0" w:line="278" w:lineRule="auto"/>
        <w:rPr>
          <w:sz w:val="20"/>
          <w:szCs w:val="20"/>
          <w:color w:val="auto"/>
        </w:rPr>
      </w:pPr>
      <w:r>
        <w:rPr>
          <w:rFonts w:ascii="Arial" w:cs="Arial" w:eastAsia="Arial" w:hAnsi="Arial"/>
          <w:sz w:val="34"/>
          <w:szCs w:val="34"/>
          <w:b w:val="1"/>
          <w:bCs w:val="1"/>
          <w:color w:val="0171B9"/>
        </w:rPr>
        <w:t>Advisory Vote on the Frequency of Future Stockholder Advisory Votes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196"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In connection with the advisory vote on our executive compensation, Item 3, stockholders are also being asked to vote on the frequency of future stockholder advisory votes to approve executive compensation, as required by SEC rules. Stockholders may vote whether an advisory vote to approve our executive compensation should be held every year, every two years or every three years. Our current practice is to provide advisory votes on executive compensation every year.</w:t>
      </w:r>
    </w:p>
    <w:p>
      <w:pPr>
        <w:spacing w:after="0" w:line="97"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We believe that it is important to give our stockholders the opportunity to provide input on our executive compensation in a consistent and meaningful manner. As such, the Board believes that our stockholders should have the opportunity to voice their approval or disapproval of our executive compensation each year. The Board believes that annual votes will facilitate the highest level of accountability to, and communication with, our stockholders. Further, an annual vote clearly</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ties the advisory vote on executive compensation to the current year’s compensation disclosure and avoids the potential for confusion as to which year stockholders are being asked to evaluate and vote on that might exist with a biennial or triennial vote.</w:t>
      </w:r>
    </w:p>
    <w:p>
      <w:pPr>
        <w:spacing w:after="0" w:line="9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This vote is advisory and is not binding. However, the Board values the opinions expressed by our stockholders and will consider the outcome of the vote when determining the frequency with which advisory votes on executive compensation should be held. Stockholders are not being asked to approve or disapprove of the Board’s recommendation of an advisory vote on executive compensation every year, but rather to indicate their own choice among the frequency options for an advisory vote on executive compensation of every one year, every two years, or every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481330</wp:posOffset>
            </wp:positionV>
            <wp:extent cx="6998970" cy="4330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8970" cy="433070"/>
                    </a:xfrm>
                    <a:prstGeom prst="rect">
                      <a:avLst/>
                    </a:prstGeom>
                    <a:noFill/>
                  </pic:spPr>
                </pic:pic>
              </a:graphicData>
            </a:graphic>
          </wp:anchor>
        </w:drawing>
      </w:r>
    </w:p>
    <w:p>
      <w:pPr>
        <w:spacing w:after="0" w:line="576"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242" w:lineRule="exact"/>
        <w:rPr>
          <w:sz w:val="20"/>
          <w:szCs w:val="20"/>
          <w:color w:val="auto"/>
        </w:rPr>
      </w:pPr>
    </w:p>
    <w:p>
      <w:pPr>
        <w:ind w:left="240" w:right="140"/>
        <w:spacing w:after="0" w:line="275" w:lineRule="auto"/>
        <w:rPr>
          <w:sz w:val="20"/>
          <w:szCs w:val="20"/>
          <w:color w:val="auto"/>
        </w:rPr>
      </w:pPr>
      <w:r>
        <w:rPr>
          <w:rFonts w:ascii="Arial" w:cs="Arial" w:eastAsia="Arial" w:hAnsi="Arial"/>
          <w:sz w:val="21"/>
          <w:szCs w:val="21"/>
          <w:b w:val="1"/>
          <w:bCs w:val="1"/>
          <w:color w:val="0171B9"/>
        </w:rPr>
        <w:t>THE BOARD OF DIRECTORS RECOMMENDS THAT STOCKHOLDERS ELECT TO HAVE ADVISORY VOTES TO APPROVE EXECUTIVE COMPENSATION EVERY “ONE YEAR” FOR THE REASONS STATED ABOVE.</w:t>
      </w:r>
    </w:p>
    <w:p>
      <w:pPr>
        <w:spacing w:after="0" w:line="196"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40</w:t>
      </w:r>
      <w:r>
        <w:rPr>
          <w:sz w:val="20"/>
          <w:szCs w:val="20"/>
          <w:color w:val="auto"/>
        </w:rPr>
        <w:tab/>
      </w:r>
      <w:r>
        <w:rPr>
          <w:sz w:val="1"/>
          <w:szCs w:val="1"/>
          <w:color w:val="auto"/>
        </w:rPr>
        <w:drawing>
          <wp:inline distT="0" distB="0" distL="0" distR="0">
            <wp:extent cx="582930" cy="1371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205740</wp:posOffset>
            </wp:positionV>
            <wp:extent cx="4354830" cy="2146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54830" cy="214630"/>
                    </a:xfrm>
                    <a:prstGeom prst="rect">
                      <a:avLst/>
                    </a:prstGeom>
                    <a:noFill/>
                  </pic:spPr>
                </pic:pic>
              </a:graphicData>
            </a:graphic>
          </wp:anchor>
        </w:drawing>
      </w: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21"/>
          <w:szCs w:val="21"/>
          <w:b w:val="1"/>
          <w:bCs w:val="1"/>
          <w:color w:val="FFFFFF"/>
        </w:rPr>
        <w:t>Item 3 — Advisory Vote to Approve Our Executive Compensation</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Item 3</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34"/>
          <w:szCs w:val="34"/>
          <w:b w:val="1"/>
          <w:bCs w:val="1"/>
          <w:color w:val="0171B9"/>
        </w:rPr>
        <w:t>Advisory Vote to Approve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69951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319"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This advisory stockholder vote, commonly known as “Say on Pay,” gives you, as a stockholder, the opportunity to endorse or not endorse our executive pay program and policies. Accordingly, as required by Section 14A of the Securities and Exchange Act of 1934, as amended, you are being asked to cast an advisory vote on the compensation of our Named Executive Officers, or NEOs, as disclosed in the Compensation Discussion and Analysis (pages 42 through 74) and related compensation tables and the narrative in this proxy statement (pages 75 through 88). We urge stockholders to read the Compensation Discussion and Analysis section of this proxy statement, as well as the related tables and disclosures for a more complete understanding of how our executive compensation program operates.</w:t>
      </w:r>
    </w:p>
    <w:p>
      <w:pPr>
        <w:spacing w:after="0" w:line="98"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Our Board of Directors, or Board, believes that the 2022 compensation of our NEOs was appropriate, our current executive compensation program aligns the interests of our executives with those of our stockholders, and compensation outcomes are primarily based on the performance of our Company. We intend that our compensation programs reward actions and outcomes that are consistent with the sound operation of our Company, advance our strategy, and are aligned with the creation of long-term stockholder value.</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b w:val="1"/>
          <w:bCs w:val="1"/>
          <w:color w:val="auto"/>
        </w:rPr>
        <w:t>For these reasons and as discussed more fully in the Compensation Discussion and Analysis, the Board recommends that stockholders vote “FOR” the following resolution:</w:t>
      </w:r>
    </w:p>
    <w:p>
      <w:pPr>
        <w:spacing w:after="0" w:line="87"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“Resolved, that the stockholders approve, on an advisory basis, the compensation paid to the Company’s Named Executive Officers, as disclosed pursuant to Securities and Exchange Commission rules in the Compensation Discussion and Analysis, the compensation tables and the accompanying narrative disclosure of this proxy statement.”</w:t>
      </w:r>
    </w:p>
    <w:p>
      <w:pPr>
        <w:spacing w:after="0" w:line="96"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Although this vote is advisory and is not binding on the Board, our Compensation and Management Development Committee values the opinions expressed by our stockholders and will consider the outcome of the vote when making future executive compensation decisions.</w:t>
      </w:r>
    </w:p>
    <w:p>
      <w:pPr>
        <w:spacing w:after="0" w:line="95"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We currently conduct annual advisory votes on executive compensation, and we expect to conduct the next advisory vote on executive compensation at our 2024 annual meeting of stockholders, but will consider the outcome of the Advisory Vote on the Frequency of Future Stockholder Advisory Votes to Approve Executive Compensation, Item 2, when determining the frequency with which advisory votes on executive compensation should be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466090</wp:posOffset>
            </wp:positionV>
            <wp:extent cx="6998970" cy="4324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8970" cy="432435"/>
                    </a:xfrm>
                    <a:prstGeom prst="rect">
                      <a:avLst/>
                    </a:prstGeom>
                    <a:noFill/>
                  </pic:spPr>
                </pic:pic>
              </a:graphicData>
            </a:graphic>
          </wp:anchor>
        </w:drawing>
      </w:r>
    </w:p>
    <w:p>
      <w:pPr>
        <w:spacing w:after="0" w:line="554"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240" w:lineRule="exact"/>
        <w:rPr>
          <w:sz w:val="20"/>
          <w:szCs w:val="20"/>
          <w:color w:val="auto"/>
        </w:rPr>
      </w:pPr>
    </w:p>
    <w:p>
      <w:pPr>
        <w:ind w:left="240" w:right="140"/>
        <w:spacing w:after="0" w:line="275" w:lineRule="auto"/>
        <w:rPr>
          <w:sz w:val="20"/>
          <w:szCs w:val="20"/>
          <w:color w:val="auto"/>
        </w:rPr>
      </w:pPr>
      <w:r>
        <w:rPr>
          <w:rFonts w:ascii="Arial" w:cs="Arial" w:eastAsia="Arial" w:hAnsi="Arial"/>
          <w:sz w:val="21"/>
          <w:szCs w:val="21"/>
          <w:b w:val="1"/>
          <w:bCs w:val="1"/>
          <w:color w:val="0171B9"/>
        </w:rPr>
        <w:t>THE BOARD OF DIRECTORS RECOMMENDS A VOTE “FOR” THE APPROVAL OF THE ADVISORY RESOLUTION TO APPROVE THE COMPENSATION OF THE COMPANY’S NAMED EXECUTIVE OFFICERS.</w:t>
      </w:r>
    </w:p>
    <w:p>
      <w:pPr>
        <w:spacing w:after="0" w:line="196"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6960"/>
        <w:spacing w:after="0"/>
        <w:rPr>
          <w:sz w:val="20"/>
          <w:szCs w:val="20"/>
          <w:color w:val="auto"/>
        </w:rPr>
      </w:pPr>
      <w:r>
        <w:rPr>
          <w:rFonts w:ascii="Arial" w:cs="Arial" w:eastAsia="Arial" w:hAnsi="Arial"/>
          <w:sz w:val="21"/>
          <w:szCs w:val="21"/>
          <w:b w:val="1"/>
          <w:bCs w:val="1"/>
          <w:color w:val="FFFFFF"/>
          <w:shd w:val="clear" w:color="auto" w:fill="0171B9"/>
        </w:rPr>
        <w:t>Compensation Discussion and Analysis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4"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32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rPr>
              <w:t>Our Named Executive Officers</w:t>
            </w:r>
          </w:p>
        </w:tc>
        <w:tc>
          <w:tcPr>
            <w:tcW w:w="7460" w:type="dxa"/>
            <w:vAlign w:val="bottom"/>
            <w:gridSpan w:val="12"/>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36"/>
        </w:trPr>
        <w:tc>
          <w:tcPr>
            <w:tcW w:w="98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9"/>
              </w:rPr>
              <w:t>Our Strategy</w:t>
            </w:r>
          </w:p>
        </w:tc>
        <w:tc>
          <w:tcPr>
            <w:tcW w:w="8800" w:type="dxa"/>
            <w:vAlign w:val="bottom"/>
            <w:gridSpan w:val="13"/>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37"/>
        </w:trPr>
        <w:tc>
          <w:tcPr>
            <w:tcW w:w="7260" w:type="dxa"/>
            <w:vAlign w:val="bottom"/>
            <w:tcBorders>
              <w:bottom w:val="single" w:sz="8" w:color="0000EE"/>
            </w:tcBorders>
            <w:gridSpan w:val="12"/>
          </w:tcPr>
          <w:p>
            <w:pPr>
              <w:spacing w:after="0"/>
              <w:rPr>
                <w:sz w:val="20"/>
                <w:szCs w:val="20"/>
                <w:color w:val="auto"/>
              </w:rPr>
            </w:pPr>
            <w:r>
              <w:rPr>
                <w:rFonts w:ascii="Arial" w:cs="Arial" w:eastAsia="Arial" w:hAnsi="Arial"/>
                <w:sz w:val="17"/>
                <w:szCs w:val="17"/>
                <w:color w:val="0000EE"/>
              </w:rPr>
              <w:t>Our Approach to Environmental Sustainability, Social Responsibility, and Corporate Governance</w:t>
            </w:r>
          </w:p>
        </w:tc>
        <w:tc>
          <w:tcPr>
            <w:tcW w:w="2520" w:type="dxa"/>
            <w:vAlign w:val="bottom"/>
            <w:gridSpan w:val="2"/>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37"/>
        </w:trPr>
        <w:tc>
          <w:tcPr>
            <w:tcW w:w="258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9"/>
              </w:rPr>
              <w:t>Our Compensation Best Practices</w:t>
            </w:r>
          </w:p>
        </w:tc>
        <w:tc>
          <w:tcPr>
            <w:tcW w:w="7200" w:type="dxa"/>
            <w:vAlign w:val="bottom"/>
            <w:gridSpan w:val="10"/>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37"/>
        </w:trPr>
        <w:tc>
          <w:tcPr>
            <w:tcW w:w="238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rPr>
              <w:t>Aligning Pay With Performance</w:t>
            </w:r>
          </w:p>
        </w:tc>
        <w:tc>
          <w:tcPr>
            <w:tcW w:w="7400" w:type="dxa"/>
            <w:vAlign w:val="bottom"/>
            <w:gridSpan w:val="11"/>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36"/>
        </w:trPr>
        <w:tc>
          <w:tcPr>
            <w:tcW w:w="314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rPr>
              <w:t>Implementation of Our Strategic Priorities</w:t>
            </w:r>
          </w:p>
        </w:tc>
        <w:tc>
          <w:tcPr>
            <w:tcW w:w="6640" w:type="dxa"/>
            <w:vAlign w:val="bottom"/>
            <w:gridSpan w:val="8"/>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37"/>
        </w:trPr>
        <w:tc>
          <w:tcPr>
            <w:tcW w:w="3800" w:type="dxa"/>
            <w:vAlign w:val="bottom"/>
            <w:tcBorders>
              <w:bottom w:val="single" w:sz="8" w:color="0000EE"/>
            </w:tcBorders>
            <w:gridSpan w:val="7"/>
          </w:tcPr>
          <w:p>
            <w:pPr>
              <w:spacing w:after="0"/>
              <w:rPr>
                <w:sz w:val="20"/>
                <w:szCs w:val="20"/>
                <w:color w:val="auto"/>
              </w:rPr>
            </w:pPr>
            <w:r>
              <w:rPr>
                <w:rFonts w:ascii="Arial" w:cs="Arial" w:eastAsia="Arial" w:hAnsi="Arial"/>
                <w:sz w:val="17"/>
                <w:szCs w:val="17"/>
                <w:color w:val="0000EE"/>
                <w:w w:val="99"/>
              </w:rPr>
              <w:t>Long-Term Incentive Equity Award Design in 2022</w:t>
            </w:r>
          </w:p>
        </w:tc>
        <w:tc>
          <w:tcPr>
            <w:tcW w:w="5980" w:type="dxa"/>
            <w:vAlign w:val="bottom"/>
            <w:gridSpan w:val="7"/>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37"/>
        </w:trPr>
        <w:tc>
          <w:tcPr>
            <w:tcW w:w="9780" w:type="dxa"/>
            <w:vAlign w:val="bottom"/>
            <w:gridSpan w:val="14"/>
          </w:tcPr>
          <w:p>
            <w:pPr>
              <w:spacing w:after="0"/>
              <w:rPr>
                <w:sz w:val="20"/>
                <w:szCs w:val="20"/>
                <w:color w:val="auto"/>
              </w:rPr>
            </w:pPr>
            <w:r>
              <w:rPr>
                <w:rFonts w:ascii="Arial" w:cs="Arial" w:eastAsia="Arial" w:hAnsi="Arial"/>
                <w:sz w:val="17"/>
                <w:szCs w:val="17"/>
                <w:color w:val="0000EE"/>
              </w:rPr>
              <w:t>Positive 2022 Say on Pay Vote Outcome and Compensation Design Changes in Response to 2022 Stockholder Input</w:t>
            </w:r>
          </w:p>
        </w:tc>
        <w:tc>
          <w:tcPr>
            <w:tcW w:w="110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37"/>
        </w:trPr>
        <w:tc>
          <w:tcPr>
            <w:tcW w:w="8860" w:type="dxa"/>
            <w:vAlign w:val="bottom"/>
            <w:tcBorders>
              <w:top w:val="single" w:sz="8" w:color="0000EE"/>
            </w:tcBorders>
            <w:gridSpan w:val="13"/>
          </w:tcPr>
          <w:p>
            <w:pPr>
              <w:spacing w:after="0"/>
              <w:rPr>
                <w:sz w:val="20"/>
                <w:szCs w:val="20"/>
                <w:color w:val="auto"/>
              </w:rPr>
            </w:pPr>
            <w:r>
              <w:rPr>
                <w:rFonts w:ascii="Arial" w:cs="Arial" w:eastAsia="Arial" w:hAnsi="Arial"/>
                <w:sz w:val="17"/>
                <w:szCs w:val="17"/>
                <w:color w:val="0000EE"/>
              </w:rPr>
              <w:t>Our 2022 Compensation Program Highlights and Objectives</w:t>
            </w:r>
          </w:p>
        </w:tc>
        <w:tc>
          <w:tcPr>
            <w:tcW w:w="9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0"/>
        </w:trPr>
        <w:tc>
          <w:tcPr>
            <w:tcW w:w="232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9780" w:type="dxa"/>
            <w:vAlign w:val="bottom"/>
            <w:gridSpan w:val="14"/>
          </w:tcPr>
          <w:p>
            <w:pPr>
              <w:spacing w:after="0"/>
              <w:rPr>
                <w:sz w:val="20"/>
                <w:szCs w:val="20"/>
                <w:color w:val="auto"/>
              </w:rPr>
            </w:pPr>
            <w:r>
              <w:rPr>
                <w:rFonts w:ascii="Arial" w:cs="Arial" w:eastAsia="Arial" w:hAnsi="Arial"/>
                <w:sz w:val="17"/>
                <w:szCs w:val="17"/>
                <w:color w:val="0000EE"/>
              </w:rPr>
              <w:t>How Compensation Decisions Are Made For Our Named Executive Officers</w:t>
            </w:r>
          </w:p>
        </w:tc>
        <w:tc>
          <w:tcPr>
            <w:tcW w:w="110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36"/>
        </w:trPr>
        <w:tc>
          <w:tcPr>
            <w:tcW w:w="498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7"/>
                <w:szCs w:val="17"/>
                <w:color w:val="0000EE"/>
              </w:rPr>
              <w:t>Elements of Compensation and Specific Compensation Decisions</w:t>
            </w:r>
          </w:p>
        </w:tc>
        <w:tc>
          <w:tcPr>
            <w:tcW w:w="740" w:type="dxa"/>
            <w:vAlign w:val="bottom"/>
            <w:tcBorders>
              <w:top w:val="single" w:sz="8" w:color="0000EE"/>
            </w:tcBorders>
          </w:tcPr>
          <w:p>
            <w:pPr>
              <w:spacing w:after="0"/>
              <w:rPr>
                <w:sz w:val="20"/>
                <w:szCs w:val="20"/>
                <w:color w:val="auto"/>
              </w:rPr>
            </w:pPr>
          </w:p>
        </w:tc>
        <w:tc>
          <w:tcPr>
            <w:tcW w:w="4060" w:type="dxa"/>
            <w:vAlign w:val="bottom"/>
            <w:gridSpan w:val="3"/>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37"/>
        </w:trPr>
        <w:tc>
          <w:tcPr>
            <w:tcW w:w="9780" w:type="dxa"/>
            <w:vAlign w:val="bottom"/>
            <w:gridSpan w:val="14"/>
          </w:tcPr>
          <w:p>
            <w:pPr>
              <w:spacing w:after="0"/>
              <w:rPr>
                <w:sz w:val="20"/>
                <w:szCs w:val="20"/>
                <w:color w:val="auto"/>
              </w:rPr>
            </w:pPr>
            <w:r>
              <w:rPr>
                <w:rFonts w:ascii="Arial" w:cs="Arial" w:eastAsia="Arial" w:hAnsi="Arial"/>
                <w:sz w:val="17"/>
                <w:szCs w:val="17"/>
                <w:color w:val="0000EE"/>
              </w:rPr>
              <w:t>Compensation Policies and Practices</w:t>
            </w:r>
          </w:p>
        </w:tc>
        <w:tc>
          <w:tcPr>
            <w:tcW w:w="11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0"/>
        </w:trPr>
        <w:tc>
          <w:tcPr>
            <w:tcW w:w="232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9780" w:type="dxa"/>
            <w:vAlign w:val="bottom"/>
            <w:gridSpan w:val="14"/>
          </w:tcPr>
          <w:p>
            <w:pPr>
              <w:spacing w:after="0"/>
              <w:rPr>
                <w:sz w:val="20"/>
                <w:szCs w:val="20"/>
                <w:color w:val="auto"/>
              </w:rPr>
            </w:pPr>
            <w:r>
              <w:rPr>
                <w:rFonts w:ascii="Arial" w:cs="Arial" w:eastAsia="Arial" w:hAnsi="Arial"/>
                <w:sz w:val="17"/>
                <w:szCs w:val="17"/>
                <w:color w:val="0000EE"/>
              </w:rPr>
              <w:t>Non-Direct Compensation and Payouts in Certain Circumstances</w:t>
            </w:r>
          </w:p>
        </w:tc>
        <w:tc>
          <w:tcPr>
            <w:tcW w:w="110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37"/>
        </w:trPr>
        <w:tc>
          <w:tcPr>
            <w:tcW w:w="4920" w:type="dxa"/>
            <w:vAlign w:val="bottom"/>
            <w:tcBorders>
              <w:top w:val="single" w:sz="8" w:color="0000EE"/>
            </w:tcBorders>
            <w:gridSpan w:val="9"/>
          </w:tcPr>
          <w:p>
            <w:pPr>
              <w:spacing w:after="0"/>
              <w:rPr>
                <w:sz w:val="20"/>
                <w:szCs w:val="20"/>
                <w:color w:val="auto"/>
              </w:rPr>
            </w:pPr>
            <w:r>
              <w:rPr>
                <w:rFonts w:ascii="Arial" w:cs="Arial" w:eastAsia="Arial" w:hAnsi="Arial"/>
                <w:sz w:val="17"/>
                <w:szCs w:val="17"/>
                <w:color w:val="0000EE"/>
              </w:rPr>
              <w:t>Tax and Accounting Standards</w:t>
            </w:r>
          </w:p>
        </w:tc>
        <w:tc>
          <w:tcPr>
            <w:tcW w:w="4860" w:type="dxa"/>
            <w:vAlign w:val="bottom"/>
            <w:gridSpan w:val="5"/>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0"/>
        </w:trPr>
        <w:tc>
          <w:tcPr>
            <w:tcW w:w="9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15"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This Compensation Discussion and Analysis describes our compensation strategy, philosophy, policies, programs, and practices for our Named Executive Officers, or NEOs, and the executive positions they held in 2022 as set forth below.</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910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Title</w:t>
            </w:r>
          </w:p>
        </w:tc>
      </w:tr>
      <w:tr>
        <w:trPr>
          <w:trHeight w:val="246"/>
        </w:trPr>
        <w:tc>
          <w:tcPr>
            <w:tcW w:w="1920" w:type="dxa"/>
            <w:vAlign w:val="bottom"/>
          </w:tcPr>
          <w:p>
            <w:pPr>
              <w:spacing w:after="0"/>
              <w:rPr>
                <w:sz w:val="20"/>
                <w:szCs w:val="20"/>
                <w:color w:val="auto"/>
              </w:rPr>
            </w:pPr>
            <w:r>
              <w:rPr>
                <w:rFonts w:ascii="Arial" w:cs="Arial" w:eastAsia="Arial" w:hAnsi="Arial"/>
                <w:sz w:val="17"/>
                <w:szCs w:val="17"/>
                <w:b w:val="1"/>
                <w:bCs w:val="1"/>
                <w:color w:val="auto"/>
              </w:rPr>
              <w:t>Robert A. Bradway</w:t>
            </w:r>
          </w:p>
        </w:tc>
        <w:tc>
          <w:tcPr>
            <w:tcW w:w="9100" w:type="dxa"/>
            <w:vAlign w:val="bottom"/>
          </w:tcPr>
          <w:p>
            <w:pPr>
              <w:ind w:left="400"/>
              <w:spacing w:after="0"/>
              <w:rPr>
                <w:sz w:val="20"/>
                <w:szCs w:val="20"/>
                <w:color w:val="auto"/>
              </w:rPr>
            </w:pPr>
            <w:r>
              <w:rPr>
                <w:rFonts w:ascii="Arial" w:cs="Arial" w:eastAsia="Arial" w:hAnsi="Arial"/>
                <w:sz w:val="17"/>
                <w:szCs w:val="17"/>
                <w:color w:val="auto"/>
              </w:rPr>
              <w:t>Chief Executive Officer and President</w:t>
            </w:r>
          </w:p>
        </w:tc>
      </w:tr>
      <w:tr>
        <w:trPr>
          <w:trHeight w:val="297"/>
        </w:trPr>
        <w:tc>
          <w:tcPr>
            <w:tcW w:w="1920" w:type="dxa"/>
            <w:vAlign w:val="bottom"/>
          </w:tcPr>
          <w:p>
            <w:pPr>
              <w:spacing w:after="0"/>
              <w:rPr>
                <w:sz w:val="20"/>
                <w:szCs w:val="20"/>
                <w:color w:val="auto"/>
              </w:rPr>
            </w:pPr>
            <w:r>
              <w:rPr>
                <w:rFonts w:ascii="Arial" w:cs="Arial" w:eastAsia="Arial" w:hAnsi="Arial"/>
                <w:sz w:val="17"/>
                <w:szCs w:val="17"/>
                <w:b w:val="1"/>
                <w:bCs w:val="1"/>
                <w:color w:val="auto"/>
              </w:rPr>
              <w:t>Murdo Gordon</w:t>
            </w:r>
          </w:p>
        </w:tc>
        <w:tc>
          <w:tcPr>
            <w:tcW w:w="9100" w:type="dxa"/>
            <w:vAlign w:val="bottom"/>
          </w:tcPr>
          <w:p>
            <w:pPr>
              <w:ind w:left="400"/>
              <w:spacing w:after="0"/>
              <w:rPr>
                <w:sz w:val="20"/>
                <w:szCs w:val="20"/>
                <w:color w:val="auto"/>
              </w:rPr>
            </w:pPr>
            <w:r>
              <w:rPr>
                <w:rFonts w:ascii="Arial" w:cs="Arial" w:eastAsia="Arial" w:hAnsi="Arial"/>
                <w:sz w:val="17"/>
                <w:szCs w:val="17"/>
                <w:color w:val="auto"/>
              </w:rPr>
              <w:t>Executive Vice President, Global Commercial Operations</w:t>
            </w:r>
          </w:p>
        </w:tc>
      </w:tr>
      <w:tr>
        <w:trPr>
          <w:trHeight w:val="297"/>
        </w:trPr>
        <w:tc>
          <w:tcPr>
            <w:tcW w:w="1920" w:type="dxa"/>
            <w:vAlign w:val="bottom"/>
          </w:tcPr>
          <w:p>
            <w:pPr>
              <w:spacing w:after="0"/>
              <w:rPr>
                <w:sz w:val="20"/>
                <w:szCs w:val="20"/>
                <w:color w:val="auto"/>
              </w:rPr>
            </w:pPr>
            <w:r>
              <w:rPr>
                <w:rFonts w:ascii="Arial" w:cs="Arial" w:eastAsia="Arial" w:hAnsi="Arial"/>
                <w:sz w:val="17"/>
                <w:szCs w:val="17"/>
                <w:b w:val="1"/>
                <w:bCs w:val="1"/>
                <w:color w:val="auto"/>
              </w:rPr>
              <w:t>David M. Reese</w:t>
            </w:r>
          </w:p>
        </w:tc>
        <w:tc>
          <w:tcPr>
            <w:tcW w:w="9100" w:type="dxa"/>
            <w:vAlign w:val="bottom"/>
          </w:tcPr>
          <w:p>
            <w:pPr>
              <w:ind w:left="400"/>
              <w:spacing w:after="0"/>
              <w:rPr>
                <w:sz w:val="20"/>
                <w:szCs w:val="20"/>
                <w:color w:val="auto"/>
              </w:rPr>
            </w:pPr>
            <w:r>
              <w:rPr>
                <w:rFonts w:ascii="Arial" w:cs="Arial" w:eastAsia="Arial" w:hAnsi="Arial"/>
                <w:sz w:val="17"/>
                <w:szCs w:val="17"/>
                <w:color w:val="auto"/>
              </w:rPr>
              <w:t>Executive Vice President, Research and Development</w:t>
            </w:r>
          </w:p>
        </w:tc>
      </w:tr>
      <w:tr>
        <w:trPr>
          <w:trHeight w:val="297"/>
        </w:trPr>
        <w:tc>
          <w:tcPr>
            <w:tcW w:w="1920" w:type="dxa"/>
            <w:vAlign w:val="bottom"/>
          </w:tcPr>
          <w:p>
            <w:pPr>
              <w:spacing w:after="0"/>
              <w:rPr>
                <w:sz w:val="20"/>
                <w:szCs w:val="20"/>
                <w:color w:val="auto"/>
              </w:rPr>
            </w:pPr>
            <w:r>
              <w:rPr>
                <w:rFonts w:ascii="Arial" w:cs="Arial" w:eastAsia="Arial" w:hAnsi="Arial"/>
                <w:sz w:val="17"/>
                <w:szCs w:val="17"/>
                <w:b w:val="1"/>
                <w:bCs w:val="1"/>
                <w:color w:val="auto"/>
              </w:rPr>
              <w:t>Peter H. Griffith</w:t>
            </w:r>
          </w:p>
        </w:tc>
        <w:tc>
          <w:tcPr>
            <w:tcW w:w="9100" w:type="dxa"/>
            <w:vAlign w:val="bottom"/>
          </w:tcPr>
          <w:p>
            <w:pPr>
              <w:ind w:left="400"/>
              <w:spacing w:after="0"/>
              <w:rPr>
                <w:sz w:val="20"/>
                <w:szCs w:val="20"/>
                <w:color w:val="auto"/>
              </w:rPr>
            </w:pPr>
            <w:r>
              <w:rPr>
                <w:rFonts w:ascii="Arial" w:cs="Arial" w:eastAsia="Arial" w:hAnsi="Arial"/>
                <w:sz w:val="17"/>
                <w:szCs w:val="17"/>
                <w:color w:val="auto"/>
              </w:rPr>
              <w:t>Executive Vice President and Chief Financial Officer</w:t>
            </w:r>
          </w:p>
        </w:tc>
      </w:tr>
      <w:tr>
        <w:trPr>
          <w:trHeight w:val="297"/>
        </w:trPr>
        <w:tc>
          <w:tcPr>
            <w:tcW w:w="1920" w:type="dxa"/>
            <w:vAlign w:val="bottom"/>
          </w:tcPr>
          <w:p>
            <w:pPr>
              <w:spacing w:after="0"/>
              <w:rPr>
                <w:sz w:val="20"/>
                <w:szCs w:val="20"/>
                <w:color w:val="auto"/>
              </w:rPr>
            </w:pPr>
            <w:r>
              <w:rPr>
                <w:rFonts w:ascii="Arial" w:cs="Arial" w:eastAsia="Arial" w:hAnsi="Arial"/>
                <w:sz w:val="17"/>
                <w:szCs w:val="17"/>
                <w:b w:val="1"/>
                <w:bCs w:val="1"/>
                <w:color w:val="auto"/>
              </w:rPr>
              <w:t>Esteban Santos</w:t>
            </w:r>
          </w:p>
        </w:tc>
        <w:tc>
          <w:tcPr>
            <w:tcW w:w="9100" w:type="dxa"/>
            <w:vAlign w:val="bottom"/>
          </w:tcPr>
          <w:p>
            <w:pPr>
              <w:ind w:left="400"/>
              <w:spacing w:after="0"/>
              <w:rPr>
                <w:sz w:val="20"/>
                <w:szCs w:val="20"/>
                <w:color w:val="auto"/>
              </w:rPr>
            </w:pPr>
            <w:r>
              <w:rPr>
                <w:rFonts w:ascii="Arial" w:cs="Arial" w:eastAsia="Arial" w:hAnsi="Arial"/>
                <w:sz w:val="17"/>
                <w:szCs w:val="17"/>
                <w:color w:val="auto"/>
              </w:rPr>
              <w:t>Executive Vice President, Operations</w:t>
            </w:r>
          </w:p>
        </w:tc>
      </w:tr>
    </w:tbl>
    <w:p>
      <w:pPr>
        <w:spacing w:after="0" w:line="17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jc w:val="both"/>
        <w:ind w:left="120" w:right="20"/>
        <w:spacing w:after="0" w:line="243" w:lineRule="auto"/>
        <w:rPr>
          <w:sz w:val="20"/>
          <w:szCs w:val="20"/>
          <w:color w:val="auto"/>
        </w:rPr>
      </w:pPr>
      <w:r>
        <w:rPr>
          <w:rFonts w:ascii="Arial" w:cs="Arial" w:eastAsia="Arial" w:hAnsi="Arial"/>
          <w:sz w:val="17"/>
          <w:szCs w:val="17"/>
          <w:color w:val="auto"/>
        </w:rPr>
        <w:t>Our strategy includes integrated activities intended to strengthen our competitive position in the industry. Successful strategy requires constant rebalancing of resource allocation across the short-, medium-, and long-term.</w:t>
      </w:r>
    </w:p>
    <w:p>
      <w:pPr>
        <w:sectPr>
          <w:pgSz w:w="11900" w:h="16838" w:orient="portrait"/>
          <w:cols w:equalWidth="0" w:num="1">
            <w:col w:w="11140"/>
          </w:cols>
          <w:pgMar w:left="320" w:top="486" w:right="439" w:bottom="1440" w:gutter="0" w:footer="0" w:header="0"/>
        </w:sectPr>
      </w:pPr>
    </w:p>
    <w:p>
      <w:pPr>
        <w:spacing w:after="0" w:line="17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How Our Board Oversees Our Strategy</w:t>
      </w:r>
    </w:p>
    <w:p>
      <w:pPr>
        <w:spacing w:after="0" w:line="183"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Our Board of Directors, or Board, possesses a deep and broad set of skills and experiences that facilitate strong oversight of our strategic direction. Our Board engages in regular reviews of our strategy throughout the year and dedicates one meeting to a comprehensive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review of our strategy and goals for the business for the short-, medium-, and long-term. The Company’s management is then charged with implementing the business strategy as informed by the Board’s review.</w:t>
      </w:r>
    </w:p>
    <w:p>
      <w:pPr>
        <w:spacing w:after="0" w:line="200"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60"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42</w:t>
      </w:r>
      <w:r>
        <w:rPr>
          <w:sz w:val="20"/>
          <w:szCs w:val="20"/>
          <w:color w:val="auto"/>
        </w:rPr>
        <w:tab/>
      </w:r>
      <w:r>
        <w:rPr>
          <w:sz w:val="1"/>
          <w:szCs w:val="1"/>
          <w:color w:val="auto"/>
        </w:rPr>
        <w:drawing>
          <wp:inline distT="0" distB="0" distL="0" distR="0">
            <wp:extent cx="582930" cy="13716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6960"/>
        <w:spacing w:after="0"/>
        <w:rPr>
          <w:sz w:val="20"/>
          <w:szCs w:val="20"/>
          <w:color w:val="auto"/>
        </w:rPr>
      </w:pPr>
      <w:r>
        <w:rPr>
          <w:rFonts w:ascii="Arial" w:cs="Arial" w:eastAsia="Arial" w:hAnsi="Arial"/>
          <w:sz w:val="21"/>
          <w:szCs w:val="21"/>
          <w:b w:val="1"/>
          <w:bCs w:val="1"/>
          <w:color w:val="FFFFFF"/>
          <w:shd w:val="clear" w:color="auto" w:fill="0171B9"/>
        </w:rPr>
        <w:t>Compensation Discussion and Analysis</w:t>
      </w:r>
    </w:p>
    <w:p>
      <w:pPr>
        <w:spacing w:after="0" w:line="35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2022 Activities Supporting Execution of Our Strategy</w:t>
      </w:r>
    </w:p>
    <w:p>
      <w:pPr>
        <w:spacing w:after="0" w:line="115"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Select 2022 activities that support the execution of our strategic priorities and delivery of performance are summarized below and discussed further in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146685</wp:posOffset>
            </wp:positionV>
            <wp:extent cx="6849110" cy="431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49110" cy="4318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1280" w:type="dxa"/>
            <w:vAlign w:val="bottom"/>
            <w:shd w:val="clear" w:color="auto" w:fill="0171B9"/>
          </w:tcPr>
          <w:p>
            <w:pPr>
              <w:spacing w:after="0"/>
              <w:rPr>
                <w:sz w:val="20"/>
                <w:szCs w:val="20"/>
                <w:color w:val="auto"/>
              </w:rPr>
            </w:pPr>
            <w:r>
              <w:rPr>
                <w:rFonts w:ascii="Arial" w:cs="Arial" w:eastAsia="Arial" w:hAnsi="Arial"/>
                <w:sz w:val="14"/>
                <w:szCs w:val="14"/>
                <w:b w:val="1"/>
                <w:bCs w:val="1"/>
                <w:color w:val="FFFFFF"/>
                <w:shd w:val="clear" w:color="auto" w:fill="0171B9"/>
              </w:rPr>
              <w:t>Strategic Priorities</w:t>
            </w:r>
          </w:p>
        </w:tc>
        <w:tc>
          <w:tcPr>
            <w:tcW w:w="2160" w:type="dxa"/>
            <w:vAlign w:val="bottom"/>
          </w:tcPr>
          <w:p>
            <w:pPr>
              <w:ind w:left="1380"/>
              <w:spacing w:after="0"/>
              <w:rPr>
                <w:sz w:val="20"/>
                <w:szCs w:val="20"/>
                <w:color w:val="auto"/>
              </w:rPr>
            </w:pPr>
            <w:r>
              <w:rPr>
                <w:rFonts w:ascii="Arial" w:cs="Arial" w:eastAsia="Arial" w:hAnsi="Arial"/>
                <w:sz w:val="14"/>
                <w:szCs w:val="14"/>
                <w:b w:val="1"/>
                <w:bCs w:val="1"/>
                <w:color w:val="FFFFFF"/>
              </w:rPr>
              <w:t>Importance</w:t>
            </w:r>
          </w:p>
        </w:tc>
      </w:tr>
    </w:tbl>
    <w:p>
      <w:pPr>
        <w:spacing w:after="0" w:line="234" w:lineRule="exact"/>
        <w:rPr>
          <w:sz w:val="20"/>
          <w:szCs w:val="20"/>
          <w:color w:val="auto"/>
        </w:rPr>
      </w:pPr>
    </w:p>
    <w:p>
      <w:pPr>
        <w:jc w:val="both"/>
        <w:ind w:left="1500"/>
        <w:spacing w:after="0" w:line="244" w:lineRule="auto"/>
        <w:rPr>
          <w:sz w:val="20"/>
          <w:szCs w:val="20"/>
          <w:color w:val="auto"/>
        </w:rPr>
      </w:pPr>
      <w:r>
        <w:rPr>
          <w:rFonts w:ascii="Arial" w:cs="Arial" w:eastAsia="Arial" w:hAnsi="Arial"/>
          <w:sz w:val="14"/>
          <w:szCs w:val="14"/>
          <w:color w:val="auto"/>
        </w:rPr>
        <w:t>Innovation is at the core of our strategy. Our focus on developing innovative medicines to address important unmet needs guides how we allocate resources across internal and external programs. This results in a productive balance of internal and external programs and collaborations reflected in our current product portfolio and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320"/>
        <w:spacing w:after="0"/>
        <w:rPr>
          <w:sz w:val="20"/>
          <w:szCs w:val="20"/>
          <w:color w:val="auto"/>
        </w:rPr>
      </w:pPr>
      <w:r>
        <w:rPr>
          <w:rFonts w:ascii="Arial" w:cs="Arial" w:eastAsia="Arial" w:hAnsi="Arial"/>
          <w:sz w:val="14"/>
          <w:szCs w:val="14"/>
          <w:b w:val="1"/>
          <w:bCs w:val="1"/>
          <w:color w:val="FFFFFF"/>
        </w:rPr>
        <w:t>Internal and</w:t>
      </w:r>
    </w:p>
    <w:p>
      <w:pPr>
        <w:spacing w:after="0" w:line="19" w:lineRule="exact"/>
        <w:rPr>
          <w:sz w:val="20"/>
          <w:szCs w:val="20"/>
          <w:color w:val="auto"/>
        </w:rPr>
      </w:pPr>
    </w:p>
    <w:p>
      <w:pPr>
        <w:jc w:val="center"/>
        <w:ind w:right="3320"/>
        <w:spacing w:after="0"/>
        <w:rPr>
          <w:sz w:val="20"/>
          <w:szCs w:val="20"/>
          <w:color w:val="auto"/>
        </w:rPr>
      </w:pPr>
      <w:r>
        <w:rPr>
          <w:rFonts w:ascii="Arial" w:cs="Arial" w:eastAsia="Arial" w:hAnsi="Arial"/>
          <w:sz w:val="14"/>
          <w:szCs w:val="14"/>
          <w:b w:val="1"/>
          <w:bCs w:val="1"/>
          <w:color w:val="FFFFFF"/>
        </w:rPr>
        <w:t>External</w:t>
      </w:r>
    </w:p>
    <w:p>
      <w:pPr>
        <w:spacing w:after="0" w:line="1" w:lineRule="exact"/>
        <w:rPr>
          <w:sz w:val="20"/>
          <w:szCs w:val="20"/>
          <w:color w:val="auto"/>
        </w:rPr>
      </w:pPr>
    </w:p>
    <w:p>
      <w:pPr>
        <w:jc w:val="center"/>
        <w:ind w:right="3320"/>
        <w:spacing w:after="0"/>
        <w:rPr>
          <w:sz w:val="20"/>
          <w:szCs w:val="20"/>
          <w:color w:val="auto"/>
        </w:rPr>
      </w:pPr>
      <w:r>
        <w:rPr>
          <w:rFonts w:ascii="Arial" w:cs="Arial" w:eastAsia="Arial" w:hAnsi="Arial"/>
          <w:sz w:val="14"/>
          <w:szCs w:val="14"/>
          <w:b w:val="1"/>
          <w:bCs w:val="1"/>
          <w:color w:val="FFFFFF"/>
        </w:rPr>
        <w:t>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2458085</wp:posOffset>
            </wp:positionV>
            <wp:extent cx="7715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FFFFFF"/>
        </w:rPr>
        <w:t>Select 2022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-93345</wp:posOffset>
            </wp:positionV>
            <wp:extent cx="6858000" cy="5469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00" cy="5469255"/>
                    </a:xfrm>
                    <a:prstGeom prst="rect">
                      <a:avLst/>
                    </a:prstGeom>
                    <a:noFill/>
                  </pic:spPr>
                </pic:pic>
              </a:graphicData>
            </a:graphic>
          </wp:anchor>
        </w:drawing>
      </w:r>
    </w:p>
    <w:p>
      <w:pPr>
        <w:spacing w:after="0" w:line="238" w:lineRule="exact"/>
        <w:rPr>
          <w:sz w:val="20"/>
          <w:szCs w:val="20"/>
          <w:color w:val="auto"/>
        </w:rPr>
      </w:pPr>
    </w:p>
    <w:p>
      <w:pPr>
        <w:ind w:left="140" w:right="360" w:hanging="143"/>
        <w:spacing w:after="0" w:line="254" w:lineRule="auto"/>
        <w:rPr>
          <w:sz w:val="20"/>
          <w:szCs w:val="20"/>
          <w:color w:val="auto"/>
        </w:rPr>
      </w:pPr>
      <w:r>
        <w:rPr>
          <w:rFonts w:ascii="Arial" w:cs="Arial" w:eastAsia="Arial" w:hAnsi="Arial"/>
          <w:sz w:val="14"/>
          <w:szCs w:val="14"/>
          <w:b w:val="1"/>
          <w:bCs w:val="1"/>
          <w:color w:val="0171B9"/>
        </w:rPr>
        <w:t xml:space="preserve">•   Executed key clinical studies </w:t>
      </w:r>
      <w:r>
        <w:rPr>
          <w:rFonts w:ascii="Arial" w:cs="Arial" w:eastAsia="Arial" w:hAnsi="Arial"/>
          <w:sz w:val="14"/>
          <w:szCs w:val="14"/>
          <w:color w:val="000000"/>
        </w:rPr>
        <w:t>and</w:t>
      </w:r>
      <w:r>
        <w:rPr>
          <w:rFonts w:ascii="Arial" w:cs="Arial" w:eastAsia="Arial" w:hAnsi="Arial"/>
          <w:sz w:val="14"/>
          <w:szCs w:val="14"/>
          <w:b w:val="1"/>
          <w:bCs w:val="1"/>
          <w:color w:val="0171B9"/>
        </w:rPr>
        <w:t xml:space="preserve"> advanced innovative first-in-class pipeline delivering positive results:</w:t>
      </w:r>
    </w:p>
    <w:p>
      <w:pPr>
        <w:ind w:left="140"/>
        <w:spacing w:after="0" w:line="231" w:lineRule="auto"/>
        <w:rPr>
          <w:sz w:val="20"/>
          <w:szCs w:val="20"/>
          <w:color w:val="auto"/>
        </w:rPr>
      </w:pPr>
      <w:r>
        <w:rPr>
          <w:rFonts w:ascii="Arial" w:cs="Arial" w:eastAsia="Arial" w:hAnsi="Arial"/>
          <w:sz w:val="14"/>
          <w:szCs w:val="14"/>
          <w:b w:val="1"/>
          <w:bCs w:val="1"/>
          <w:color w:val="0171B9"/>
        </w:rPr>
        <w:t>–</w:t>
      </w:r>
      <w:r>
        <w:rPr>
          <w:rFonts w:ascii="Arial" w:cs="Arial" w:eastAsia="Arial" w:hAnsi="Arial"/>
          <w:sz w:val="14"/>
          <w:szCs w:val="14"/>
          <w:color w:val="000000"/>
        </w:rPr>
        <w:t>  In our</w:t>
      </w:r>
      <w:r>
        <w:rPr>
          <w:rFonts w:ascii="Arial" w:cs="Arial" w:eastAsia="Arial" w:hAnsi="Arial"/>
          <w:sz w:val="14"/>
          <w:szCs w:val="14"/>
          <w:b w:val="1"/>
          <w:bCs w:val="1"/>
          <w:color w:val="0171B9"/>
        </w:rPr>
        <w:t xml:space="preserve"> inflammation </w:t>
      </w:r>
      <w:r>
        <w:rPr>
          <w:rFonts w:ascii="Arial" w:cs="Arial" w:eastAsia="Arial" w:hAnsi="Arial"/>
          <w:sz w:val="14"/>
          <w:szCs w:val="14"/>
          <w:color w:val="000000"/>
        </w:rPr>
        <w:t>therapeutic area:</w:t>
      </w:r>
    </w:p>
    <w:p>
      <w:pPr>
        <w:jc w:val="both"/>
        <w:ind w:left="580" w:right="280" w:hanging="160"/>
        <w:spacing w:after="0" w:line="193" w:lineRule="auto"/>
        <w:rPr>
          <w:sz w:val="20"/>
          <w:szCs w:val="20"/>
          <w:color w:val="auto"/>
        </w:rPr>
      </w:pPr>
      <w:r>
        <w:rPr>
          <w:rFonts w:ascii="Arial" w:cs="Arial" w:eastAsia="Arial" w:hAnsi="Arial"/>
          <w:sz w:val="14"/>
          <w:szCs w:val="14"/>
          <w:color w:val="auto"/>
        </w:rPr>
        <w:t xml:space="preserve">–   Phase 3 studies investigating </w:t>
      </w:r>
      <w:r>
        <w:rPr>
          <w:rFonts w:ascii="Arial" w:cs="Arial" w:eastAsia="Arial" w:hAnsi="Arial"/>
          <w:sz w:val="14"/>
          <w:szCs w:val="14"/>
          <w:b w:val="1"/>
          <w:bCs w:val="1"/>
          <w:color w:val="0171B9"/>
        </w:rPr>
        <w:t>TEZSPIRE</w:t>
      </w:r>
      <w:r>
        <w:rPr>
          <w:rFonts w:ascii="Arial" w:cs="Arial" w:eastAsia="Arial" w:hAnsi="Arial"/>
          <w:sz w:val="21"/>
          <w:szCs w:val="21"/>
          <w:b w:val="1"/>
          <w:bCs w:val="1"/>
          <w:color w:val="0171B9"/>
          <w:vertAlign w:val="superscript"/>
        </w:rPr>
        <w:t>®</w:t>
      </w:r>
      <w:r>
        <w:rPr>
          <w:rFonts w:ascii="Arial" w:cs="Arial" w:eastAsia="Arial" w:hAnsi="Arial"/>
          <w:sz w:val="21"/>
          <w:szCs w:val="21"/>
          <w:color w:val="auto"/>
          <w:vertAlign w:val="superscript"/>
        </w:rPr>
        <w:t>(1)</w:t>
      </w:r>
      <w:r>
        <w:rPr>
          <w:rFonts w:ascii="Arial" w:cs="Arial" w:eastAsia="Arial" w:hAnsi="Arial"/>
          <w:sz w:val="14"/>
          <w:szCs w:val="14"/>
          <w:color w:val="auto"/>
        </w:rPr>
        <w:t xml:space="preserve"> as a treatment in patients with severe asthma, and in patients with eosinophilic esophagitis were initiated; and</w:t>
      </w:r>
    </w:p>
    <w:p>
      <w:pPr>
        <w:jc w:val="both"/>
        <w:ind w:left="580" w:right="280" w:hanging="160"/>
        <w:spacing w:after="0" w:line="210" w:lineRule="auto"/>
        <w:rPr>
          <w:sz w:val="20"/>
          <w:szCs w:val="20"/>
          <w:color w:val="auto"/>
        </w:rPr>
      </w:pPr>
      <w:r>
        <w:rPr>
          <w:rFonts w:ascii="Arial" w:cs="Arial" w:eastAsia="Arial" w:hAnsi="Arial"/>
          <w:sz w:val="14"/>
          <w:szCs w:val="14"/>
          <w:color w:val="auto"/>
        </w:rPr>
        <w:t>–   For</w:t>
      </w:r>
      <w:r>
        <w:rPr>
          <w:sz w:val="20"/>
          <w:szCs w:val="20"/>
          <w:color w:val="auto"/>
        </w:rPr>
        <w:t xml:space="preserve"> </w:t>
      </w:r>
      <w:r>
        <w:rPr>
          <w:rFonts w:ascii="Arial" w:cs="Arial" w:eastAsia="Arial" w:hAnsi="Arial"/>
          <w:sz w:val="14"/>
          <w:szCs w:val="14"/>
          <w:b w:val="1"/>
          <w:bCs w:val="1"/>
          <w:color w:val="0171B9"/>
        </w:rPr>
        <w:t>rocatinlimab</w:t>
      </w:r>
      <w:r>
        <w:rPr>
          <w:rFonts w:ascii="Arial" w:cs="Arial" w:eastAsia="Arial" w:hAnsi="Arial"/>
          <w:sz w:val="21"/>
          <w:szCs w:val="21"/>
          <w:color w:val="000000"/>
          <w:vertAlign w:val="superscript"/>
        </w:rPr>
        <w:t>(2)</w:t>
      </w:r>
      <w:r>
        <w:rPr>
          <w:rFonts w:ascii="Arial" w:cs="Arial" w:eastAsia="Arial" w:hAnsi="Arial"/>
          <w:sz w:val="14"/>
          <w:szCs w:val="14"/>
          <w:color w:val="000000"/>
        </w:rPr>
        <w:t>, based on the positive Phase 2 study results that</w:t>
      </w:r>
      <w:r>
        <w:rPr>
          <w:rFonts w:ascii="Arial" w:cs="Arial" w:eastAsia="Arial" w:hAnsi="Arial"/>
          <w:sz w:val="14"/>
          <w:szCs w:val="14"/>
          <w:b w:val="1"/>
          <w:bCs w:val="1"/>
          <w:color w:val="0171B9"/>
        </w:rPr>
        <w:t xml:space="preserve"> </w:t>
      </w:r>
      <w:r>
        <w:rPr>
          <w:rFonts w:ascii="Arial" w:cs="Arial" w:eastAsia="Arial" w:hAnsi="Arial"/>
          <w:sz w:val="14"/>
          <w:szCs w:val="14"/>
          <w:color w:val="000000"/>
        </w:rPr>
        <w:t>demonstrated improvement in patients with moderate to severe atopic dermatitis, we initiated the Phase 3 ROCKET program.</w:t>
      </w:r>
    </w:p>
    <w:p>
      <w:pPr>
        <w:ind w:left="140"/>
        <w:spacing w:after="0" w:line="231" w:lineRule="auto"/>
        <w:rPr>
          <w:sz w:val="20"/>
          <w:szCs w:val="20"/>
          <w:color w:val="auto"/>
        </w:rPr>
      </w:pPr>
      <w:r>
        <w:rPr>
          <w:rFonts w:ascii="Arial" w:cs="Arial" w:eastAsia="Arial" w:hAnsi="Arial"/>
          <w:sz w:val="14"/>
          <w:szCs w:val="14"/>
          <w:b w:val="1"/>
          <w:bCs w:val="1"/>
          <w:color w:val="0171B9"/>
        </w:rPr>
        <w:t>–</w:t>
      </w:r>
      <w:r>
        <w:rPr>
          <w:rFonts w:ascii="Arial" w:cs="Arial" w:eastAsia="Arial" w:hAnsi="Arial"/>
          <w:sz w:val="14"/>
          <w:szCs w:val="14"/>
          <w:color w:val="000000"/>
        </w:rPr>
        <w:t>  In our</w:t>
      </w:r>
      <w:r>
        <w:rPr>
          <w:rFonts w:ascii="Arial" w:cs="Arial" w:eastAsia="Arial" w:hAnsi="Arial"/>
          <w:sz w:val="14"/>
          <w:szCs w:val="14"/>
          <w:b w:val="1"/>
          <w:bCs w:val="1"/>
          <w:color w:val="0171B9"/>
        </w:rPr>
        <w:t xml:space="preserve"> cardiovascular </w:t>
      </w:r>
      <w:r>
        <w:rPr>
          <w:rFonts w:ascii="Arial" w:cs="Arial" w:eastAsia="Arial" w:hAnsi="Arial"/>
          <w:sz w:val="14"/>
          <w:szCs w:val="14"/>
          <w:color w:val="000000"/>
        </w:rPr>
        <w:t>therapeutic area:</w:t>
      </w:r>
    </w:p>
    <w:p>
      <w:pPr>
        <w:jc w:val="both"/>
        <w:ind w:left="580" w:right="280" w:hanging="160"/>
        <w:spacing w:after="0" w:line="221" w:lineRule="auto"/>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 xml:space="preserve">   For</w:t>
      </w:r>
      <w:r>
        <w:rPr>
          <w:rFonts w:ascii="Arial" w:cs="Arial" w:eastAsia="Arial" w:hAnsi="Arial"/>
          <w:sz w:val="14"/>
          <w:szCs w:val="14"/>
          <w:b w:val="1"/>
          <w:bCs w:val="1"/>
          <w:color w:val="auto"/>
        </w:rPr>
        <w:t xml:space="preserve"> </w:t>
      </w:r>
      <w:r>
        <w:rPr>
          <w:rFonts w:ascii="Arial" w:cs="Arial" w:eastAsia="Arial" w:hAnsi="Arial"/>
          <w:sz w:val="14"/>
          <w:szCs w:val="14"/>
          <w:b w:val="1"/>
          <w:bCs w:val="1"/>
          <w:color w:val="0171B9"/>
        </w:rPr>
        <w:t>Repatha</w:t>
      </w:r>
      <w:r>
        <w:rPr>
          <w:rFonts w:ascii="Arial" w:cs="Arial" w:eastAsia="Arial" w:hAnsi="Arial"/>
          <w:sz w:val="21"/>
          <w:szCs w:val="21"/>
          <w:b w:val="1"/>
          <w:bCs w:val="1"/>
          <w:color w:val="0171B9"/>
          <w:vertAlign w:val="superscript"/>
        </w:rPr>
        <w:t>®</w:t>
      </w:r>
      <w:r>
        <w:rPr>
          <w:rFonts w:ascii="Arial" w:cs="Arial" w:eastAsia="Arial" w:hAnsi="Arial"/>
          <w:sz w:val="14"/>
          <w:szCs w:val="14"/>
          <w:color w:val="auto"/>
        </w:rPr>
        <w:t>, open label extension studies to our Phase 3 FOURIER</w:t>
      </w:r>
      <w:r>
        <w:rPr>
          <w:rFonts w:ascii="Arial" w:cs="Arial" w:eastAsia="Arial" w:hAnsi="Arial"/>
          <w:sz w:val="14"/>
          <w:szCs w:val="14"/>
          <w:b w:val="1"/>
          <w:bCs w:val="1"/>
          <w:color w:val="auto"/>
        </w:rPr>
        <w:t xml:space="preserve"> </w:t>
      </w:r>
      <w:r>
        <w:rPr>
          <w:rFonts w:ascii="Arial" w:cs="Arial" w:eastAsia="Arial" w:hAnsi="Arial"/>
          <w:sz w:val="14"/>
          <w:szCs w:val="14"/>
          <w:color w:val="auto"/>
        </w:rPr>
        <w:t>cardiovascular outcomes trial of patients with atherosclerotic cardiovascular disease (ASCVD) who were already receiving statin therapy showed that Repatha was safe and well-tolerated for more than eight years and that earlier initiation of Repatha resulted in reduction in adverse cardiovascular outcomes;</w:t>
      </w:r>
    </w:p>
    <w:p>
      <w:pPr>
        <w:spacing w:after="0" w:line="3" w:lineRule="exact"/>
        <w:rPr>
          <w:sz w:val="20"/>
          <w:szCs w:val="20"/>
          <w:color w:val="auto"/>
        </w:rPr>
      </w:pPr>
    </w:p>
    <w:p>
      <w:pPr>
        <w:jc w:val="both"/>
        <w:ind w:left="580" w:right="280" w:hanging="160"/>
        <w:spacing w:after="0" w:line="241" w:lineRule="auto"/>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 xml:space="preserve">   For</w:t>
      </w:r>
      <w:r>
        <w:rPr>
          <w:rFonts w:ascii="Arial" w:cs="Arial" w:eastAsia="Arial" w:hAnsi="Arial"/>
          <w:sz w:val="14"/>
          <w:szCs w:val="14"/>
          <w:b w:val="1"/>
          <w:bCs w:val="1"/>
          <w:color w:val="auto"/>
        </w:rPr>
        <w:t xml:space="preserve"> </w:t>
      </w:r>
      <w:r>
        <w:rPr>
          <w:rFonts w:ascii="Arial" w:cs="Arial" w:eastAsia="Arial" w:hAnsi="Arial"/>
          <w:sz w:val="14"/>
          <w:szCs w:val="14"/>
          <w:b w:val="1"/>
          <w:bCs w:val="1"/>
          <w:color w:val="0171B9"/>
        </w:rPr>
        <w:t>Olpasiran</w:t>
      </w:r>
      <w:r>
        <w:rPr>
          <w:rFonts w:ascii="Arial" w:cs="Arial" w:eastAsia="Arial" w:hAnsi="Arial"/>
          <w:sz w:val="14"/>
          <w:szCs w:val="14"/>
          <w:color w:val="auto"/>
        </w:rPr>
        <w:t>, based on the positive Phase 2 study results evaluating olpasiran</w:t>
      </w:r>
      <w:r>
        <w:rPr>
          <w:rFonts w:ascii="Arial" w:cs="Arial" w:eastAsia="Arial" w:hAnsi="Arial"/>
          <w:sz w:val="14"/>
          <w:szCs w:val="14"/>
          <w:b w:val="1"/>
          <w:bCs w:val="1"/>
          <w:color w:val="auto"/>
        </w:rPr>
        <w:t xml:space="preserve"> </w:t>
      </w:r>
      <w:r>
        <w:rPr>
          <w:rFonts w:ascii="Arial" w:cs="Arial" w:eastAsia="Arial" w:hAnsi="Arial"/>
          <w:sz w:val="14"/>
          <w:szCs w:val="14"/>
          <w:color w:val="auto"/>
        </w:rPr>
        <w:t>in patients with elevated lipoprotein(a) (Lp(a)) that demonstrated rapid, significant, and sustained reduction in Lp(a), we initiated a Phase 3 cardiovascular outcomes trial; and</w:t>
      </w:r>
    </w:p>
    <w:p>
      <w:pPr>
        <w:spacing w:after="0" w:line="1" w:lineRule="exact"/>
        <w:rPr>
          <w:sz w:val="20"/>
          <w:szCs w:val="20"/>
          <w:color w:val="auto"/>
        </w:rPr>
      </w:pPr>
    </w:p>
    <w:p>
      <w:pPr>
        <w:jc w:val="both"/>
        <w:ind w:left="580" w:right="280" w:hanging="160"/>
        <w:spacing w:after="0" w:line="241" w:lineRule="auto"/>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 xml:space="preserve">   For</w:t>
      </w:r>
      <w:r>
        <w:rPr>
          <w:rFonts w:ascii="Arial" w:cs="Arial" w:eastAsia="Arial" w:hAnsi="Arial"/>
          <w:sz w:val="14"/>
          <w:szCs w:val="14"/>
          <w:b w:val="1"/>
          <w:bCs w:val="1"/>
          <w:color w:val="auto"/>
        </w:rPr>
        <w:t xml:space="preserve"> </w:t>
      </w:r>
      <w:r>
        <w:rPr>
          <w:rFonts w:ascii="Arial" w:cs="Arial" w:eastAsia="Arial" w:hAnsi="Arial"/>
          <w:sz w:val="14"/>
          <w:szCs w:val="14"/>
          <w:b w:val="1"/>
          <w:bCs w:val="1"/>
          <w:color w:val="0171B9"/>
        </w:rPr>
        <w:t>AMG 133</w:t>
      </w:r>
      <w:r>
        <w:rPr>
          <w:rFonts w:ascii="Arial" w:cs="Arial" w:eastAsia="Arial" w:hAnsi="Arial"/>
          <w:sz w:val="14"/>
          <w:szCs w:val="14"/>
          <w:color w:val="auto"/>
        </w:rPr>
        <w:t>, based on our positive Phase 1 study results that demonstrated</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dose-dependent weight-loss in obese patients, we initiated a Phase 2 study to further evaluate the efficacy, safety, and tolerability of AMG 133 in overweight or obese patients with or without type 2 diabetes mellitus.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171B9"/>
        </w:rPr>
        <w:t>–</w:t>
      </w:r>
      <w:r>
        <w:rPr>
          <w:rFonts w:ascii="Arial" w:cs="Arial" w:eastAsia="Arial" w:hAnsi="Arial"/>
          <w:sz w:val="14"/>
          <w:szCs w:val="14"/>
          <w:color w:val="000000"/>
        </w:rPr>
        <w:t>  In our</w:t>
      </w:r>
      <w:r>
        <w:rPr>
          <w:rFonts w:ascii="Arial" w:cs="Arial" w:eastAsia="Arial" w:hAnsi="Arial"/>
          <w:sz w:val="14"/>
          <w:szCs w:val="14"/>
          <w:b w:val="1"/>
          <w:bCs w:val="1"/>
          <w:color w:val="0171B9"/>
        </w:rPr>
        <w:t xml:space="preserve"> oncology </w:t>
      </w:r>
      <w:r>
        <w:rPr>
          <w:rFonts w:ascii="Arial" w:cs="Arial" w:eastAsia="Arial" w:hAnsi="Arial"/>
          <w:sz w:val="14"/>
          <w:szCs w:val="14"/>
          <w:color w:val="000000"/>
        </w:rPr>
        <w:t>therapeutic area:</w:t>
      </w:r>
    </w:p>
    <w:p>
      <w:pPr>
        <w:spacing w:after="0" w:line="1" w:lineRule="exact"/>
        <w:rPr>
          <w:sz w:val="20"/>
          <w:szCs w:val="20"/>
          <w:color w:val="auto"/>
        </w:rPr>
      </w:pPr>
    </w:p>
    <w:p>
      <w:pPr>
        <w:jc w:val="both"/>
        <w:ind w:left="580" w:right="280" w:hanging="160"/>
        <w:spacing w:after="0" w:line="241" w:lineRule="auto"/>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 xml:space="preserve">   For</w:t>
      </w:r>
      <w:r>
        <w:rPr>
          <w:rFonts w:ascii="Arial" w:cs="Arial" w:eastAsia="Arial" w:hAnsi="Arial"/>
          <w:sz w:val="14"/>
          <w:szCs w:val="14"/>
          <w:b w:val="1"/>
          <w:bCs w:val="1"/>
          <w:color w:val="auto"/>
        </w:rPr>
        <w:t xml:space="preserve"> </w:t>
      </w:r>
      <w:r>
        <w:rPr>
          <w:rFonts w:ascii="Arial" w:cs="Arial" w:eastAsia="Arial" w:hAnsi="Arial"/>
          <w:sz w:val="14"/>
          <w:szCs w:val="14"/>
          <w:b w:val="1"/>
          <w:bCs w:val="1"/>
          <w:color w:val="0171B9"/>
        </w:rPr>
        <w:t>bemarituzumab</w:t>
      </w:r>
      <w:r>
        <w:rPr>
          <w:rFonts w:ascii="Arial" w:cs="Arial" w:eastAsia="Arial" w:hAnsi="Arial"/>
          <w:sz w:val="14"/>
          <w:szCs w:val="14"/>
          <w:color w:val="auto"/>
        </w:rPr>
        <w:t>, based on positive Phase 2 study results that demonstrated</w:t>
      </w:r>
      <w:r>
        <w:rPr>
          <w:rFonts w:ascii="Arial" w:cs="Arial" w:eastAsia="Arial" w:hAnsi="Arial"/>
          <w:sz w:val="14"/>
          <w:szCs w:val="14"/>
          <w:b w:val="1"/>
          <w:bCs w:val="1"/>
          <w:color w:val="auto"/>
        </w:rPr>
        <w:t xml:space="preserve"> </w:t>
      </w:r>
      <w:r>
        <w:rPr>
          <w:rFonts w:ascii="Arial" w:cs="Arial" w:eastAsia="Arial" w:hAnsi="Arial"/>
          <w:sz w:val="14"/>
          <w:szCs w:val="14"/>
          <w:color w:val="auto"/>
        </w:rPr>
        <w:t>improvements in patients with human epidermal growth factor receptor 2 negative FGFR2b-positive advanced gastric and gastroesophageal junction cancers, we initiated a Phase 3 study;</w:t>
      </w:r>
    </w:p>
    <w:p>
      <w:pPr>
        <w:spacing w:after="0" w:line="1" w:lineRule="exact"/>
        <w:rPr>
          <w:sz w:val="20"/>
          <w:szCs w:val="20"/>
          <w:color w:val="auto"/>
        </w:rPr>
      </w:pPr>
    </w:p>
    <w:p>
      <w:pPr>
        <w:jc w:val="both"/>
        <w:ind w:left="580" w:right="280" w:hanging="160"/>
        <w:spacing w:after="0" w:line="238" w:lineRule="auto"/>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For</w:t>
      </w:r>
      <w:r>
        <w:rPr>
          <w:rFonts w:ascii="Arial" w:cs="Arial" w:eastAsia="Arial" w:hAnsi="Arial"/>
          <w:sz w:val="14"/>
          <w:szCs w:val="14"/>
          <w:b w:val="1"/>
          <w:bCs w:val="1"/>
          <w:color w:val="auto"/>
        </w:rPr>
        <w:t xml:space="preserve"> </w:t>
      </w:r>
      <w:r>
        <w:rPr>
          <w:rFonts w:ascii="Arial" w:cs="Arial" w:eastAsia="Arial" w:hAnsi="Arial"/>
          <w:sz w:val="14"/>
          <w:szCs w:val="14"/>
          <w:b w:val="1"/>
          <w:bCs w:val="1"/>
          <w:color w:val="0171B9"/>
        </w:rPr>
        <w:t>tarlatamab</w:t>
      </w:r>
      <w:r>
        <w:rPr>
          <w:rFonts w:ascii="Arial" w:cs="Arial" w:eastAsia="Arial" w:hAnsi="Arial"/>
          <w:sz w:val="14"/>
          <w:szCs w:val="14"/>
          <w:color w:val="auto"/>
        </w:rPr>
        <w:t>, based on our positive Phase 1 study results that demonstrated</w:t>
      </w:r>
      <w:r>
        <w:rPr>
          <w:rFonts w:ascii="Arial" w:cs="Arial" w:eastAsia="Arial" w:hAnsi="Arial"/>
          <w:sz w:val="14"/>
          <w:szCs w:val="14"/>
          <w:b w:val="1"/>
          <w:bCs w:val="1"/>
          <w:color w:val="auto"/>
        </w:rPr>
        <w:t xml:space="preserve"> </w:t>
      </w:r>
      <w:r>
        <w:rPr>
          <w:rFonts w:ascii="Arial" w:cs="Arial" w:eastAsia="Arial" w:hAnsi="Arial"/>
          <w:sz w:val="14"/>
          <w:szCs w:val="14"/>
          <w:color w:val="auto"/>
        </w:rPr>
        <w:t>encouraging antitumor activity in small cell lung cancer (SCLC), we initiated a potentially registrational Phase 2 study of tarlatamab in third-line treatment of SCLC;</w:t>
      </w:r>
    </w:p>
    <w:p>
      <w:pPr>
        <w:spacing w:after="0" w:line="1" w:lineRule="exact"/>
        <w:rPr>
          <w:sz w:val="20"/>
          <w:szCs w:val="20"/>
          <w:color w:val="auto"/>
        </w:rPr>
      </w:pPr>
    </w:p>
    <w:p>
      <w:pPr>
        <w:jc w:val="both"/>
        <w:ind w:left="580" w:right="280" w:hanging="160"/>
        <w:spacing w:after="0" w:line="214" w:lineRule="auto"/>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For</w:t>
      </w:r>
      <w:r>
        <w:rPr>
          <w:rFonts w:ascii="Arial" w:cs="Arial" w:eastAsia="Arial" w:hAnsi="Arial"/>
          <w:sz w:val="14"/>
          <w:szCs w:val="14"/>
          <w:b w:val="1"/>
          <w:bCs w:val="1"/>
          <w:color w:val="auto"/>
        </w:rPr>
        <w:t xml:space="preserve"> </w:t>
      </w:r>
      <w:r>
        <w:rPr>
          <w:rFonts w:ascii="Arial" w:cs="Arial" w:eastAsia="Arial" w:hAnsi="Arial"/>
          <w:sz w:val="14"/>
          <w:szCs w:val="14"/>
          <w:b w:val="1"/>
          <w:bCs w:val="1"/>
          <w:color w:val="0171B9"/>
        </w:rPr>
        <w:t>BLINCYTO</w:t>
      </w:r>
      <w:r>
        <w:rPr>
          <w:rFonts w:ascii="Arial" w:cs="Arial" w:eastAsia="Arial" w:hAnsi="Arial"/>
          <w:sz w:val="21"/>
          <w:szCs w:val="21"/>
          <w:b w:val="1"/>
          <w:bCs w:val="1"/>
          <w:color w:val="0171B9"/>
          <w:vertAlign w:val="superscript"/>
        </w:rPr>
        <w:t>®</w:t>
      </w:r>
      <w:r>
        <w:rPr>
          <w:rFonts w:ascii="Arial" w:cs="Arial" w:eastAsia="Arial" w:hAnsi="Arial"/>
          <w:sz w:val="14"/>
          <w:szCs w:val="14"/>
          <w:color w:val="auto"/>
        </w:rPr>
        <w:t>, a registration enabling study demonstrated superior overall</w:t>
      </w:r>
      <w:r>
        <w:rPr>
          <w:rFonts w:ascii="Arial" w:cs="Arial" w:eastAsia="Arial" w:hAnsi="Arial"/>
          <w:sz w:val="14"/>
          <w:szCs w:val="14"/>
          <w:b w:val="1"/>
          <w:bCs w:val="1"/>
          <w:color w:val="auto"/>
        </w:rPr>
        <w:t xml:space="preserve"> </w:t>
      </w:r>
      <w:r>
        <w:rPr>
          <w:rFonts w:ascii="Arial" w:cs="Arial" w:eastAsia="Arial" w:hAnsi="Arial"/>
          <w:sz w:val="14"/>
          <w:szCs w:val="14"/>
          <w:color w:val="auto"/>
        </w:rPr>
        <w:t>survival with Blincyto treatment added to chemotherapy versus standard of care in newly diagnosed minimal residual disease (MRD)-negative patients with Philadelphia chromosome-negative B-acute lymphoblastic leukemia (ALL); and</w:t>
      </w:r>
    </w:p>
    <w:p>
      <w:pPr>
        <w:spacing w:after="0" w:line="2" w:lineRule="exact"/>
        <w:rPr>
          <w:sz w:val="20"/>
          <w:szCs w:val="20"/>
          <w:color w:val="auto"/>
        </w:rPr>
      </w:pPr>
    </w:p>
    <w:p>
      <w:pPr>
        <w:jc w:val="both"/>
        <w:ind w:left="580" w:right="280" w:hanging="160"/>
        <w:spacing w:after="0" w:line="208" w:lineRule="auto"/>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For</w:t>
      </w:r>
      <w:r>
        <w:rPr>
          <w:rFonts w:ascii="Arial" w:cs="Arial" w:eastAsia="Arial" w:hAnsi="Arial"/>
          <w:sz w:val="14"/>
          <w:szCs w:val="14"/>
          <w:b w:val="1"/>
          <w:bCs w:val="1"/>
          <w:color w:val="auto"/>
        </w:rPr>
        <w:t xml:space="preserve"> </w:t>
      </w:r>
      <w:r>
        <w:rPr>
          <w:rFonts w:ascii="Arial" w:cs="Arial" w:eastAsia="Arial" w:hAnsi="Arial"/>
          <w:sz w:val="14"/>
          <w:szCs w:val="14"/>
          <w:b w:val="1"/>
          <w:bCs w:val="1"/>
          <w:color w:val="0171B9"/>
        </w:rPr>
        <w:t>LUMAKRAS</w:t>
      </w:r>
      <w:r>
        <w:rPr>
          <w:rFonts w:ascii="Arial" w:cs="Arial" w:eastAsia="Arial" w:hAnsi="Arial"/>
          <w:sz w:val="21"/>
          <w:szCs w:val="21"/>
          <w:b w:val="1"/>
          <w:bCs w:val="1"/>
          <w:color w:val="0171B9"/>
          <w:vertAlign w:val="superscript"/>
        </w:rPr>
        <w:t>®</w:t>
      </w:r>
      <w:r>
        <w:rPr>
          <w:rFonts w:ascii="Arial" w:cs="Arial" w:eastAsia="Arial" w:hAnsi="Arial"/>
          <w:sz w:val="14"/>
          <w:szCs w:val="14"/>
          <w:b w:val="1"/>
          <w:bCs w:val="1"/>
          <w:color w:val="0171B9"/>
        </w:rPr>
        <w:t>/LUMYKRAS</w:t>
      </w:r>
      <w:r>
        <w:rPr>
          <w:rFonts w:ascii="Arial" w:cs="Arial" w:eastAsia="Arial" w:hAnsi="Arial"/>
          <w:sz w:val="21"/>
          <w:szCs w:val="21"/>
          <w:b w:val="1"/>
          <w:bCs w:val="1"/>
          <w:color w:val="0171B9"/>
          <w:vertAlign w:val="superscript"/>
        </w:rPr>
        <w:t>®</w:t>
      </w:r>
      <w:r>
        <w:rPr>
          <w:rFonts w:ascii="Arial" w:cs="Arial" w:eastAsia="Arial" w:hAnsi="Arial"/>
          <w:sz w:val="14"/>
          <w:szCs w:val="14"/>
          <w:color w:val="auto"/>
        </w:rPr>
        <w:t>, the global Phase 3 CodeBreaK 200 trial</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demonstrated superior progression-free survival and a significantly higher objective response rate in patients with KRAS G12C-mutated non-small cell lung cancer (NSCLC) compared with standard of care. To further investigate Lumakras in combination with </w:t>
      </w:r>
      <w:r>
        <w:rPr>
          <w:rFonts w:ascii="Arial" w:cs="Arial" w:eastAsia="Arial" w:hAnsi="Arial"/>
          <w:sz w:val="14"/>
          <w:szCs w:val="14"/>
          <w:b w:val="1"/>
          <w:bCs w:val="1"/>
          <w:color w:val="0171B9"/>
        </w:rPr>
        <w:t>Vectibix</w:t>
      </w:r>
      <w:r>
        <w:rPr>
          <w:rFonts w:ascii="Arial" w:cs="Arial" w:eastAsia="Arial" w:hAnsi="Arial"/>
          <w:sz w:val="21"/>
          <w:szCs w:val="21"/>
          <w:b w:val="1"/>
          <w:bCs w:val="1"/>
          <w:color w:val="0171B9"/>
          <w:vertAlign w:val="superscript"/>
        </w:rPr>
        <w:t>®</w:t>
      </w:r>
      <w:r>
        <w:rPr>
          <w:rFonts w:ascii="Arial" w:cs="Arial" w:eastAsia="Arial" w:hAnsi="Arial"/>
          <w:sz w:val="14"/>
          <w:szCs w:val="14"/>
          <w:color w:val="auto"/>
        </w:rPr>
        <w:t xml:space="preserve"> versus standard of care in patients with third-line metastatic colorectal cancer (mCRC), we initiated a Phase 3 study.</w:t>
      </w:r>
    </w:p>
    <w:p>
      <w:pPr>
        <w:spacing w:after="0" w:line="3" w:lineRule="exact"/>
        <w:rPr>
          <w:sz w:val="20"/>
          <w:szCs w:val="20"/>
          <w:color w:val="auto"/>
        </w:rPr>
      </w:pPr>
    </w:p>
    <w:p>
      <w:pPr>
        <w:jc w:val="both"/>
        <w:ind w:left="300" w:right="360" w:hanging="143"/>
        <w:spacing w:after="0" w:line="219" w:lineRule="auto"/>
        <w:rPr>
          <w:sz w:val="20"/>
          <w:szCs w:val="20"/>
          <w:color w:val="auto"/>
        </w:rPr>
      </w:pPr>
      <w:r>
        <w:rPr>
          <w:rFonts w:ascii="Arial" w:cs="Arial" w:eastAsia="Arial" w:hAnsi="Arial"/>
          <w:sz w:val="14"/>
          <w:szCs w:val="14"/>
          <w:b w:val="1"/>
          <w:bCs w:val="1"/>
          <w:color w:val="0171B9"/>
        </w:rPr>
        <w:t>–</w:t>
      </w:r>
      <w:r>
        <w:rPr>
          <w:rFonts w:ascii="Arial" w:cs="Arial" w:eastAsia="Arial" w:hAnsi="Arial"/>
          <w:sz w:val="14"/>
          <w:szCs w:val="14"/>
          <w:color w:val="000000"/>
        </w:rPr>
        <w:t>  We strengthened our portfolio with our</w:t>
      </w:r>
      <w:r>
        <w:rPr>
          <w:rFonts w:ascii="Arial" w:cs="Arial" w:eastAsia="Arial" w:hAnsi="Arial"/>
          <w:sz w:val="14"/>
          <w:szCs w:val="14"/>
          <w:b w:val="1"/>
          <w:bCs w:val="1"/>
          <w:color w:val="0171B9"/>
        </w:rPr>
        <w:t xml:space="preserve"> acquisition of ChemoCentryx, Inc. </w:t>
      </w:r>
      <w:r>
        <w:rPr>
          <w:rFonts w:ascii="Arial" w:cs="Arial" w:eastAsia="Arial" w:hAnsi="Arial"/>
          <w:sz w:val="14"/>
          <w:szCs w:val="14"/>
          <w:color w:val="000000"/>
        </w:rPr>
        <w:t>and</w:t>
      </w:r>
      <w:r>
        <w:rPr>
          <w:rFonts w:ascii="Arial" w:cs="Arial" w:eastAsia="Arial" w:hAnsi="Arial"/>
          <w:sz w:val="14"/>
          <w:szCs w:val="14"/>
          <w:b w:val="1"/>
          <w:bCs w:val="1"/>
          <w:color w:val="0171B9"/>
        </w:rPr>
        <w:t xml:space="preserve"> </w:t>
      </w:r>
      <w:r>
        <w:rPr>
          <w:rFonts w:ascii="Arial" w:cs="Arial" w:eastAsia="Arial" w:hAnsi="Arial"/>
          <w:sz w:val="14"/>
          <w:szCs w:val="14"/>
          <w:color w:val="000000"/>
        </w:rPr>
        <w:t xml:space="preserve">obtained </w:t>
      </w:r>
      <w:r>
        <w:rPr>
          <w:rFonts w:ascii="Arial" w:cs="Arial" w:eastAsia="Arial" w:hAnsi="Arial"/>
          <w:sz w:val="14"/>
          <w:szCs w:val="14"/>
          <w:b w:val="1"/>
          <w:bCs w:val="1"/>
          <w:color w:val="0171B9"/>
        </w:rPr>
        <w:t>TAVNEOS</w:t>
      </w:r>
      <w:r>
        <w:rPr>
          <w:rFonts w:ascii="Arial" w:cs="Arial" w:eastAsia="Arial" w:hAnsi="Arial"/>
          <w:sz w:val="21"/>
          <w:szCs w:val="21"/>
          <w:b w:val="1"/>
          <w:bCs w:val="1"/>
          <w:color w:val="0171B9"/>
          <w:vertAlign w:val="superscript"/>
        </w:rPr>
        <w:t>®</w:t>
      </w:r>
      <w:r>
        <w:rPr>
          <w:rFonts w:ascii="Arial" w:cs="Arial" w:eastAsia="Arial" w:hAnsi="Arial"/>
          <w:sz w:val="14"/>
          <w:szCs w:val="14"/>
          <w:color w:val="000000"/>
        </w:rPr>
        <w:t>, the first approved orally-administered treatment for adult patients with severe active anti-neutrophil cytoplasmic autoantibody (ANCA) vasculitis, an autoimmune disease that leads to inflammation and eventual destruction of small blood vessels.</w:t>
      </w:r>
    </w:p>
    <w:p>
      <w:pPr>
        <w:spacing w:after="0" w:line="2" w:lineRule="exact"/>
        <w:rPr>
          <w:sz w:val="20"/>
          <w:szCs w:val="20"/>
          <w:color w:val="auto"/>
        </w:rPr>
      </w:pPr>
    </w:p>
    <w:p>
      <w:pPr>
        <w:jc w:val="both"/>
        <w:ind w:left="300" w:right="360" w:hanging="143"/>
        <w:spacing w:after="0" w:line="241" w:lineRule="auto"/>
        <w:rPr>
          <w:sz w:val="20"/>
          <w:szCs w:val="20"/>
          <w:color w:val="auto"/>
        </w:rPr>
      </w:pPr>
      <w:r>
        <w:rPr>
          <w:rFonts w:ascii="Arial" w:cs="Arial" w:eastAsia="Arial" w:hAnsi="Arial"/>
          <w:sz w:val="14"/>
          <w:szCs w:val="14"/>
          <w:b w:val="1"/>
          <w:bCs w:val="1"/>
          <w:color w:val="0171B9"/>
        </w:rPr>
        <w:t>–</w:t>
      </w:r>
      <w:r>
        <w:rPr>
          <w:rFonts w:ascii="Arial" w:cs="Arial" w:eastAsia="Arial" w:hAnsi="Arial"/>
          <w:sz w:val="14"/>
          <w:szCs w:val="14"/>
          <w:color w:val="000000"/>
        </w:rPr>
        <w:t>  We entered into an</w:t>
      </w:r>
      <w:r>
        <w:rPr>
          <w:rFonts w:ascii="Arial" w:cs="Arial" w:eastAsia="Arial" w:hAnsi="Arial"/>
          <w:sz w:val="14"/>
          <w:szCs w:val="14"/>
          <w:b w:val="1"/>
          <w:bCs w:val="1"/>
          <w:color w:val="0171B9"/>
        </w:rPr>
        <w:t xml:space="preserve"> agreement to acquire Horizon Therapeutics plc</w:t>
      </w:r>
      <w:r>
        <w:rPr>
          <w:rFonts w:ascii="Arial" w:cs="Arial" w:eastAsia="Arial" w:hAnsi="Arial"/>
          <w:sz w:val="14"/>
          <w:szCs w:val="14"/>
          <w:color w:val="000000"/>
        </w:rPr>
        <w:t>, a</w:t>
      </w:r>
      <w:r>
        <w:rPr>
          <w:rFonts w:ascii="Arial" w:cs="Arial" w:eastAsia="Arial" w:hAnsi="Arial"/>
          <w:sz w:val="14"/>
          <w:szCs w:val="14"/>
          <w:b w:val="1"/>
          <w:bCs w:val="1"/>
          <w:color w:val="0171B9"/>
        </w:rPr>
        <w:t xml:space="preserve"> </w:t>
      </w:r>
      <w:r>
        <w:rPr>
          <w:rFonts w:ascii="Arial" w:cs="Arial" w:eastAsia="Arial" w:hAnsi="Arial"/>
          <w:sz w:val="14"/>
          <w:szCs w:val="14"/>
          <w:color w:val="000000"/>
        </w:rPr>
        <w:t>biotechnology company focused on first-in-class or best-in-class innovative medicines that address rare autoimmune diseases, including TEPEZZA</w:t>
      </w:r>
      <w:r>
        <w:rPr>
          <w:rFonts w:ascii="Arial" w:cs="Arial" w:eastAsia="Arial" w:hAnsi="Arial"/>
          <w:sz w:val="21"/>
          <w:szCs w:val="21"/>
          <w:color w:val="000000"/>
          <w:vertAlign w:val="superscript"/>
        </w:rPr>
        <w:t>®</w:t>
      </w:r>
      <w:r>
        <w:rPr>
          <w:rFonts w:ascii="Arial" w:cs="Arial" w:eastAsia="Arial" w:hAnsi="Arial"/>
          <w:sz w:val="14"/>
          <w:szCs w:val="14"/>
          <w:color w:val="000000"/>
        </w:rPr>
        <w:t>, KRYSTEXXA</w:t>
      </w:r>
      <w:r>
        <w:rPr>
          <w:rFonts w:ascii="Arial" w:cs="Arial" w:eastAsia="Arial" w:hAnsi="Arial"/>
          <w:sz w:val="21"/>
          <w:szCs w:val="21"/>
          <w:color w:val="000000"/>
          <w:vertAlign w:val="superscript"/>
        </w:rPr>
        <w:t>®</w:t>
      </w:r>
      <w:r>
        <w:rPr>
          <w:rFonts w:ascii="Arial" w:cs="Arial" w:eastAsia="Arial" w:hAnsi="Arial"/>
          <w:sz w:val="14"/>
          <w:szCs w:val="14"/>
          <w:color w:val="000000"/>
        </w:rPr>
        <w:t>, and UPLIZNA</w:t>
      </w:r>
      <w:r>
        <w:rPr>
          <w:rFonts w:ascii="Arial" w:cs="Arial" w:eastAsia="Arial" w:hAnsi="Arial"/>
          <w:sz w:val="21"/>
          <w:szCs w:val="21"/>
          <w:color w:val="000000"/>
          <w:vertAlign w:val="superscript"/>
        </w:rPr>
        <w:t>®</w:t>
      </w:r>
      <w:r>
        <w:rPr>
          <w:rFonts w:ascii="Arial" w:cs="Arial" w:eastAsia="Arial" w:hAnsi="Arial"/>
          <w:sz w:val="14"/>
          <w:szCs w:val="14"/>
          <w:color w:val="000000"/>
        </w:rPr>
        <w:t>.</w:t>
      </w:r>
    </w:p>
    <w:p>
      <w:pPr>
        <w:spacing w:after="0" w:line="200" w:lineRule="exact"/>
        <w:rPr>
          <w:sz w:val="20"/>
          <w:szCs w:val="20"/>
          <w:color w:val="auto"/>
        </w:rPr>
      </w:pPr>
    </w:p>
    <w:p>
      <w:pPr>
        <w:sectPr>
          <w:pgSz w:w="11900" w:h="16838" w:orient="portrait"/>
          <w:cols w:equalWidth="0" w:num="2">
            <w:col w:w="4840" w:space="240"/>
            <w:col w:w="6060"/>
          </w:cols>
          <w:pgMar w:left="320" w:top="486" w:right="439" w:bottom="1440" w:gutter="0" w:footer="0" w:header="0"/>
          <w:type w:val="continuous"/>
        </w:sectPr>
      </w:pPr>
    </w:p>
    <w:p>
      <w:pPr>
        <w:spacing w:after="0" w:line="210"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TEZSPIRE is being developed in collaboration with AstraZeneca.</w:t>
      </w:r>
    </w:p>
    <w:p>
      <w:pPr>
        <w:ind w:left="540" w:hanging="424"/>
        <w:spacing w:after="0" w:line="189" w:lineRule="auto"/>
        <w:tabs>
          <w:tab w:leader="none" w:pos="54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Rocatinlimab is being developed in collaboration with Kyowa Kirin Co., Ltd.</w:t>
      </w:r>
    </w:p>
    <w:p>
      <w:pPr>
        <w:spacing w:after="0" w:line="117"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shd w:val="clear" w:color="auto" w:fill="0171B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849110" cy="431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49110" cy="43180"/>
                    </a:xfrm>
                    <a:prstGeom prst="rect">
                      <a:avLst/>
                    </a:prstGeom>
                    <a:noFill/>
                  </pic:spPr>
                </pic:pic>
              </a:graphicData>
            </a:graphic>
          </wp:anchor>
        </w:drawing>
      </w:r>
    </w:p>
    <w:p>
      <w:pPr>
        <w:sectPr>
          <w:pgSz w:w="11900" w:h="16838" w:orient="portrait"/>
          <w:cols w:equalWidth="0" w:num="1">
            <w:col w:w="11060"/>
          </w:cols>
          <w:pgMar w:left="320" w:top="486" w:right="51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FFFFFF"/>
          <w:shd w:val="clear" w:color="auto" w:fill="0171B9"/>
        </w:rPr>
        <w:t>Strategic Priorities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FFFFFF"/>
        </w:rPr>
        <w:t>Branded</w:t>
      </w:r>
    </w:p>
    <w:p>
      <w:pPr>
        <w:spacing w:after="0" w:line="19"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FFFFFF"/>
        </w:rPr>
        <w:t>Biosimilars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FFFFFF"/>
        </w:rPr>
        <w:t>Global</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FFFFFF"/>
        </w:rPr>
        <w:t>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FFFFFF"/>
        </w:rPr>
        <w:t>Manufacturing</w:t>
      </w:r>
    </w:p>
    <w:p>
      <w:pPr>
        <w:spacing w:after="0" w:line="19"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FFFFFF"/>
        </w:rPr>
        <w:t>Excellence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FFFFFF"/>
        </w:rPr>
        <w:t>Continuous</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FFFFFF"/>
        </w:rPr>
        <w:t>Improvement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FFFFFF"/>
        </w:rPr>
        <w:t>Return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497840</wp:posOffset>
            </wp:positionV>
            <wp:extent cx="7715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Importance</w:t>
      </w:r>
    </w:p>
    <w:p>
      <w:pPr>
        <w:spacing w:after="0" w:line="276"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Our branded biosimilars are fully integrated with, and supported by, our biologic development, manufacturing and global commercial operations capabilities. We use the same development and manufacturing processes, scientific standards, quality systems, and supply chain for our biosimilars as we do for our innovative biologics. Further, the same global commercial team members who interact with providers on our proprietary branded portfolio also represent our branded biosimilars.</w:t>
      </w:r>
    </w:p>
    <w:p>
      <w:pPr>
        <w:spacing w:after="0" w:line="200" w:lineRule="exact"/>
        <w:rPr>
          <w:sz w:val="20"/>
          <w:szCs w:val="20"/>
          <w:color w:val="auto"/>
        </w:rPr>
      </w:pPr>
    </w:p>
    <w:p>
      <w:pPr>
        <w:spacing w:after="0" w:line="262"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We are leveraging our global presence to serve patients and customers globally and international expansion is an important part of our growth strategy. Amgen medicines are available to patients in approximately 100 countries worldwide.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 xml:space="preserve">We are pioneering advanced technologies and implementing more environmentally responsible approaches throughout the Company to increase operational efficiency and reduce our environmental impact. </w:t>
      </w:r>
      <w:r>
        <w:rPr>
          <w:rFonts w:ascii="Arial" w:cs="Arial" w:eastAsia="Arial" w:hAnsi="Arial"/>
          <w:sz w:val="14"/>
          <w:szCs w:val="14"/>
          <w:b w:val="1"/>
          <w:bCs w:val="1"/>
          <w:color w:val="0171B9"/>
        </w:rPr>
        <w:t>Amgen Ecovation</w:t>
      </w:r>
      <w:r>
        <w:rPr>
          <w:rFonts w:ascii="Arial" w:cs="Arial" w:eastAsia="Arial" w:hAnsi="Arial"/>
          <w:sz w:val="21"/>
          <w:szCs w:val="21"/>
          <w:b w:val="1"/>
          <w:bCs w:val="1"/>
          <w:color w:val="0171B9"/>
          <w:vertAlign w:val="superscript"/>
        </w:rPr>
        <w:t>™</w:t>
      </w:r>
      <w:r>
        <w:rPr>
          <w:rFonts w:ascii="Arial" w:cs="Arial" w:eastAsia="Arial" w:hAnsi="Arial"/>
          <w:sz w:val="14"/>
          <w:szCs w:val="14"/>
          <w:color w:val="auto"/>
        </w:rPr>
        <w:t xml:space="preserve"> is our proprietary approach to innovative and sustainable manufacturing that is integrated into the upfront design, development, and execution of our new laboratory, manufacturing, and administrative buildings. This results in smaller footprint, highly resource efficient biomanufacturing plants that reduce our environmental impact, including reducing consumption of water and energy and producing lower levels of carbon emissions. These facilities also can be built in less time than conventional plants and have lower operating costs.</w:t>
      </w:r>
    </w:p>
    <w:p>
      <w:pPr>
        <w:spacing w:after="0" w:line="288"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We prioritize continuous operating improvements to fund innovation. We have embarked on a digital transformation journey to achieve maximum efficiencies and drive innovation.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Our strong cash flows and balance sheet allow us to make substantial investments for long-term growth. We also recognize that stockholders who support investment in developing innovative medicines require an appropriate return on the capital they commit to Amgen. We return excess capital through dividends and share repurchases.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FFFFFF"/>
        </w:rPr>
        <w:t>Select 2022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-93345</wp:posOffset>
            </wp:positionV>
            <wp:extent cx="6858000" cy="6249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00" cy="6249035"/>
                    </a:xfrm>
                    <a:prstGeom prst="rect">
                      <a:avLst/>
                    </a:prstGeom>
                    <a:noFill/>
                  </pic:spPr>
                </pic:pic>
              </a:graphicData>
            </a:graphic>
          </wp:anchor>
        </w:drawing>
      </w:r>
    </w:p>
    <w:p>
      <w:pPr>
        <w:spacing w:after="0" w:line="256" w:lineRule="exact"/>
        <w:rPr>
          <w:sz w:val="20"/>
          <w:szCs w:val="20"/>
          <w:color w:val="auto"/>
        </w:rPr>
      </w:pPr>
    </w:p>
    <w:p>
      <w:pPr>
        <w:ind w:left="140" w:right="280" w:hanging="143"/>
        <w:spacing w:after="0" w:line="235" w:lineRule="auto"/>
        <w:rPr>
          <w:sz w:val="20"/>
          <w:szCs w:val="20"/>
          <w:color w:val="auto"/>
        </w:rPr>
      </w:pPr>
      <w:r>
        <w:rPr>
          <w:rFonts w:ascii="Arial" w:cs="Arial" w:eastAsia="Arial" w:hAnsi="Arial"/>
          <w:sz w:val="14"/>
          <w:szCs w:val="14"/>
          <w:color w:val="0171B9"/>
        </w:rPr>
        <w:t>•</w:t>
      </w:r>
      <w:r>
        <w:rPr>
          <w:rFonts w:ascii="Arial" w:cs="Arial" w:eastAsia="Arial" w:hAnsi="Arial"/>
          <w:sz w:val="14"/>
          <w:szCs w:val="14"/>
          <w:color w:val="000000"/>
        </w:rPr>
        <w:t xml:space="preserve">   We continued development of the 11 biosimilars in our current portfolio, including the</w:t>
      </w:r>
      <w:r>
        <w:rPr>
          <w:rFonts w:ascii="Arial" w:cs="Arial" w:eastAsia="Arial" w:hAnsi="Arial"/>
          <w:sz w:val="14"/>
          <w:szCs w:val="14"/>
          <w:color w:val="0171B9"/>
        </w:rPr>
        <w:t xml:space="preserve"> </w:t>
      </w:r>
      <w:r>
        <w:rPr>
          <w:rFonts w:ascii="Arial" w:cs="Arial" w:eastAsia="Arial" w:hAnsi="Arial"/>
          <w:sz w:val="14"/>
          <w:szCs w:val="14"/>
          <w:color w:val="000000"/>
        </w:rPr>
        <w:t>following advancements:</w:t>
      </w:r>
    </w:p>
    <w:p>
      <w:pPr>
        <w:spacing w:after="0" w:line="1" w:lineRule="exact"/>
        <w:rPr>
          <w:sz w:val="20"/>
          <w:szCs w:val="20"/>
          <w:color w:val="auto"/>
        </w:rPr>
      </w:pPr>
    </w:p>
    <w:p>
      <w:pPr>
        <w:jc w:val="both"/>
        <w:ind w:left="280" w:right="280" w:hanging="143"/>
        <w:spacing w:after="0" w:line="197" w:lineRule="auto"/>
        <w:rPr>
          <w:sz w:val="20"/>
          <w:szCs w:val="20"/>
          <w:color w:val="auto"/>
        </w:rPr>
      </w:pPr>
      <w:r>
        <w:rPr>
          <w:rFonts w:ascii="Arial" w:cs="Arial" w:eastAsia="Arial" w:hAnsi="Arial"/>
          <w:sz w:val="14"/>
          <w:szCs w:val="14"/>
          <w:b w:val="1"/>
          <w:bCs w:val="1"/>
          <w:color w:val="0171B9"/>
        </w:rPr>
        <w:t>–</w:t>
      </w:r>
      <w:r>
        <w:rPr>
          <w:rFonts w:ascii="Arial" w:cs="Arial" w:eastAsia="Arial" w:hAnsi="Arial"/>
          <w:sz w:val="14"/>
          <w:szCs w:val="14"/>
          <w:color w:val="000000"/>
        </w:rPr>
        <w:t>  We launched</w:t>
      </w:r>
      <w:r>
        <w:rPr>
          <w:rFonts w:ascii="Arial" w:cs="Arial" w:eastAsia="Arial" w:hAnsi="Arial"/>
          <w:sz w:val="14"/>
          <w:szCs w:val="14"/>
          <w:b w:val="1"/>
          <w:bCs w:val="1"/>
          <w:color w:val="0171B9"/>
        </w:rPr>
        <w:t xml:space="preserve"> AMJEVITA</w:t>
      </w:r>
      <w:r>
        <w:rPr>
          <w:rFonts w:ascii="Arial" w:cs="Arial" w:eastAsia="Arial" w:hAnsi="Arial"/>
          <w:sz w:val="21"/>
          <w:szCs w:val="21"/>
          <w:b w:val="1"/>
          <w:bCs w:val="1"/>
          <w:color w:val="0171B9"/>
          <w:vertAlign w:val="superscript"/>
        </w:rPr>
        <w:t>™</w:t>
      </w:r>
      <w:r>
        <w:rPr>
          <w:rFonts w:ascii="Arial" w:cs="Arial" w:eastAsia="Arial" w:hAnsi="Arial"/>
          <w:sz w:val="14"/>
          <w:szCs w:val="14"/>
          <w:color w:val="000000"/>
        </w:rPr>
        <w:t>, biosimilar to Humira</w:t>
      </w:r>
      <w:r>
        <w:rPr>
          <w:rFonts w:ascii="Arial" w:cs="Arial" w:eastAsia="Arial" w:hAnsi="Arial"/>
          <w:sz w:val="21"/>
          <w:szCs w:val="21"/>
          <w:color w:val="000000"/>
          <w:vertAlign w:val="superscript"/>
        </w:rPr>
        <w:t>®(1)</w:t>
      </w:r>
      <w:r>
        <w:rPr>
          <w:rFonts w:ascii="Arial" w:cs="Arial" w:eastAsia="Arial" w:hAnsi="Arial"/>
          <w:sz w:val="14"/>
          <w:szCs w:val="14"/>
          <w:b w:val="1"/>
          <w:bCs w:val="1"/>
          <w:color w:val="0171B9"/>
        </w:rPr>
        <w:t xml:space="preserve"> </w:t>
      </w:r>
      <w:r>
        <w:rPr>
          <w:rFonts w:ascii="Arial" w:cs="Arial" w:eastAsia="Arial" w:hAnsi="Arial"/>
          <w:sz w:val="14"/>
          <w:szCs w:val="14"/>
          <w:color w:val="000000"/>
        </w:rPr>
        <w:t>(adalimumab) in the U.S. in</w:t>
      </w:r>
      <w:r>
        <w:rPr>
          <w:rFonts w:ascii="Arial" w:cs="Arial" w:eastAsia="Arial" w:hAnsi="Arial"/>
          <w:sz w:val="14"/>
          <w:szCs w:val="14"/>
          <w:b w:val="1"/>
          <w:bCs w:val="1"/>
          <w:color w:val="0171B9"/>
        </w:rPr>
        <w:t xml:space="preserve"> </w:t>
      </w:r>
      <w:r>
        <w:rPr>
          <w:rFonts w:ascii="Arial" w:cs="Arial" w:eastAsia="Arial" w:hAnsi="Arial"/>
          <w:sz w:val="14"/>
          <w:szCs w:val="14"/>
          <w:color w:val="000000"/>
        </w:rPr>
        <w:t>January 2023.</w:t>
      </w:r>
    </w:p>
    <w:p>
      <w:pPr>
        <w:ind w:left="140"/>
        <w:spacing w:after="0" w:line="232" w:lineRule="auto"/>
        <w:rPr>
          <w:sz w:val="20"/>
          <w:szCs w:val="20"/>
          <w:color w:val="auto"/>
        </w:rPr>
      </w:pPr>
      <w:r>
        <w:rPr>
          <w:rFonts w:ascii="Arial" w:cs="Arial" w:eastAsia="Arial" w:hAnsi="Arial"/>
          <w:sz w:val="14"/>
          <w:szCs w:val="14"/>
          <w:b w:val="1"/>
          <w:bCs w:val="1"/>
          <w:color w:val="0171B9"/>
        </w:rPr>
        <w:t>–</w:t>
      </w:r>
      <w:r>
        <w:rPr>
          <w:rFonts w:ascii="Arial" w:cs="Arial" w:eastAsia="Arial" w:hAnsi="Arial"/>
          <w:sz w:val="14"/>
          <w:szCs w:val="14"/>
          <w:color w:val="000000"/>
        </w:rPr>
        <w:t>  We received positive Phase 3 study data demonstrating biosimilarity for:</w:t>
      </w:r>
    </w:p>
    <w:p>
      <w:pPr>
        <w:ind w:left="560" w:right="200" w:hanging="160"/>
        <w:spacing w:after="0" w:line="193" w:lineRule="auto"/>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b w:val="1"/>
          <w:bCs w:val="1"/>
          <w:color w:val="0171B9"/>
        </w:rPr>
        <w:t>ABP 654</w:t>
      </w:r>
      <w:r>
        <w:rPr>
          <w:rFonts w:ascii="Arial" w:cs="Arial" w:eastAsia="Arial" w:hAnsi="Arial"/>
          <w:sz w:val="14"/>
          <w:szCs w:val="14"/>
          <w:b w:val="1"/>
          <w:bCs w:val="1"/>
          <w:color w:val="auto"/>
        </w:rPr>
        <w:t xml:space="preserve"> </w:t>
      </w:r>
      <w:r>
        <w:rPr>
          <w:rFonts w:ascii="Arial" w:cs="Arial" w:eastAsia="Arial" w:hAnsi="Arial"/>
          <w:sz w:val="14"/>
          <w:szCs w:val="14"/>
          <w:color w:val="auto"/>
        </w:rPr>
        <w:t>(biosimilar candidate to STELARA</w:t>
      </w:r>
      <w:r>
        <w:rPr>
          <w:rFonts w:ascii="Arial" w:cs="Arial" w:eastAsia="Arial" w:hAnsi="Arial"/>
          <w:sz w:val="21"/>
          <w:szCs w:val="21"/>
          <w:color w:val="auto"/>
          <w:vertAlign w:val="superscript"/>
        </w:rPr>
        <w:t>®(2)</w:t>
      </w:r>
      <w:r>
        <w:rPr>
          <w:rFonts w:ascii="Arial" w:cs="Arial" w:eastAsia="Arial" w:hAnsi="Arial"/>
          <w:sz w:val="14"/>
          <w:szCs w:val="14"/>
          <w:b w:val="1"/>
          <w:bCs w:val="1"/>
          <w:color w:val="auto"/>
        </w:rPr>
        <w:t xml:space="preserve"> </w:t>
      </w:r>
      <w:r>
        <w:rPr>
          <w:rFonts w:ascii="Arial" w:cs="Arial" w:eastAsia="Arial" w:hAnsi="Arial"/>
          <w:sz w:val="14"/>
          <w:szCs w:val="14"/>
          <w:color w:val="auto"/>
        </w:rPr>
        <w:t>(ustekinumab)) in patients with</w:t>
      </w:r>
      <w:r>
        <w:rPr>
          <w:rFonts w:ascii="Arial" w:cs="Arial" w:eastAsia="Arial" w:hAnsi="Arial"/>
          <w:sz w:val="14"/>
          <w:szCs w:val="14"/>
          <w:b w:val="1"/>
          <w:bCs w:val="1"/>
          <w:color w:val="auto"/>
        </w:rPr>
        <w:t xml:space="preserve"> </w:t>
      </w:r>
      <w:r>
        <w:rPr>
          <w:rFonts w:ascii="Arial" w:cs="Arial" w:eastAsia="Arial" w:hAnsi="Arial"/>
          <w:sz w:val="14"/>
          <w:szCs w:val="14"/>
          <w:color w:val="auto"/>
        </w:rPr>
        <w:t>moderate to severe plaque psoriasis;</w:t>
      </w:r>
    </w:p>
    <w:p>
      <w:pPr>
        <w:ind w:left="560" w:right="200" w:hanging="160"/>
        <w:spacing w:after="0" w:line="193" w:lineRule="auto"/>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b w:val="1"/>
          <w:bCs w:val="1"/>
          <w:color w:val="0171B9"/>
        </w:rPr>
        <w:t>ABP 938</w:t>
      </w:r>
      <w:r>
        <w:rPr>
          <w:rFonts w:ascii="Arial" w:cs="Arial" w:eastAsia="Arial" w:hAnsi="Arial"/>
          <w:sz w:val="14"/>
          <w:szCs w:val="14"/>
          <w:b w:val="1"/>
          <w:bCs w:val="1"/>
          <w:color w:val="auto"/>
        </w:rPr>
        <w:t xml:space="preserve"> </w:t>
      </w:r>
      <w:r>
        <w:rPr>
          <w:rFonts w:ascii="Arial" w:cs="Arial" w:eastAsia="Arial" w:hAnsi="Arial"/>
          <w:sz w:val="14"/>
          <w:szCs w:val="14"/>
          <w:color w:val="auto"/>
        </w:rPr>
        <w:t>(biosimilar candidate to EYLEA</w:t>
      </w:r>
      <w:r>
        <w:rPr>
          <w:rFonts w:ascii="Arial" w:cs="Arial" w:eastAsia="Arial" w:hAnsi="Arial"/>
          <w:sz w:val="21"/>
          <w:szCs w:val="21"/>
          <w:color w:val="auto"/>
          <w:vertAlign w:val="superscript"/>
        </w:rPr>
        <w:t>®(3)</w:t>
      </w:r>
      <w:r>
        <w:rPr>
          <w:rFonts w:ascii="Arial" w:cs="Arial" w:eastAsia="Arial" w:hAnsi="Arial"/>
          <w:sz w:val="14"/>
          <w:szCs w:val="14"/>
          <w:b w:val="1"/>
          <w:bCs w:val="1"/>
          <w:color w:val="auto"/>
        </w:rPr>
        <w:t xml:space="preserve"> </w:t>
      </w:r>
      <w:r>
        <w:rPr>
          <w:rFonts w:ascii="Arial" w:cs="Arial" w:eastAsia="Arial" w:hAnsi="Arial"/>
          <w:sz w:val="14"/>
          <w:szCs w:val="14"/>
          <w:color w:val="auto"/>
        </w:rPr>
        <w:t>(aflibercept)) in patients with</w:t>
      </w:r>
      <w:r>
        <w:rPr>
          <w:rFonts w:ascii="Arial" w:cs="Arial" w:eastAsia="Arial" w:hAnsi="Arial"/>
          <w:sz w:val="14"/>
          <w:szCs w:val="14"/>
          <w:b w:val="1"/>
          <w:bCs w:val="1"/>
          <w:color w:val="auto"/>
        </w:rPr>
        <w:t xml:space="preserve"> </w:t>
      </w:r>
      <w:r>
        <w:rPr>
          <w:rFonts w:ascii="Arial" w:cs="Arial" w:eastAsia="Arial" w:hAnsi="Arial"/>
          <w:sz w:val="14"/>
          <w:szCs w:val="14"/>
          <w:color w:val="auto"/>
        </w:rPr>
        <w:t>neovascular age-related macular degeneration; and</w:t>
      </w:r>
    </w:p>
    <w:p>
      <w:pPr>
        <w:ind w:left="560" w:right="200" w:hanging="160"/>
        <w:spacing w:after="0" w:line="204" w:lineRule="auto"/>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b w:val="1"/>
          <w:bCs w:val="1"/>
          <w:color w:val="0171B9"/>
        </w:rPr>
        <w:t>ABP 959</w:t>
      </w:r>
      <w:r>
        <w:rPr>
          <w:rFonts w:ascii="Arial" w:cs="Arial" w:eastAsia="Arial" w:hAnsi="Arial"/>
          <w:sz w:val="14"/>
          <w:szCs w:val="14"/>
          <w:b w:val="1"/>
          <w:bCs w:val="1"/>
          <w:color w:val="auto"/>
        </w:rPr>
        <w:t xml:space="preserve"> </w:t>
      </w:r>
      <w:r>
        <w:rPr>
          <w:rFonts w:ascii="Arial" w:cs="Arial" w:eastAsia="Arial" w:hAnsi="Arial"/>
          <w:sz w:val="14"/>
          <w:szCs w:val="14"/>
          <w:color w:val="auto"/>
        </w:rPr>
        <w:t>(biosimilar candidate to Soliris</w:t>
      </w:r>
      <w:r>
        <w:rPr>
          <w:rFonts w:ascii="Arial" w:cs="Arial" w:eastAsia="Arial" w:hAnsi="Arial"/>
          <w:sz w:val="21"/>
          <w:szCs w:val="21"/>
          <w:color w:val="auto"/>
          <w:vertAlign w:val="superscript"/>
        </w:rPr>
        <w:t>®(4)</w:t>
      </w:r>
      <w:r>
        <w:rPr>
          <w:rFonts w:ascii="Arial" w:cs="Arial" w:eastAsia="Arial" w:hAnsi="Arial"/>
          <w:sz w:val="14"/>
          <w:szCs w:val="14"/>
          <w:b w:val="1"/>
          <w:bCs w:val="1"/>
          <w:color w:val="auto"/>
        </w:rPr>
        <w:t xml:space="preserve"> </w:t>
      </w:r>
      <w:r>
        <w:rPr>
          <w:rFonts w:ascii="Arial" w:cs="Arial" w:eastAsia="Arial" w:hAnsi="Arial"/>
          <w:sz w:val="14"/>
          <w:szCs w:val="14"/>
          <w:color w:val="auto"/>
        </w:rPr>
        <w:t>(eculizumab)) in adult patients with</w:t>
      </w:r>
      <w:r>
        <w:rPr>
          <w:rFonts w:ascii="Arial" w:cs="Arial" w:eastAsia="Arial" w:hAnsi="Arial"/>
          <w:sz w:val="14"/>
          <w:szCs w:val="14"/>
          <w:b w:val="1"/>
          <w:bCs w:val="1"/>
          <w:color w:val="auto"/>
        </w:rPr>
        <w:t xml:space="preserve"> </w:t>
      </w:r>
      <w:r>
        <w:rPr>
          <w:rFonts w:ascii="Arial" w:cs="Arial" w:eastAsia="Arial" w:hAnsi="Arial"/>
          <w:sz w:val="14"/>
          <w:szCs w:val="14"/>
          <w:color w:val="auto"/>
        </w:rPr>
        <w:t>paroxysmal nocturnal hemoglobinuria.</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0171B9"/>
        </w:rPr>
        <w:t>•</w:t>
      </w:r>
      <w:r>
        <w:rPr>
          <w:rFonts w:ascii="Arial" w:cs="Arial" w:eastAsia="Arial" w:hAnsi="Arial"/>
          <w:sz w:val="14"/>
          <w:szCs w:val="14"/>
          <w:color w:val="000000"/>
        </w:rPr>
        <w:t xml:space="preserve">   In fast growing markets in Asia, we continue to expand our presence, including:</w:t>
      </w:r>
    </w:p>
    <w:p>
      <w:pPr>
        <w:jc w:val="both"/>
        <w:ind w:left="280" w:right="300" w:hanging="143"/>
        <w:spacing w:after="0" w:line="180" w:lineRule="auto"/>
        <w:rPr>
          <w:sz w:val="20"/>
          <w:szCs w:val="20"/>
          <w:color w:val="auto"/>
        </w:rPr>
      </w:pPr>
      <w:r>
        <w:rPr>
          <w:rFonts w:ascii="Arial" w:cs="Arial" w:eastAsia="Arial" w:hAnsi="Arial"/>
          <w:sz w:val="13"/>
          <w:szCs w:val="13"/>
          <w:b w:val="1"/>
          <w:bCs w:val="1"/>
          <w:color w:val="0171B9"/>
        </w:rPr>
        <w:t>–</w:t>
      </w:r>
      <w:r>
        <w:rPr>
          <w:rFonts w:ascii="Arial" w:cs="Arial" w:eastAsia="Arial" w:hAnsi="Arial"/>
          <w:sz w:val="13"/>
          <w:szCs w:val="13"/>
          <w:color w:val="000000"/>
        </w:rPr>
        <w:t>  In</w:t>
      </w:r>
      <w:r>
        <w:rPr>
          <w:rFonts w:ascii="Arial" w:cs="Arial" w:eastAsia="Arial" w:hAnsi="Arial"/>
          <w:sz w:val="13"/>
          <w:szCs w:val="13"/>
          <w:b w:val="1"/>
          <w:bCs w:val="1"/>
          <w:color w:val="0171B9"/>
        </w:rPr>
        <w:t xml:space="preserve"> China</w:t>
      </w:r>
      <w:r>
        <w:rPr>
          <w:rFonts w:ascii="Arial" w:cs="Arial" w:eastAsia="Arial" w:hAnsi="Arial"/>
          <w:sz w:val="13"/>
          <w:szCs w:val="13"/>
          <w:color w:val="000000"/>
        </w:rPr>
        <w:t>,</w:t>
      </w:r>
      <w:r>
        <w:rPr>
          <w:rFonts w:ascii="Arial" w:cs="Arial" w:eastAsia="Arial" w:hAnsi="Arial"/>
          <w:sz w:val="13"/>
          <w:szCs w:val="13"/>
          <w:b w:val="1"/>
          <w:bCs w:val="1"/>
          <w:color w:val="0171B9"/>
        </w:rPr>
        <w:t xml:space="preserve"> Repatha </w:t>
      </w:r>
      <w:r>
        <w:rPr>
          <w:rFonts w:ascii="Arial" w:cs="Arial" w:eastAsia="Arial" w:hAnsi="Arial"/>
          <w:sz w:val="13"/>
          <w:szCs w:val="13"/>
          <w:color w:val="000000"/>
        </w:rPr>
        <w:t>and</w:t>
      </w:r>
      <w:r>
        <w:rPr>
          <w:rFonts w:ascii="Arial" w:cs="Arial" w:eastAsia="Arial" w:hAnsi="Arial"/>
          <w:sz w:val="13"/>
          <w:szCs w:val="13"/>
          <w:b w:val="1"/>
          <w:bCs w:val="1"/>
          <w:color w:val="0171B9"/>
        </w:rPr>
        <w:t xml:space="preserve"> KYPROLIS</w:t>
      </w:r>
      <w:r>
        <w:rPr>
          <w:rFonts w:ascii="Arial" w:cs="Arial" w:eastAsia="Arial" w:hAnsi="Arial"/>
          <w:sz w:val="19"/>
          <w:szCs w:val="19"/>
          <w:b w:val="1"/>
          <w:bCs w:val="1"/>
          <w:color w:val="0171B9"/>
          <w:vertAlign w:val="superscript"/>
        </w:rPr>
        <w:t>®</w:t>
      </w:r>
      <w:r>
        <w:rPr>
          <w:rFonts w:ascii="Arial" w:cs="Arial" w:eastAsia="Arial" w:hAnsi="Arial"/>
          <w:sz w:val="13"/>
          <w:szCs w:val="13"/>
          <w:b w:val="1"/>
          <w:bCs w:val="1"/>
          <w:color w:val="0171B9"/>
        </w:rPr>
        <w:t xml:space="preserve"> </w:t>
      </w:r>
      <w:r>
        <w:rPr>
          <w:rFonts w:ascii="Arial" w:cs="Arial" w:eastAsia="Arial" w:hAnsi="Arial"/>
          <w:sz w:val="13"/>
          <w:szCs w:val="13"/>
          <w:color w:val="000000"/>
        </w:rPr>
        <w:t>were added to the National Reimbursement</w:t>
      </w:r>
      <w:r>
        <w:rPr>
          <w:rFonts w:ascii="Arial" w:cs="Arial" w:eastAsia="Arial" w:hAnsi="Arial"/>
          <w:sz w:val="13"/>
          <w:szCs w:val="13"/>
          <w:b w:val="1"/>
          <w:bCs w:val="1"/>
          <w:color w:val="0171B9"/>
        </w:rPr>
        <w:t xml:space="preserve"> </w:t>
      </w:r>
      <w:r>
        <w:rPr>
          <w:rFonts w:ascii="Arial" w:cs="Arial" w:eastAsia="Arial" w:hAnsi="Arial"/>
          <w:sz w:val="13"/>
          <w:szCs w:val="13"/>
          <w:color w:val="000000"/>
        </w:rPr>
        <w:t>Drug List, and we currently have four additional marketed products (</w:t>
      </w:r>
      <w:r>
        <w:rPr>
          <w:rFonts w:ascii="Arial" w:cs="Arial" w:eastAsia="Arial" w:hAnsi="Arial"/>
          <w:sz w:val="13"/>
          <w:szCs w:val="13"/>
          <w:b w:val="1"/>
          <w:bCs w:val="1"/>
          <w:color w:val="0171B9"/>
        </w:rPr>
        <w:t>XGEVA</w:t>
      </w:r>
      <w:r>
        <w:rPr>
          <w:rFonts w:ascii="Arial" w:cs="Arial" w:eastAsia="Arial" w:hAnsi="Arial"/>
          <w:sz w:val="19"/>
          <w:szCs w:val="19"/>
          <w:b w:val="1"/>
          <w:bCs w:val="1"/>
          <w:color w:val="0171B9"/>
          <w:vertAlign w:val="superscript"/>
        </w:rPr>
        <w:t>®</w:t>
      </w:r>
      <w:r>
        <w:rPr>
          <w:rFonts w:ascii="Arial" w:cs="Arial" w:eastAsia="Arial" w:hAnsi="Arial"/>
          <w:sz w:val="13"/>
          <w:szCs w:val="13"/>
          <w:color w:val="000000"/>
        </w:rPr>
        <w:t xml:space="preserve">, </w:t>
      </w:r>
      <w:r>
        <w:rPr>
          <w:rFonts w:ascii="Arial" w:cs="Arial" w:eastAsia="Arial" w:hAnsi="Arial"/>
          <w:sz w:val="13"/>
          <w:szCs w:val="13"/>
          <w:b w:val="1"/>
          <w:bCs w:val="1"/>
          <w:color w:val="0171B9"/>
        </w:rPr>
        <w:t>BLINCYTO</w:t>
      </w:r>
      <w:r>
        <w:rPr>
          <w:rFonts w:ascii="Arial" w:cs="Arial" w:eastAsia="Arial" w:hAnsi="Arial"/>
          <w:sz w:val="13"/>
          <w:szCs w:val="13"/>
          <w:b w:val="1"/>
          <w:bCs w:val="1"/>
          <w:color w:val="000000"/>
        </w:rPr>
        <w:t>,</w:t>
      </w:r>
      <w:r>
        <w:rPr>
          <w:rFonts w:ascii="Arial" w:cs="Arial" w:eastAsia="Arial" w:hAnsi="Arial"/>
          <w:sz w:val="13"/>
          <w:szCs w:val="13"/>
          <w:b w:val="1"/>
          <w:bCs w:val="1"/>
          <w:color w:val="0171B9"/>
        </w:rPr>
        <w:t xml:space="preserve"> Otezla</w:t>
      </w:r>
      <w:r>
        <w:rPr>
          <w:rFonts w:ascii="Arial" w:cs="Arial" w:eastAsia="Arial" w:hAnsi="Arial"/>
          <w:sz w:val="19"/>
          <w:szCs w:val="19"/>
          <w:b w:val="1"/>
          <w:bCs w:val="1"/>
          <w:color w:val="0171B9"/>
          <w:vertAlign w:val="superscript"/>
        </w:rPr>
        <w:t>®</w:t>
      </w:r>
      <w:r>
        <w:rPr>
          <w:rFonts w:ascii="Arial" w:cs="Arial" w:eastAsia="Arial" w:hAnsi="Arial"/>
          <w:sz w:val="13"/>
          <w:szCs w:val="13"/>
          <w:color w:val="000000"/>
        </w:rPr>
        <w:t>, and</w:t>
      </w:r>
      <w:r>
        <w:rPr>
          <w:rFonts w:ascii="Arial" w:cs="Arial" w:eastAsia="Arial" w:hAnsi="Arial"/>
          <w:sz w:val="13"/>
          <w:szCs w:val="13"/>
          <w:b w:val="1"/>
          <w:bCs w:val="1"/>
          <w:color w:val="0171B9"/>
        </w:rPr>
        <w:t xml:space="preserve"> Prolia</w:t>
      </w:r>
      <w:r>
        <w:rPr>
          <w:rFonts w:ascii="Arial" w:cs="Arial" w:eastAsia="Arial" w:hAnsi="Arial"/>
          <w:sz w:val="19"/>
          <w:szCs w:val="19"/>
          <w:b w:val="1"/>
          <w:bCs w:val="1"/>
          <w:color w:val="0171B9"/>
          <w:vertAlign w:val="superscript"/>
        </w:rPr>
        <w:t>®</w:t>
      </w:r>
      <w:r>
        <w:rPr>
          <w:rFonts w:ascii="Arial" w:cs="Arial" w:eastAsia="Arial" w:hAnsi="Arial"/>
          <w:sz w:val="13"/>
          <w:szCs w:val="13"/>
          <w:color w:val="000000"/>
        </w:rPr>
        <w:t>); and</w:t>
      </w:r>
    </w:p>
    <w:p>
      <w:pPr>
        <w:spacing w:after="0" w:line="2" w:lineRule="exact"/>
        <w:rPr>
          <w:sz w:val="20"/>
          <w:szCs w:val="20"/>
          <w:color w:val="auto"/>
        </w:rPr>
      </w:pPr>
    </w:p>
    <w:p>
      <w:pPr>
        <w:jc w:val="both"/>
        <w:ind w:left="280" w:right="280" w:hanging="143"/>
        <w:spacing w:after="0" w:line="257" w:lineRule="auto"/>
        <w:rPr>
          <w:sz w:val="20"/>
          <w:szCs w:val="20"/>
          <w:color w:val="auto"/>
        </w:rPr>
      </w:pPr>
      <w:r>
        <w:rPr>
          <w:rFonts w:ascii="Arial" w:cs="Arial" w:eastAsia="Arial" w:hAnsi="Arial"/>
          <w:sz w:val="14"/>
          <w:szCs w:val="14"/>
          <w:b w:val="1"/>
          <w:bCs w:val="1"/>
          <w:color w:val="0171B9"/>
        </w:rPr>
        <w:t>–</w:t>
      </w:r>
      <w:r>
        <w:rPr>
          <w:rFonts w:ascii="Arial" w:cs="Arial" w:eastAsia="Arial" w:hAnsi="Arial"/>
          <w:sz w:val="14"/>
          <w:szCs w:val="14"/>
          <w:color w:val="000000"/>
        </w:rPr>
        <w:t>  In</w:t>
      </w:r>
      <w:r>
        <w:rPr>
          <w:rFonts w:ascii="Arial" w:cs="Arial" w:eastAsia="Arial" w:hAnsi="Arial"/>
          <w:sz w:val="14"/>
          <w:szCs w:val="14"/>
          <w:b w:val="1"/>
          <w:bCs w:val="1"/>
          <w:color w:val="0171B9"/>
        </w:rPr>
        <w:t xml:space="preserve"> Japan</w:t>
      </w:r>
      <w:r>
        <w:rPr>
          <w:rFonts w:ascii="Arial" w:cs="Arial" w:eastAsia="Arial" w:hAnsi="Arial"/>
          <w:sz w:val="14"/>
          <w:szCs w:val="14"/>
          <w:color w:val="000000"/>
        </w:rPr>
        <w:t>,</w:t>
      </w:r>
      <w:r>
        <w:rPr>
          <w:rFonts w:ascii="Arial" w:cs="Arial" w:eastAsia="Arial" w:hAnsi="Arial"/>
          <w:sz w:val="14"/>
          <w:szCs w:val="14"/>
          <w:b w:val="1"/>
          <w:bCs w:val="1"/>
          <w:color w:val="0171B9"/>
        </w:rPr>
        <w:t xml:space="preserve"> TEZSPIRE</w:t>
      </w:r>
      <w:r>
        <w:rPr>
          <w:rFonts w:ascii="Arial" w:cs="Arial" w:eastAsia="Arial" w:hAnsi="Arial"/>
          <w:sz w:val="14"/>
          <w:szCs w:val="14"/>
          <w:color w:val="000000"/>
        </w:rPr>
        <w:t>, our medicine for patients suffering from severe asthma, has</w:t>
      </w:r>
      <w:r>
        <w:rPr>
          <w:rFonts w:ascii="Arial" w:cs="Arial" w:eastAsia="Arial" w:hAnsi="Arial"/>
          <w:sz w:val="14"/>
          <w:szCs w:val="14"/>
          <w:b w:val="1"/>
          <w:bCs w:val="1"/>
          <w:color w:val="0171B9"/>
        </w:rPr>
        <w:t xml:space="preserve"> </w:t>
      </w:r>
      <w:r>
        <w:rPr>
          <w:rFonts w:ascii="Arial" w:cs="Arial" w:eastAsia="Arial" w:hAnsi="Arial"/>
          <w:sz w:val="14"/>
          <w:szCs w:val="14"/>
          <w:color w:val="000000"/>
        </w:rPr>
        <w:t>been approved; we have six other marketed products in Japan (</w:t>
      </w:r>
      <w:r>
        <w:rPr>
          <w:rFonts w:ascii="Arial" w:cs="Arial" w:eastAsia="Arial" w:hAnsi="Arial"/>
          <w:sz w:val="14"/>
          <w:szCs w:val="14"/>
          <w:b w:val="1"/>
          <w:bCs w:val="1"/>
          <w:color w:val="0171B9"/>
        </w:rPr>
        <w:t>BLINCYTO</w:t>
      </w:r>
      <w:r>
        <w:rPr>
          <w:rFonts w:ascii="Arial" w:cs="Arial" w:eastAsia="Arial" w:hAnsi="Arial"/>
          <w:sz w:val="14"/>
          <w:szCs w:val="14"/>
          <w:color w:val="000000"/>
        </w:rPr>
        <w:t xml:space="preserve">, </w:t>
      </w:r>
      <w:r>
        <w:rPr>
          <w:rFonts w:ascii="Arial" w:cs="Arial" w:eastAsia="Arial" w:hAnsi="Arial"/>
          <w:sz w:val="14"/>
          <w:szCs w:val="14"/>
          <w:b w:val="1"/>
          <w:bCs w:val="1"/>
          <w:color w:val="0171B9"/>
        </w:rPr>
        <w:t>EVENITY</w:t>
      </w:r>
      <w:r>
        <w:rPr>
          <w:rFonts w:ascii="Arial" w:cs="Arial" w:eastAsia="Arial" w:hAnsi="Arial"/>
          <w:sz w:val="21"/>
          <w:szCs w:val="21"/>
          <w:b w:val="1"/>
          <w:bCs w:val="1"/>
          <w:color w:val="0171B9"/>
          <w:vertAlign w:val="superscript"/>
        </w:rPr>
        <w:t>®</w:t>
      </w:r>
      <w:r>
        <w:rPr>
          <w:rFonts w:ascii="Arial" w:cs="Arial" w:eastAsia="Arial" w:hAnsi="Arial"/>
          <w:sz w:val="14"/>
          <w:szCs w:val="14"/>
          <w:color w:val="000000"/>
        </w:rPr>
        <w:t>,</w:t>
      </w:r>
      <w:r>
        <w:rPr>
          <w:rFonts w:ascii="Arial" w:cs="Arial" w:eastAsia="Arial" w:hAnsi="Arial"/>
          <w:sz w:val="14"/>
          <w:szCs w:val="14"/>
          <w:b w:val="1"/>
          <w:bCs w:val="1"/>
          <w:color w:val="0171B9"/>
        </w:rPr>
        <w:t xml:space="preserve"> Repatha</w:t>
      </w:r>
      <w:r>
        <w:rPr>
          <w:rFonts w:ascii="Arial" w:cs="Arial" w:eastAsia="Arial" w:hAnsi="Arial"/>
          <w:sz w:val="14"/>
          <w:szCs w:val="14"/>
          <w:color w:val="000000"/>
        </w:rPr>
        <w:t>,</w:t>
      </w:r>
      <w:r>
        <w:rPr>
          <w:rFonts w:ascii="Arial" w:cs="Arial" w:eastAsia="Arial" w:hAnsi="Arial"/>
          <w:sz w:val="14"/>
          <w:szCs w:val="14"/>
          <w:b w:val="1"/>
          <w:bCs w:val="1"/>
          <w:color w:val="0171B9"/>
        </w:rPr>
        <w:t xml:space="preserve"> LUMAKRAS</w:t>
      </w:r>
      <w:r>
        <w:rPr>
          <w:rFonts w:ascii="Arial" w:cs="Arial" w:eastAsia="Arial" w:hAnsi="Arial"/>
          <w:sz w:val="14"/>
          <w:szCs w:val="14"/>
          <w:color w:val="000000"/>
        </w:rPr>
        <w:t>,</w:t>
      </w:r>
      <w:r>
        <w:rPr>
          <w:rFonts w:ascii="Arial" w:cs="Arial" w:eastAsia="Arial" w:hAnsi="Arial"/>
          <w:sz w:val="14"/>
          <w:szCs w:val="14"/>
          <w:b w:val="1"/>
          <w:bCs w:val="1"/>
          <w:color w:val="0171B9"/>
        </w:rPr>
        <w:t xml:space="preserve"> Aimovig</w:t>
      </w:r>
      <w:r>
        <w:rPr>
          <w:rFonts w:ascii="Arial" w:cs="Arial" w:eastAsia="Arial" w:hAnsi="Arial"/>
          <w:sz w:val="21"/>
          <w:szCs w:val="21"/>
          <w:b w:val="1"/>
          <w:bCs w:val="1"/>
          <w:color w:val="0171B9"/>
          <w:vertAlign w:val="superscript"/>
        </w:rPr>
        <w:t>®</w:t>
      </w:r>
      <w:r>
        <w:rPr>
          <w:rFonts w:ascii="Arial" w:cs="Arial" w:eastAsia="Arial" w:hAnsi="Arial"/>
          <w:sz w:val="14"/>
          <w:szCs w:val="14"/>
          <w:color w:val="000000"/>
        </w:rPr>
        <w:t>, and</w:t>
      </w:r>
      <w:r>
        <w:rPr>
          <w:rFonts w:ascii="Arial" w:cs="Arial" w:eastAsia="Arial" w:hAnsi="Arial"/>
          <w:sz w:val="14"/>
          <w:szCs w:val="14"/>
          <w:b w:val="1"/>
          <w:bCs w:val="1"/>
          <w:color w:val="0171B9"/>
        </w:rPr>
        <w:t xml:space="preserve"> Otezla</w:t>
      </w:r>
      <w:r>
        <w:rPr>
          <w:rFonts w:ascii="Arial" w:cs="Arial" w:eastAsia="Arial" w:hAnsi="Arial"/>
          <w:sz w:val="14"/>
          <w:szCs w:val="14"/>
          <w:color w:val="000000"/>
        </w:rPr>
        <w:t>).</w:t>
      </w:r>
    </w:p>
    <w:p>
      <w:pPr>
        <w:spacing w:after="0" w:line="175" w:lineRule="exact"/>
        <w:rPr>
          <w:sz w:val="20"/>
          <w:szCs w:val="20"/>
          <w:color w:val="auto"/>
        </w:rPr>
      </w:pPr>
    </w:p>
    <w:p>
      <w:pPr>
        <w:jc w:val="both"/>
        <w:ind w:left="140" w:right="280" w:hanging="143"/>
        <w:spacing w:after="0" w:line="247" w:lineRule="auto"/>
        <w:rPr>
          <w:sz w:val="20"/>
          <w:szCs w:val="20"/>
          <w:color w:val="auto"/>
        </w:rPr>
      </w:pPr>
      <w:r>
        <w:rPr>
          <w:rFonts w:ascii="Arial" w:cs="Arial" w:eastAsia="Arial" w:hAnsi="Arial"/>
          <w:sz w:val="14"/>
          <w:szCs w:val="14"/>
          <w:color w:val="0171B9"/>
        </w:rPr>
        <w:t>•</w:t>
      </w:r>
      <w:r>
        <w:rPr>
          <w:rFonts w:ascii="Arial" w:cs="Arial" w:eastAsia="Arial" w:hAnsi="Arial"/>
          <w:sz w:val="14"/>
          <w:szCs w:val="14"/>
          <w:color w:val="000000"/>
        </w:rPr>
        <w:t xml:space="preserve">   Our newest</w:t>
      </w:r>
      <w:r>
        <w:rPr>
          <w:rFonts w:ascii="Arial" w:cs="Arial" w:eastAsia="Arial" w:hAnsi="Arial"/>
          <w:sz w:val="14"/>
          <w:szCs w:val="14"/>
          <w:color w:val="0171B9"/>
        </w:rPr>
        <w:t xml:space="preserve"> </w:t>
      </w:r>
      <w:r>
        <w:rPr>
          <w:rFonts w:ascii="Arial" w:cs="Arial" w:eastAsia="Arial" w:hAnsi="Arial"/>
          <w:sz w:val="14"/>
          <w:szCs w:val="14"/>
          <w:b w:val="1"/>
          <w:bCs w:val="1"/>
          <w:color w:val="0171B9"/>
        </w:rPr>
        <w:t>Rhode Island facility</w:t>
      </w:r>
      <w:r>
        <w:rPr>
          <w:rFonts w:ascii="Arial" w:cs="Arial" w:eastAsia="Arial" w:hAnsi="Arial"/>
          <w:sz w:val="14"/>
          <w:szCs w:val="14"/>
          <w:color w:val="000000"/>
        </w:rPr>
        <w:t>, approved by the U.S. Food and Drug</w:t>
      </w:r>
      <w:r>
        <w:rPr>
          <w:rFonts w:ascii="Arial" w:cs="Arial" w:eastAsia="Arial" w:hAnsi="Arial"/>
          <w:sz w:val="14"/>
          <w:szCs w:val="14"/>
          <w:color w:val="0171B9"/>
        </w:rPr>
        <w:t xml:space="preserve"> </w:t>
      </w:r>
      <w:r>
        <w:rPr>
          <w:rFonts w:ascii="Arial" w:cs="Arial" w:eastAsia="Arial" w:hAnsi="Arial"/>
          <w:sz w:val="14"/>
          <w:szCs w:val="14"/>
          <w:color w:val="000000"/>
        </w:rPr>
        <w:t xml:space="preserve">Administration in 2022, expands our manufacturing capacity while utilizing Amgen Ecovation to deliver environmental and operating efficiencies. Amgen Ecovation is also guiding the design and construction of another </w:t>
      </w:r>
      <w:r>
        <w:rPr>
          <w:rFonts w:ascii="Arial" w:cs="Arial" w:eastAsia="Arial" w:hAnsi="Arial"/>
          <w:sz w:val="14"/>
          <w:szCs w:val="14"/>
          <w:b w:val="1"/>
          <w:bCs w:val="1"/>
          <w:color w:val="0171B9"/>
        </w:rPr>
        <w:t>two new U.S. plants</w:t>
      </w:r>
      <w:r>
        <w:rPr>
          <w:rFonts w:ascii="Arial" w:cs="Arial" w:eastAsia="Arial" w:hAnsi="Arial"/>
          <w:sz w:val="14"/>
          <w:szCs w:val="14"/>
          <w:color w:val="000000"/>
        </w:rPr>
        <w:t xml:space="preserve"> (in Ohio and North Carolina). In addition to helping to advance our 2027 environmental goals, these new facilities will support our ability to meet the demand for our medicines and bring hundreds of jobs to their respective regions while expanding our access to diverse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140" w:right="280" w:hanging="143"/>
        <w:spacing w:after="0" w:line="244" w:lineRule="auto"/>
        <w:rPr>
          <w:sz w:val="20"/>
          <w:szCs w:val="20"/>
          <w:color w:val="auto"/>
        </w:rPr>
      </w:pPr>
      <w:r>
        <w:rPr>
          <w:rFonts w:ascii="Arial" w:cs="Arial" w:eastAsia="Arial" w:hAnsi="Arial"/>
          <w:sz w:val="14"/>
          <w:szCs w:val="14"/>
          <w:color w:val="0171B9"/>
        </w:rPr>
        <w:t>•</w:t>
      </w:r>
      <w:r>
        <w:rPr>
          <w:rFonts w:ascii="Arial" w:cs="Arial" w:eastAsia="Arial" w:hAnsi="Arial"/>
          <w:sz w:val="14"/>
          <w:szCs w:val="14"/>
          <w:color w:val="000000"/>
        </w:rPr>
        <w:t xml:space="preserve">   We invested in information technology platforms and established a Company-wide</w:t>
      </w:r>
      <w:r>
        <w:rPr>
          <w:rFonts w:ascii="Arial" w:cs="Arial" w:eastAsia="Arial" w:hAnsi="Arial"/>
          <w:sz w:val="14"/>
          <w:szCs w:val="14"/>
          <w:color w:val="0171B9"/>
        </w:rPr>
        <w:t xml:space="preserve"> </w:t>
      </w:r>
      <w:r>
        <w:rPr>
          <w:rFonts w:ascii="Arial" w:cs="Arial" w:eastAsia="Arial" w:hAnsi="Arial"/>
          <w:sz w:val="14"/>
          <w:szCs w:val="14"/>
          <w:b w:val="1"/>
          <w:bCs w:val="1"/>
          <w:color w:val="0171B9"/>
        </w:rPr>
        <w:t xml:space="preserve">process simplification and automation </w:t>
      </w:r>
      <w:r>
        <w:rPr>
          <w:rFonts w:ascii="Arial" w:cs="Arial" w:eastAsia="Arial" w:hAnsi="Arial"/>
          <w:sz w:val="14"/>
          <w:szCs w:val="14"/>
          <w:color w:val="000000"/>
        </w:rPr>
        <w:t>goal to focus on driving end-to-end</w:t>
      </w:r>
      <w:r>
        <w:rPr>
          <w:rFonts w:ascii="Arial" w:cs="Arial" w:eastAsia="Arial" w:hAnsi="Arial"/>
          <w:sz w:val="14"/>
          <w:szCs w:val="14"/>
          <w:b w:val="1"/>
          <w:bCs w:val="1"/>
          <w:color w:val="0171B9"/>
        </w:rPr>
        <w:t xml:space="preserve"> </w:t>
      </w:r>
      <w:r>
        <w:rPr>
          <w:rFonts w:ascii="Arial" w:cs="Arial" w:eastAsia="Arial" w:hAnsi="Arial"/>
          <w:sz w:val="14"/>
          <w:szCs w:val="14"/>
          <w:color w:val="000000"/>
        </w:rPr>
        <w:t xml:space="preserve">simplification of our processes, strive to significantly increase the appropriate use of automation technologies across the Company, and accelerate the adoption of digital automation at all levels of our company to further enable </w:t>
      </w:r>
      <w:r>
        <w:rPr>
          <w:rFonts w:ascii="Arial" w:cs="Arial" w:eastAsia="Arial" w:hAnsi="Arial"/>
          <w:sz w:val="14"/>
          <w:szCs w:val="14"/>
          <w:b w:val="1"/>
          <w:bCs w:val="1"/>
          <w:color w:val="0171B9"/>
        </w:rPr>
        <w:t>speed</w:t>
      </w:r>
      <w:r>
        <w:rPr>
          <w:rFonts w:ascii="Arial" w:cs="Arial" w:eastAsia="Arial" w:hAnsi="Arial"/>
          <w:sz w:val="14"/>
          <w:szCs w:val="14"/>
          <w:color w:val="000000"/>
        </w:rPr>
        <w:t xml:space="preserve"> and </w:t>
      </w:r>
      <w:r>
        <w:rPr>
          <w:rFonts w:ascii="Arial" w:cs="Arial" w:eastAsia="Arial" w:hAnsi="Arial"/>
          <w:sz w:val="14"/>
          <w:szCs w:val="14"/>
          <w:b w:val="1"/>
          <w:bCs w:val="1"/>
          <w:color w:val="0171B9"/>
        </w:rPr>
        <w:t>efficiencies</w:t>
      </w:r>
      <w:r>
        <w:rPr>
          <w:rFonts w:ascii="Arial" w:cs="Arial" w:eastAsia="Arial" w:hAnsi="Arial"/>
          <w:sz w:val="14"/>
          <w:szCs w:val="14"/>
          <w:color w:val="000000"/>
        </w:rPr>
        <w:t xml:space="preserve"> in our research, development, and global commercial operations.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0171B9"/>
        </w:rPr>
        <w:t xml:space="preserve">•   </w:t>
      </w:r>
      <w:r>
        <w:rPr>
          <w:rFonts w:ascii="Arial" w:cs="Arial" w:eastAsia="Arial" w:hAnsi="Arial"/>
          <w:sz w:val="14"/>
          <w:szCs w:val="14"/>
          <w:b w:val="1"/>
          <w:bCs w:val="1"/>
          <w:color w:val="0171B9"/>
        </w:rPr>
        <w:t>Invested $9.1B for long-term growth</w:t>
      </w:r>
      <w:r>
        <w:rPr>
          <w:rFonts w:ascii="Arial" w:cs="Arial" w:eastAsia="Arial" w:hAnsi="Arial"/>
          <w:sz w:val="14"/>
          <w:szCs w:val="14"/>
          <w:color w:val="0171B9"/>
        </w:rPr>
        <w:t>:</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171B9"/>
        </w:rPr>
        <w:t>–</w:t>
      </w:r>
      <w:r>
        <w:rPr>
          <w:rFonts w:ascii="Arial" w:cs="Arial" w:eastAsia="Arial" w:hAnsi="Arial"/>
          <w:sz w:val="14"/>
          <w:szCs w:val="14"/>
          <w:b w:val="1"/>
          <w:bCs w:val="1"/>
          <w:color w:val="000000"/>
        </w:rPr>
        <w:t>  </w:t>
      </w:r>
      <w:r>
        <w:rPr>
          <w:rFonts w:ascii="Arial" w:cs="Arial" w:eastAsia="Arial" w:hAnsi="Arial"/>
          <w:sz w:val="14"/>
          <w:szCs w:val="14"/>
          <w:b w:val="1"/>
          <w:bCs w:val="1"/>
          <w:color w:val="0171B9"/>
        </w:rPr>
        <w:t xml:space="preserve">$4.4B </w:t>
      </w:r>
      <w:r>
        <w:rPr>
          <w:rFonts w:ascii="Arial" w:cs="Arial" w:eastAsia="Arial" w:hAnsi="Arial"/>
          <w:sz w:val="14"/>
          <w:szCs w:val="14"/>
          <w:color w:val="000000"/>
        </w:rPr>
        <w:t>in</w:t>
      </w:r>
      <w:r>
        <w:rPr>
          <w:rFonts w:ascii="Arial" w:cs="Arial" w:eastAsia="Arial" w:hAnsi="Arial"/>
          <w:sz w:val="14"/>
          <w:szCs w:val="14"/>
          <w:b w:val="1"/>
          <w:bCs w:val="1"/>
          <w:color w:val="0171B9"/>
        </w:rPr>
        <w:t xml:space="preserve"> research and development</w:t>
      </w:r>
      <w:r>
        <w:rPr>
          <w:rFonts w:ascii="Arial" w:cs="Arial" w:eastAsia="Arial" w:hAnsi="Arial"/>
          <w:sz w:val="14"/>
          <w:szCs w:val="14"/>
          <w:color w:val="000000"/>
        </w:rPr>
        <w:t>;</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171B9"/>
        </w:rPr>
        <w:t>–</w:t>
      </w:r>
      <w:r>
        <w:rPr>
          <w:rFonts w:ascii="Arial" w:cs="Arial" w:eastAsia="Arial" w:hAnsi="Arial"/>
          <w:sz w:val="14"/>
          <w:szCs w:val="14"/>
          <w:b w:val="1"/>
          <w:bCs w:val="1"/>
          <w:color w:val="000000"/>
        </w:rPr>
        <w:t>  </w:t>
      </w:r>
      <w:r>
        <w:rPr>
          <w:rFonts w:ascii="Arial" w:cs="Arial" w:eastAsia="Arial" w:hAnsi="Arial"/>
          <w:sz w:val="14"/>
          <w:szCs w:val="14"/>
          <w:b w:val="1"/>
          <w:bCs w:val="1"/>
          <w:color w:val="0171B9"/>
        </w:rPr>
        <w:t xml:space="preserve">$3.8B </w:t>
      </w:r>
      <w:r>
        <w:rPr>
          <w:rFonts w:ascii="Arial" w:cs="Arial" w:eastAsia="Arial" w:hAnsi="Arial"/>
          <w:sz w:val="14"/>
          <w:szCs w:val="14"/>
          <w:color w:val="000000"/>
        </w:rPr>
        <w:t>in</w:t>
      </w:r>
      <w:r>
        <w:rPr>
          <w:rFonts w:ascii="Arial" w:cs="Arial" w:eastAsia="Arial" w:hAnsi="Arial"/>
          <w:sz w:val="14"/>
          <w:szCs w:val="14"/>
          <w:b w:val="1"/>
          <w:bCs w:val="1"/>
          <w:color w:val="0171B9"/>
        </w:rPr>
        <w:t xml:space="preserve"> acquisitions</w:t>
      </w:r>
      <w:r>
        <w:rPr>
          <w:rFonts w:ascii="Arial" w:cs="Arial" w:eastAsia="Arial" w:hAnsi="Arial"/>
          <w:sz w:val="14"/>
          <w:szCs w:val="14"/>
          <w:color w:val="000000"/>
        </w:rPr>
        <w:t>; and</w:t>
      </w:r>
    </w:p>
    <w:p>
      <w:pPr>
        <w:spacing w:after="0" w:line="1" w:lineRule="exact"/>
        <w:rPr>
          <w:sz w:val="20"/>
          <w:szCs w:val="20"/>
          <w:color w:val="auto"/>
        </w:rPr>
      </w:pPr>
    </w:p>
    <w:p>
      <w:pPr>
        <w:ind w:left="280" w:right="280" w:hanging="143"/>
        <w:spacing w:after="0" w:line="241" w:lineRule="auto"/>
        <w:rPr>
          <w:sz w:val="20"/>
          <w:szCs w:val="20"/>
          <w:color w:val="auto"/>
        </w:rPr>
      </w:pPr>
      <w:r>
        <w:rPr>
          <w:rFonts w:ascii="Arial" w:cs="Arial" w:eastAsia="Arial" w:hAnsi="Arial"/>
          <w:sz w:val="14"/>
          <w:szCs w:val="14"/>
          <w:b w:val="1"/>
          <w:bCs w:val="1"/>
          <w:color w:val="0171B9"/>
        </w:rPr>
        <w:t>–</w:t>
      </w:r>
      <w:r>
        <w:rPr>
          <w:rFonts w:ascii="Arial" w:cs="Arial" w:eastAsia="Arial" w:hAnsi="Arial"/>
          <w:sz w:val="14"/>
          <w:szCs w:val="14"/>
          <w:b w:val="1"/>
          <w:bCs w:val="1"/>
          <w:color w:val="000000"/>
        </w:rPr>
        <w:t>  </w:t>
      </w:r>
      <w:r>
        <w:rPr>
          <w:rFonts w:ascii="Arial" w:cs="Arial" w:eastAsia="Arial" w:hAnsi="Arial"/>
          <w:sz w:val="14"/>
          <w:szCs w:val="14"/>
          <w:b w:val="1"/>
          <w:bCs w:val="1"/>
          <w:color w:val="0171B9"/>
        </w:rPr>
        <w:t xml:space="preserve">$0.9B </w:t>
      </w:r>
      <w:r>
        <w:rPr>
          <w:rFonts w:ascii="Arial" w:cs="Arial" w:eastAsia="Arial" w:hAnsi="Arial"/>
          <w:sz w:val="14"/>
          <w:szCs w:val="14"/>
          <w:color w:val="000000"/>
        </w:rPr>
        <w:t>in</w:t>
      </w:r>
      <w:r>
        <w:rPr>
          <w:rFonts w:ascii="Arial" w:cs="Arial" w:eastAsia="Arial" w:hAnsi="Arial"/>
          <w:sz w:val="14"/>
          <w:szCs w:val="14"/>
          <w:b w:val="1"/>
          <w:bCs w:val="1"/>
          <w:color w:val="0171B9"/>
        </w:rPr>
        <w:t xml:space="preserve"> capital expenditures</w:t>
      </w:r>
      <w:r>
        <w:rPr>
          <w:rFonts w:ascii="Arial" w:cs="Arial" w:eastAsia="Arial" w:hAnsi="Arial"/>
          <w:sz w:val="14"/>
          <w:szCs w:val="14"/>
          <w:color w:val="000000"/>
        </w:rPr>
        <w:t>, including investments in manufacturing sites that</w:t>
      </w:r>
      <w:r>
        <w:rPr>
          <w:rFonts w:ascii="Arial" w:cs="Arial" w:eastAsia="Arial" w:hAnsi="Arial"/>
          <w:sz w:val="14"/>
          <w:szCs w:val="14"/>
          <w:b w:val="1"/>
          <w:bCs w:val="1"/>
          <w:color w:val="0171B9"/>
        </w:rPr>
        <w:t xml:space="preserve"> support our environmental goals</w:t>
      </w:r>
      <w:r>
        <w:rPr>
          <w:rFonts w:ascii="Arial" w:cs="Arial" w:eastAsia="Arial" w:hAnsi="Arial"/>
          <w:sz w:val="14"/>
          <w:szCs w:val="14"/>
          <w:color w:val="000000"/>
        </w:rPr>
        <w: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171B9"/>
        </w:rPr>
        <w:t xml:space="preserve">•   </w:t>
      </w:r>
      <w:r>
        <w:rPr>
          <w:rFonts w:ascii="Arial" w:cs="Arial" w:eastAsia="Arial" w:hAnsi="Arial"/>
          <w:sz w:val="14"/>
          <w:szCs w:val="14"/>
          <w:b w:val="1"/>
          <w:bCs w:val="1"/>
          <w:color w:val="0171B9"/>
        </w:rPr>
        <w:t>Returned $10.5 billion of capital to stockholders:</w:t>
      </w:r>
    </w:p>
    <w:p>
      <w:pPr>
        <w:spacing w:after="0" w:line="1" w:lineRule="exact"/>
        <w:rPr>
          <w:sz w:val="20"/>
          <w:szCs w:val="20"/>
          <w:color w:val="auto"/>
        </w:rPr>
      </w:pPr>
    </w:p>
    <w:p>
      <w:pPr>
        <w:ind w:left="280" w:right="300" w:hanging="143"/>
        <w:spacing w:after="0" w:line="241" w:lineRule="auto"/>
        <w:rPr>
          <w:sz w:val="20"/>
          <w:szCs w:val="20"/>
          <w:color w:val="auto"/>
        </w:rPr>
      </w:pPr>
      <w:r>
        <w:rPr>
          <w:rFonts w:ascii="Arial" w:cs="Arial" w:eastAsia="Arial" w:hAnsi="Arial"/>
          <w:sz w:val="14"/>
          <w:szCs w:val="14"/>
          <w:b w:val="1"/>
          <w:bCs w:val="1"/>
          <w:color w:val="0171B9"/>
        </w:rPr>
        <w:t>–</w:t>
      </w:r>
      <w:r>
        <w:rPr>
          <w:rFonts w:ascii="Arial" w:cs="Arial" w:eastAsia="Arial" w:hAnsi="Arial"/>
          <w:sz w:val="14"/>
          <w:szCs w:val="14"/>
          <w:b w:val="1"/>
          <w:bCs w:val="1"/>
          <w:color w:val="000000"/>
        </w:rPr>
        <w:t>  </w:t>
      </w:r>
      <w:r>
        <w:rPr>
          <w:rFonts w:ascii="Arial" w:cs="Arial" w:eastAsia="Arial" w:hAnsi="Arial"/>
          <w:sz w:val="14"/>
          <w:szCs w:val="14"/>
          <w:b w:val="1"/>
          <w:bCs w:val="1"/>
          <w:color w:val="0171B9"/>
        </w:rPr>
        <w:t xml:space="preserve">$4.2B of dividends paid </w:t>
      </w:r>
      <w:r>
        <w:rPr>
          <w:rFonts w:ascii="Arial" w:cs="Arial" w:eastAsia="Arial" w:hAnsi="Arial"/>
          <w:sz w:val="14"/>
          <w:szCs w:val="14"/>
          <w:color w:val="000000"/>
        </w:rPr>
        <w:t>(</w:t>
      </w:r>
      <w:r>
        <w:rPr>
          <w:rFonts w:ascii="Arial" w:cs="Arial" w:eastAsia="Arial" w:hAnsi="Arial"/>
          <w:sz w:val="14"/>
          <w:szCs w:val="14"/>
          <w:b w:val="1"/>
          <w:bCs w:val="1"/>
          <w:color w:val="0171B9"/>
        </w:rPr>
        <w:t>$1.94 per share per quarter</w:t>
      </w:r>
      <w:r>
        <w:rPr>
          <w:rFonts w:ascii="Arial" w:cs="Arial" w:eastAsia="Arial" w:hAnsi="Arial"/>
          <w:sz w:val="14"/>
          <w:szCs w:val="14"/>
          <w:color w:val="000000"/>
        </w:rPr>
        <w:t>, a 10% per share dividend</w:t>
      </w:r>
      <w:r>
        <w:rPr>
          <w:rFonts w:ascii="Arial" w:cs="Arial" w:eastAsia="Arial" w:hAnsi="Arial"/>
          <w:sz w:val="14"/>
          <w:szCs w:val="14"/>
          <w:b w:val="1"/>
          <w:bCs w:val="1"/>
          <w:color w:val="0171B9"/>
        </w:rPr>
        <w:t xml:space="preserve"> </w:t>
      </w:r>
      <w:r>
        <w:rPr>
          <w:rFonts w:ascii="Arial" w:cs="Arial" w:eastAsia="Arial" w:hAnsi="Arial"/>
          <w:sz w:val="14"/>
          <w:szCs w:val="14"/>
          <w:color w:val="000000"/>
        </w:rPr>
        <w:t>increase over 2021); and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171B9"/>
        </w:rPr>
        <w:t>–</w:t>
      </w:r>
      <w:r>
        <w:rPr>
          <w:rFonts w:ascii="Arial" w:cs="Arial" w:eastAsia="Arial" w:hAnsi="Arial"/>
          <w:sz w:val="14"/>
          <w:szCs w:val="14"/>
          <w:b w:val="1"/>
          <w:bCs w:val="1"/>
          <w:color w:val="000000"/>
        </w:rPr>
        <w:t>  </w:t>
      </w:r>
      <w:r>
        <w:rPr>
          <w:rFonts w:ascii="Arial" w:cs="Arial" w:eastAsia="Arial" w:hAnsi="Arial"/>
          <w:sz w:val="14"/>
          <w:szCs w:val="14"/>
          <w:b w:val="1"/>
          <w:bCs w:val="1"/>
          <w:color w:val="0171B9"/>
        </w:rPr>
        <w:t>$6.3B in share repurchases</w:t>
      </w:r>
      <w:r>
        <w:rPr>
          <w:rFonts w:ascii="Arial" w:cs="Arial" w:eastAsia="Arial" w:hAnsi="Arial"/>
          <w:sz w:val="14"/>
          <w:szCs w:val="14"/>
          <w:color w:val="000000"/>
        </w:rPr>
        <w:t>.</w:t>
      </w:r>
    </w:p>
    <w:p>
      <w:pPr>
        <w:spacing w:after="0" w:line="200" w:lineRule="exact"/>
        <w:rPr>
          <w:sz w:val="20"/>
          <w:szCs w:val="20"/>
          <w:color w:val="auto"/>
        </w:rPr>
      </w:pPr>
    </w:p>
    <w:p>
      <w:pPr>
        <w:sectPr>
          <w:pgSz w:w="11900" w:h="16838" w:orient="portrait"/>
          <w:cols w:equalWidth="0" w:num="3">
            <w:col w:w="1480" w:space="180"/>
            <w:col w:w="3340" w:space="200"/>
            <w:col w:w="5860"/>
          </w:cols>
          <w:pgMar w:left="320" w:top="486" w:right="519" w:bottom="1440" w:gutter="0" w:footer="0" w:header="0"/>
          <w:type w:val="continuous"/>
        </w:sectPr>
      </w:pPr>
    </w:p>
    <w:p>
      <w:pPr>
        <w:spacing w:after="0" w:line="129"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Humira is a registered trademark of AbbVie Inc.</w:t>
      </w:r>
    </w:p>
    <w:p>
      <w:pPr>
        <w:ind w:left="540" w:hanging="424"/>
        <w:spacing w:after="0" w:line="187" w:lineRule="auto"/>
        <w:tabs>
          <w:tab w:leader="none" w:pos="540" w:val="left"/>
        </w:tabs>
        <w:numPr>
          <w:ilvl w:val="0"/>
          <w:numId w:val="57"/>
        </w:numPr>
        <w:rPr>
          <w:rFonts w:ascii="Arial" w:cs="Arial" w:eastAsia="Arial" w:hAnsi="Arial"/>
          <w:sz w:val="18"/>
          <w:szCs w:val="18"/>
          <w:color w:val="auto"/>
          <w:vertAlign w:val="superscript"/>
        </w:rPr>
      </w:pPr>
      <w:r>
        <w:rPr>
          <w:rFonts w:ascii="Arial" w:cs="Arial" w:eastAsia="Arial" w:hAnsi="Arial"/>
          <w:sz w:val="12"/>
          <w:szCs w:val="12"/>
          <w:color w:val="auto"/>
        </w:rPr>
        <w:t>STELARA is a registered trademark of Janssen Biotech, Inc.</w:t>
      </w:r>
    </w:p>
    <w:p>
      <w:pPr>
        <w:ind w:left="540" w:hanging="424"/>
        <w:spacing w:after="0" w:line="187" w:lineRule="auto"/>
        <w:tabs>
          <w:tab w:leader="none" w:pos="540" w:val="left"/>
        </w:tabs>
        <w:numPr>
          <w:ilvl w:val="0"/>
          <w:numId w:val="57"/>
        </w:numPr>
        <w:rPr>
          <w:rFonts w:ascii="Arial" w:cs="Arial" w:eastAsia="Arial" w:hAnsi="Arial"/>
          <w:sz w:val="18"/>
          <w:szCs w:val="18"/>
          <w:color w:val="auto"/>
          <w:vertAlign w:val="superscript"/>
        </w:rPr>
      </w:pPr>
      <w:r>
        <w:rPr>
          <w:rFonts w:ascii="Arial" w:cs="Arial" w:eastAsia="Arial" w:hAnsi="Arial"/>
          <w:sz w:val="12"/>
          <w:szCs w:val="12"/>
          <w:color w:val="auto"/>
        </w:rPr>
        <w:t>EYLEA is a registered trademark of Regeneron Pharmaceuticals, Inc.</w:t>
      </w:r>
    </w:p>
    <w:p>
      <w:pPr>
        <w:ind w:left="540" w:hanging="424"/>
        <w:spacing w:after="0" w:line="189" w:lineRule="auto"/>
        <w:tabs>
          <w:tab w:leader="none" w:pos="54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Soliris is a registered trademark of Alexion Pharmaceuticals, Inc.</w:t>
      </w:r>
    </w:p>
    <w:p>
      <w:pPr>
        <w:spacing w:after="0" w:line="117"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44</w:t>
      </w:r>
      <w:r>
        <w:rPr>
          <w:sz w:val="20"/>
          <w:szCs w:val="20"/>
          <w:color w:val="auto"/>
        </w:rPr>
        <w:tab/>
      </w:r>
      <w:r>
        <w:rPr>
          <w:sz w:val="1"/>
          <w:szCs w:val="1"/>
          <w:color w:val="auto"/>
        </w:rPr>
        <w:drawing>
          <wp:inline distT="0" distB="0" distL="0" distR="0">
            <wp:extent cx="582930" cy="13716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060"/>
          </w:cols>
          <w:pgMar w:left="320" w:top="486" w:right="51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Compensation Discussion and Analysis</w:t>
      </w:r>
    </w:p>
    <w:p>
      <w:pPr>
        <w:spacing w:after="0" w:line="343" w:lineRule="exact"/>
        <w:rPr>
          <w:sz w:val="20"/>
          <w:szCs w:val="20"/>
          <w:color w:val="auto"/>
        </w:rPr>
      </w:pPr>
    </w:p>
    <w:p>
      <w:pPr>
        <w:ind w:left="120" w:right="1000"/>
        <w:spacing w:after="0" w:line="288" w:lineRule="auto"/>
        <w:rPr>
          <w:sz w:val="20"/>
          <w:szCs w:val="20"/>
          <w:color w:val="auto"/>
        </w:rPr>
      </w:pPr>
      <w:r>
        <w:rPr>
          <w:rFonts w:ascii="Arial" w:cs="Arial" w:eastAsia="Arial" w:hAnsi="Arial"/>
          <w:sz w:val="25"/>
          <w:szCs w:val="25"/>
          <w:b w:val="1"/>
          <w:bCs w:val="1"/>
          <w:color w:val="0171B9"/>
        </w:rPr>
        <w:t>Our Approach to Environmental Sustainability, Social Responsibility,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12"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Consistent with our commitment to the long-term and our mission to serve patients, we are focused on building a sustainable business. To that end, our environmental sustainability, social responsibility, and corporate governance (ESG) activities are integrated into our business pursuits and overseen by our Board.</w:t>
      </w:r>
    </w:p>
    <w:p>
      <w:pPr>
        <w:spacing w:after="0" w:line="96"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Our 2027 environmental sustainability plan features ambitious targets on carbon emissions, water conservation, and waste reductions. The plan, our third since 2007, includes a goal of achieving carbon neutrality</w:t>
      </w:r>
      <w:r>
        <w:rPr>
          <w:rFonts w:ascii="Arial" w:cs="Arial" w:eastAsia="Arial" w:hAnsi="Arial"/>
          <w:sz w:val="12"/>
          <w:szCs w:val="12"/>
          <w:color w:val="auto"/>
        </w:rPr>
        <w:t>(1)</w:t>
      </w:r>
      <w:r>
        <w:rPr>
          <w:rFonts w:ascii="Arial" w:cs="Arial" w:eastAsia="Arial" w:hAnsi="Arial"/>
          <w:sz w:val="17"/>
          <w:szCs w:val="17"/>
          <w:color w:val="auto"/>
        </w:rPr>
        <w:t xml:space="preserve"> in our operations by 2027. The plan also includes goals to reduce water use by 40% and waste disposed by 75%.</w:t>
      </w:r>
      <w:r>
        <w:rPr>
          <w:rFonts w:ascii="Arial" w:cs="Arial" w:eastAsia="Arial" w:hAnsi="Arial"/>
          <w:sz w:val="12"/>
          <w:szCs w:val="12"/>
          <w:color w:val="auto"/>
        </w:rPr>
        <w:t>(1)</w:t>
      </w:r>
      <w:r>
        <w:rPr>
          <w:rFonts w:ascii="Arial" w:cs="Arial" w:eastAsia="Arial" w:hAnsi="Arial"/>
          <w:sz w:val="17"/>
          <w:szCs w:val="17"/>
          <w:color w:val="auto"/>
        </w:rPr>
        <w:t xml:space="preserve"> After the successful delivery on our ESG goal under our 2021 annual cash incentive plan, our Compensation and Management Development Committee, or Compensation Committee, approved an expanded ESG goal for our 2022 plan designed to hold ourselves accountable for our 2027 environmental sustainability goals and to expand the number of leaders directly responsible for action in support of our diversity, inclusion, and belonging program. This 2022 ESG goal focused on these two areas by requiring:</w:t>
      </w:r>
    </w:p>
    <w:p>
      <w:pPr>
        <w:spacing w:after="0" w:line="111" w:lineRule="exact"/>
        <w:rPr>
          <w:sz w:val="20"/>
          <w:szCs w:val="20"/>
          <w:color w:val="auto"/>
        </w:rPr>
      </w:pPr>
    </w:p>
    <w:p>
      <w:pPr>
        <w:jc w:val="both"/>
        <w:ind w:left="380" w:hanging="264"/>
        <w:spacing w:after="0" w:line="235" w:lineRule="auto"/>
        <w:tabs>
          <w:tab w:leader="none" w:pos="380" w:val="left"/>
        </w:tabs>
        <w:numPr>
          <w:ilvl w:val="0"/>
          <w:numId w:val="58"/>
        </w:numPr>
        <w:rPr>
          <w:rFonts w:ascii="Arial" w:cs="Arial" w:eastAsia="Arial" w:hAnsi="Arial"/>
          <w:sz w:val="17"/>
          <w:szCs w:val="17"/>
          <w:color w:val="0171B9"/>
        </w:rPr>
      </w:pPr>
      <w:r>
        <w:rPr>
          <w:rFonts w:ascii="Arial" w:cs="Arial" w:eastAsia="Arial" w:hAnsi="Arial"/>
          <w:sz w:val="17"/>
          <w:szCs w:val="17"/>
          <w:color w:val="auto"/>
        </w:rPr>
        <w:t>Timely achievement of specific conservation targets for carbon, water, and waste disposed in 2022, measured as a percentage of our 2027 environmental plan goals, and establishment of a Company approved strategy for engaging certain key suppliers to improve their Scope 3 carbon emissions;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176530</wp:posOffset>
            </wp:positionV>
            <wp:extent cx="7715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ind w:left="266" w:right="20" w:hanging="266"/>
        <w:spacing w:after="0" w:line="236" w:lineRule="auto"/>
        <w:tabs>
          <w:tab w:leader="none" w:pos="266" w:val="left"/>
        </w:tabs>
        <w:numPr>
          <w:ilvl w:val="0"/>
          <w:numId w:val="59"/>
        </w:numPr>
        <w:rPr>
          <w:rFonts w:ascii="Arial" w:cs="Arial" w:eastAsia="Arial" w:hAnsi="Arial"/>
          <w:sz w:val="17"/>
          <w:szCs w:val="17"/>
          <w:color w:val="0171B9"/>
        </w:rPr>
      </w:pPr>
      <w:r>
        <w:rPr>
          <w:rFonts w:ascii="Arial" w:cs="Arial" w:eastAsia="Arial" w:hAnsi="Arial"/>
          <w:sz w:val="17"/>
          <w:szCs w:val="17"/>
          <w:color w:val="auto"/>
        </w:rPr>
        <w:t>Establishment and completion of diversity, inclusion, and belonging action plans in 2022 by leaders at the director and above levels to drive ownership and accountability for these activities deeper into the organization with a target goal of 90% participation.</w:t>
      </w:r>
    </w:p>
    <w:p>
      <w:pPr>
        <w:spacing w:after="0" w:line="95" w:lineRule="exact"/>
        <w:rPr>
          <w:sz w:val="20"/>
          <w:szCs w:val="20"/>
          <w:color w:val="auto"/>
        </w:rPr>
      </w:pPr>
    </w:p>
    <w:p>
      <w:pPr>
        <w:jc w:val="both"/>
        <w:ind w:left="6"/>
        <w:spacing w:after="0" w:line="234" w:lineRule="auto"/>
        <w:rPr>
          <w:sz w:val="20"/>
          <w:szCs w:val="20"/>
          <w:color w:val="auto"/>
        </w:rPr>
      </w:pPr>
      <w:r>
        <w:rPr>
          <w:rFonts w:ascii="Arial" w:cs="Arial" w:eastAsia="Arial" w:hAnsi="Arial"/>
          <w:sz w:val="17"/>
          <w:szCs w:val="17"/>
          <w:color w:val="auto"/>
        </w:rPr>
        <w:t>For additional discussion, please see “Aligning Pay With Performance” and “Implementation of Our Strategic Priorities—</w:t>
      </w:r>
      <w:r>
        <w:rPr>
          <w:rFonts w:ascii="Arial" w:cs="Arial" w:eastAsia="Arial" w:hAnsi="Arial"/>
          <w:sz w:val="17"/>
          <w:szCs w:val="17"/>
          <w:i w:val="1"/>
          <w:iCs w:val="1"/>
          <w:color w:val="auto"/>
        </w:rPr>
        <w:t>2022 Annual Cash</w:t>
      </w:r>
      <w:r>
        <w:rPr>
          <w:rFonts w:ascii="Arial" w:cs="Arial" w:eastAsia="Arial" w:hAnsi="Arial"/>
          <w:sz w:val="17"/>
          <w:szCs w:val="17"/>
          <w:color w:val="auto"/>
        </w:rPr>
        <w:t xml:space="preserve"> </w:t>
      </w:r>
      <w:r>
        <w:rPr>
          <w:rFonts w:ascii="Arial" w:cs="Arial" w:eastAsia="Arial" w:hAnsi="Arial"/>
          <w:sz w:val="17"/>
          <w:szCs w:val="17"/>
          <w:i w:val="1"/>
          <w:iCs w:val="1"/>
          <w:color w:val="auto"/>
        </w:rPr>
        <w:t>Incentive Plan</w:t>
      </w:r>
      <w:r>
        <w:rPr>
          <w:rFonts w:ascii="Arial" w:cs="Arial" w:eastAsia="Arial" w:hAnsi="Arial"/>
          <w:sz w:val="17"/>
          <w:szCs w:val="17"/>
          <w:color w:val="auto"/>
        </w:rPr>
        <w:t>,” and “Elements of Compensation and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Decisions—</w:t>
      </w:r>
      <w:r>
        <w:rPr>
          <w:rFonts w:ascii="Arial" w:cs="Arial" w:eastAsia="Arial" w:hAnsi="Arial"/>
          <w:sz w:val="17"/>
          <w:szCs w:val="17"/>
          <w:i w:val="1"/>
          <w:iCs w:val="1"/>
          <w:color w:val="auto"/>
        </w:rPr>
        <w:t>Annual Cash Incentive Awards</w:t>
      </w:r>
      <w:r>
        <w:rPr>
          <w:rFonts w:ascii="Arial" w:cs="Arial" w:eastAsia="Arial" w:hAnsi="Arial"/>
          <w:sz w:val="17"/>
          <w:szCs w:val="17"/>
          <w:color w:val="auto"/>
        </w:rPr>
        <w:t>—2022 Company Performance Goals” below. A description of our ESG efforts can be found in the “Corporate Governance” section, including the subsection “—Our Approach to Environmental Sustainability, Social Responsibility, and Human Capital Management.”</w:t>
      </w:r>
    </w:p>
    <w:p>
      <w:pPr>
        <w:spacing w:after="0" w:line="2399" w:lineRule="exact"/>
        <w:rPr>
          <w:sz w:val="20"/>
          <w:szCs w:val="20"/>
          <w:color w:val="auto"/>
        </w:rPr>
      </w:pPr>
    </w:p>
    <w:p>
      <w:pPr>
        <w:sectPr>
          <w:pgSz w:w="11900" w:h="16838" w:orient="portrait"/>
          <w:cols w:equalWidth="0" w:num="2">
            <w:col w:w="5400" w:space="334"/>
            <w:col w:w="5406"/>
          </w:cols>
          <w:pgMar w:left="320" w:top="486" w:right="439" w:bottom="1440" w:gutter="0" w:footer="0" w:header="0"/>
          <w:type w:val="continuous"/>
        </w:sectPr>
      </w:pPr>
    </w:p>
    <w:p>
      <w:pPr>
        <w:spacing w:after="0" w:line="136" w:lineRule="exact"/>
        <w:rPr>
          <w:sz w:val="20"/>
          <w:szCs w:val="20"/>
          <w:color w:val="auto"/>
        </w:rPr>
      </w:pPr>
    </w:p>
    <w:p>
      <w:pPr>
        <w:ind w:left="540" w:right="20" w:hanging="424"/>
        <w:spacing w:after="0" w:line="193" w:lineRule="auto"/>
        <w:tabs>
          <w:tab w:leader="none" w:pos="540"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Carbon neutrality goal refers to Scope 1 and 2. Reductions take into account only verified reduction projections, do not take into account changes associated with the contraction or expansion of the Company and are measured against a 2019 baseline.</w:t>
      </w:r>
    </w:p>
    <w:p>
      <w:pPr>
        <w:spacing w:after="0" w:line="118"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shd w:val="clear" w:color="auto" w:fill="0171B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234950</wp:posOffset>
            </wp:positionV>
            <wp:extent cx="6998970" cy="69996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8970" cy="699960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0171B9"/>
        </w:rPr>
        <w:t>Our Compensation Best Practices</w:t>
      </w:r>
    </w:p>
    <w:p>
      <w:pPr>
        <w:sectPr>
          <w:pgSz w:w="11900" w:h="16838" w:orient="portrait"/>
          <w:cols w:equalWidth="0" w:num="1">
            <w:col w:w="11060"/>
          </w:cols>
          <w:pgMar w:left="320" w:top="486" w:right="519" w:bottom="1440" w:gutter="0" w:footer="0" w:header="0"/>
        </w:sectPr>
      </w:pPr>
    </w:p>
    <w:p>
      <w:pPr>
        <w:spacing w:after="0" w:line="143" w:lineRule="exact"/>
        <w:rPr>
          <w:sz w:val="20"/>
          <w:szCs w:val="20"/>
          <w:color w:val="auto"/>
        </w:rPr>
      </w:pPr>
    </w:p>
    <w:p>
      <w:pPr>
        <w:jc w:val="center"/>
        <w:ind w:left="300"/>
        <w:spacing w:after="0"/>
        <w:rPr>
          <w:sz w:val="20"/>
          <w:szCs w:val="20"/>
          <w:color w:val="auto"/>
        </w:rPr>
      </w:pPr>
      <w:r>
        <w:rPr>
          <w:rFonts w:ascii="Arial" w:cs="Arial" w:eastAsia="Arial" w:hAnsi="Arial"/>
          <w:sz w:val="16"/>
          <w:szCs w:val="16"/>
          <w:b w:val="1"/>
          <w:bCs w:val="1"/>
          <w:color w:val="0171B9"/>
        </w:rPr>
        <w:t>What we do</w:t>
      </w:r>
    </w:p>
    <w:p>
      <w:pPr>
        <w:spacing w:after="0" w:line="104" w:lineRule="exact"/>
        <w:rPr>
          <w:sz w:val="20"/>
          <w:szCs w:val="20"/>
          <w:color w:val="auto"/>
        </w:rPr>
      </w:pPr>
    </w:p>
    <w:p>
      <w:pPr>
        <w:ind w:left="600" w:hanging="302"/>
        <w:spacing w:after="0" w:line="285" w:lineRule="auto"/>
        <w:tabs>
          <w:tab w:leader="none" w:pos="600" w:val="left"/>
        </w:tabs>
        <w:numPr>
          <w:ilvl w:val="0"/>
          <w:numId w:val="61"/>
        </w:numPr>
        <w:rPr>
          <w:rFonts w:ascii="MS PGothic" w:cs="MS PGothic" w:eastAsia="MS PGothic" w:hAnsi="MS PGothic"/>
          <w:sz w:val="14"/>
          <w:szCs w:val="14"/>
          <w:color w:val="0171B9"/>
        </w:rPr>
      </w:pPr>
      <w:r>
        <w:rPr>
          <w:rFonts w:ascii="Arial" w:cs="Arial" w:eastAsia="Arial" w:hAnsi="Arial"/>
          <w:sz w:val="14"/>
          <w:szCs w:val="14"/>
          <w:b w:val="1"/>
          <w:bCs w:val="1"/>
          <w:color w:val="0171B9"/>
        </w:rPr>
        <w:t xml:space="preserve">Majority of compensation is performance based: </w:t>
      </w:r>
      <w:r>
        <w:rPr>
          <w:rFonts w:ascii="Arial" w:cs="Arial" w:eastAsia="Arial" w:hAnsi="Arial"/>
          <w:sz w:val="14"/>
          <w:szCs w:val="14"/>
          <w:color w:val="000000"/>
        </w:rPr>
        <w:t>A substantial majority</w:t>
      </w:r>
      <w:r>
        <w:rPr>
          <w:rFonts w:ascii="Arial" w:cs="Arial" w:eastAsia="Arial" w:hAnsi="Arial"/>
          <w:sz w:val="14"/>
          <w:szCs w:val="14"/>
          <w:b w:val="1"/>
          <w:bCs w:val="1"/>
          <w:color w:val="0171B9"/>
        </w:rPr>
        <w:t xml:space="preserve"> </w:t>
      </w:r>
      <w:r>
        <w:rPr>
          <w:rFonts w:ascii="Arial" w:cs="Arial" w:eastAsia="Arial" w:hAnsi="Arial"/>
          <w:sz w:val="14"/>
          <w:szCs w:val="14"/>
          <w:color w:val="000000"/>
        </w:rPr>
        <w:t>of NEO compensation is performance based and at risk.</w:t>
      </w:r>
    </w:p>
    <w:p>
      <w:pPr>
        <w:spacing w:after="0" w:line="63" w:lineRule="exact"/>
        <w:rPr>
          <w:rFonts w:ascii="MS PGothic" w:cs="MS PGothic" w:eastAsia="MS PGothic" w:hAnsi="MS PGothic"/>
          <w:sz w:val="14"/>
          <w:szCs w:val="14"/>
          <w:color w:val="0171B9"/>
        </w:rPr>
      </w:pPr>
    </w:p>
    <w:p>
      <w:pPr>
        <w:jc w:val="both"/>
        <w:ind w:left="600" w:hanging="302"/>
        <w:spacing w:after="0" w:line="227" w:lineRule="auto"/>
        <w:tabs>
          <w:tab w:leader="none" w:pos="600" w:val="left"/>
        </w:tabs>
        <w:numPr>
          <w:ilvl w:val="0"/>
          <w:numId w:val="61"/>
        </w:numPr>
        <w:rPr>
          <w:rFonts w:ascii="MS PGothic" w:cs="MS PGothic" w:eastAsia="MS PGothic" w:hAnsi="MS PGothic"/>
          <w:sz w:val="14"/>
          <w:szCs w:val="14"/>
          <w:color w:val="0171B9"/>
        </w:rPr>
      </w:pPr>
      <w:r>
        <w:rPr>
          <w:rFonts w:ascii="Arial" w:cs="Arial" w:eastAsia="Arial" w:hAnsi="Arial"/>
          <w:sz w:val="14"/>
          <w:szCs w:val="14"/>
          <w:b w:val="1"/>
          <w:bCs w:val="1"/>
          <w:color w:val="0171B9"/>
        </w:rPr>
        <w:t>Clawback Policy</w:t>
      </w:r>
      <w:r>
        <w:rPr>
          <w:rFonts w:ascii="Arial" w:cs="Arial" w:eastAsia="Arial" w:hAnsi="Arial"/>
          <w:sz w:val="21"/>
          <w:szCs w:val="21"/>
          <w:color w:val="0171B9"/>
          <w:vertAlign w:val="superscript"/>
        </w:rPr>
        <w:t>(1)</w:t>
      </w:r>
      <w:r>
        <w:rPr>
          <w:rFonts w:ascii="Arial" w:cs="Arial" w:eastAsia="Arial" w:hAnsi="Arial"/>
          <w:sz w:val="14"/>
          <w:szCs w:val="14"/>
          <w:b w:val="1"/>
          <w:bCs w:val="1"/>
          <w:color w:val="000000"/>
        </w:rPr>
        <w:t>:</w:t>
      </w:r>
      <w:r>
        <w:rPr>
          <w:rFonts w:ascii="Arial" w:cs="Arial" w:eastAsia="Arial" w:hAnsi="Arial"/>
          <w:sz w:val="14"/>
          <w:szCs w:val="14"/>
          <w:b w:val="1"/>
          <w:bCs w:val="1"/>
          <w:color w:val="0171B9"/>
        </w:rPr>
        <w:t xml:space="preserve"> </w:t>
      </w:r>
      <w:r>
        <w:rPr>
          <w:rFonts w:ascii="Arial" w:cs="Arial" w:eastAsia="Arial" w:hAnsi="Arial"/>
          <w:sz w:val="14"/>
          <w:szCs w:val="14"/>
          <w:color w:val="000000"/>
        </w:rPr>
        <w:t>Our Board is required to consider the recapture of</w:t>
      </w:r>
      <w:r>
        <w:rPr>
          <w:rFonts w:ascii="Arial" w:cs="Arial" w:eastAsia="Arial" w:hAnsi="Arial"/>
          <w:sz w:val="14"/>
          <w:szCs w:val="14"/>
          <w:b w:val="1"/>
          <w:bCs w:val="1"/>
          <w:color w:val="0171B9"/>
        </w:rPr>
        <w:t xml:space="preserve"> </w:t>
      </w:r>
      <w:r>
        <w:rPr>
          <w:rFonts w:ascii="Arial" w:cs="Arial" w:eastAsia="Arial" w:hAnsi="Arial"/>
          <w:sz w:val="14"/>
          <w:szCs w:val="14"/>
          <w:color w:val="000000"/>
        </w:rPr>
        <w:t>past cash or long-term incentive, or LTI, equity award payouts to our NEOs if the amounts were determined based on financial results that are later restated and the NEOs’ misconduct is determined by the Board to have caused the restatement.</w:t>
      </w:r>
    </w:p>
    <w:p>
      <w:pPr>
        <w:spacing w:after="0" w:line="94" w:lineRule="exact"/>
        <w:rPr>
          <w:rFonts w:ascii="MS PGothic" w:cs="MS PGothic" w:eastAsia="MS PGothic" w:hAnsi="MS PGothic"/>
          <w:sz w:val="14"/>
          <w:szCs w:val="14"/>
          <w:color w:val="0171B9"/>
        </w:rPr>
      </w:pPr>
    </w:p>
    <w:p>
      <w:pPr>
        <w:ind w:left="600" w:hanging="302"/>
        <w:spacing w:after="0" w:line="285" w:lineRule="auto"/>
        <w:tabs>
          <w:tab w:leader="none" w:pos="600" w:val="left"/>
        </w:tabs>
        <w:numPr>
          <w:ilvl w:val="0"/>
          <w:numId w:val="61"/>
        </w:numPr>
        <w:rPr>
          <w:rFonts w:ascii="MS PGothic" w:cs="MS PGothic" w:eastAsia="MS PGothic" w:hAnsi="MS PGothic"/>
          <w:sz w:val="14"/>
          <w:szCs w:val="14"/>
          <w:color w:val="0171B9"/>
        </w:rPr>
      </w:pPr>
      <w:r>
        <w:rPr>
          <w:rFonts w:ascii="Arial" w:cs="Arial" w:eastAsia="Arial" w:hAnsi="Arial"/>
          <w:sz w:val="14"/>
          <w:szCs w:val="14"/>
          <w:b w:val="1"/>
          <w:bCs w:val="1"/>
          <w:color w:val="0171B9"/>
        </w:rPr>
        <w:t xml:space="preserve">Recoupment Provisions for Misconduct: </w:t>
      </w:r>
      <w:r>
        <w:rPr>
          <w:rFonts w:ascii="Arial" w:cs="Arial" w:eastAsia="Arial" w:hAnsi="Arial"/>
          <w:sz w:val="14"/>
          <w:szCs w:val="14"/>
          <w:color w:val="000000"/>
        </w:rPr>
        <w:t>Our recoupment mechanisms</w:t>
      </w:r>
      <w:r>
        <w:rPr>
          <w:rFonts w:ascii="Arial" w:cs="Arial" w:eastAsia="Arial" w:hAnsi="Arial"/>
          <w:sz w:val="14"/>
          <w:szCs w:val="14"/>
          <w:b w:val="1"/>
          <w:bCs w:val="1"/>
          <w:color w:val="0171B9"/>
        </w:rPr>
        <w:t xml:space="preserve"> </w:t>
      </w:r>
      <w:r>
        <w:rPr>
          <w:rFonts w:ascii="Arial" w:cs="Arial" w:eastAsia="Arial" w:hAnsi="Arial"/>
          <w:sz w:val="14"/>
          <w:szCs w:val="14"/>
          <w:color w:val="000000"/>
        </w:rPr>
        <w:t>include:</w:t>
      </w:r>
    </w:p>
    <w:p>
      <w:pPr>
        <w:spacing w:after="0" w:line="63" w:lineRule="exact"/>
        <w:rPr>
          <w:rFonts w:ascii="MS PGothic" w:cs="MS PGothic" w:eastAsia="MS PGothic" w:hAnsi="MS PGothic"/>
          <w:sz w:val="14"/>
          <w:szCs w:val="14"/>
          <w:color w:val="0171B9"/>
        </w:rPr>
      </w:pPr>
    </w:p>
    <w:p>
      <w:pPr>
        <w:jc w:val="both"/>
        <w:ind w:left="900" w:hanging="318"/>
        <w:spacing w:after="0" w:line="250" w:lineRule="auto"/>
        <w:tabs>
          <w:tab w:leader="none" w:pos="900" w:val="left"/>
        </w:tabs>
        <w:numPr>
          <w:ilvl w:val="1"/>
          <w:numId w:val="61"/>
        </w:numPr>
        <w:rPr>
          <w:rFonts w:ascii="MS PGothic" w:cs="MS PGothic" w:eastAsia="MS PGothic" w:hAnsi="MS PGothic"/>
          <w:sz w:val="14"/>
          <w:szCs w:val="14"/>
          <w:color w:val="0171B9"/>
        </w:rPr>
      </w:pPr>
      <w:r>
        <w:rPr>
          <w:rFonts w:ascii="Arial" w:cs="Arial" w:eastAsia="Arial" w:hAnsi="Arial"/>
          <w:sz w:val="14"/>
          <w:szCs w:val="14"/>
          <w:b w:val="1"/>
          <w:bCs w:val="1"/>
          <w:color w:val="0171B9"/>
        </w:rPr>
        <w:t xml:space="preserve">Cash Incentive Compensation Plan Recoupment Provisions: </w:t>
      </w:r>
      <w:r>
        <w:rPr>
          <w:rFonts w:ascii="Arial" w:cs="Arial" w:eastAsia="Arial" w:hAnsi="Arial"/>
          <w:sz w:val="14"/>
          <w:szCs w:val="14"/>
          <w:color w:val="000000"/>
        </w:rPr>
        <w:t>Recoupment provisions applicable to all staff members that expressly allow the Compensation Committee to determine that annual cash incentive awards are not earned fully, or in part, where such employee has engaged in misconduct that causes serious financial or reputational damage to the Company.</w:t>
      </w:r>
    </w:p>
    <w:p>
      <w:pPr>
        <w:spacing w:after="0" w:line="87" w:lineRule="exact"/>
        <w:rPr>
          <w:rFonts w:ascii="MS PGothic" w:cs="MS PGothic" w:eastAsia="MS PGothic" w:hAnsi="MS PGothic"/>
          <w:sz w:val="14"/>
          <w:szCs w:val="14"/>
          <w:color w:val="0171B9"/>
        </w:rPr>
      </w:pPr>
    </w:p>
    <w:p>
      <w:pPr>
        <w:jc w:val="both"/>
        <w:ind w:left="900" w:hanging="318"/>
        <w:spacing w:after="0" w:line="248" w:lineRule="auto"/>
        <w:tabs>
          <w:tab w:leader="none" w:pos="900" w:val="left"/>
        </w:tabs>
        <w:numPr>
          <w:ilvl w:val="1"/>
          <w:numId w:val="61"/>
        </w:numPr>
        <w:rPr>
          <w:rFonts w:ascii="MS PGothic" w:cs="MS PGothic" w:eastAsia="MS PGothic" w:hAnsi="MS PGothic"/>
          <w:sz w:val="14"/>
          <w:szCs w:val="14"/>
          <w:color w:val="0171B9"/>
        </w:rPr>
      </w:pPr>
      <w:r>
        <w:rPr>
          <w:rFonts w:ascii="Arial" w:cs="Arial" w:eastAsia="Arial" w:hAnsi="Arial"/>
          <w:sz w:val="14"/>
          <w:szCs w:val="14"/>
          <w:b w:val="1"/>
          <w:bCs w:val="1"/>
          <w:color w:val="0171B9"/>
        </w:rPr>
        <w:t xml:space="preserve">Equity Recoupment Policy: </w:t>
      </w:r>
      <w:r>
        <w:rPr>
          <w:rFonts w:ascii="Arial" w:cs="Arial" w:eastAsia="Arial" w:hAnsi="Arial"/>
          <w:sz w:val="14"/>
          <w:szCs w:val="14"/>
          <w:color w:val="000000"/>
        </w:rPr>
        <w:t>The Compensation Committee has</w:t>
      </w:r>
      <w:r>
        <w:rPr>
          <w:rFonts w:ascii="Arial" w:cs="Arial" w:eastAsia="Arial" w:hAnsi="Arial"/>
          <w:sz w:val="14"/>
          <w:szCs w:val="14"/>
          <w:b w:val="1"/>
          <w:bCs w:val="1"/>
          <w:color w:val="0171B9"/>
        </w:rPr>
        <w:t xml:space="preserve"> </w:t>
      </w:r>
      <w:r>
        <w:rPr>
          <w:rFonts w:ascii="Arial" w:cs="Arial" w:eastAsia="Arial" w:hAnsi="Arial"/>
          <w:sz w:val="14"/>
          <w:szCs w:val="14"/>
          <w:color w:val="000000"/>
        </w:rPr>
        <w:t>adopted a policy that provides the Compensation Committee with the ability to cause the forfeiture and cancellation of unvested equity awards and any unexercised portion of any stock options (granted after December 31, 2020) should an executive officer be terminated for engaging in misconduct that caused serious financial or reputational damage to the Company.</w:t>
      </w:r>
    </w:p>
    <w:p>
      <w:pPr>
        <w:spacing w:after="0" w:line="90" w:lineRule="exact"/>
        <w:rPr>
          <w:rFonts w:ascii="MS PGothic" w:cs="MS PGothic" w:eastAsia="MS PGothic" w:hAnsi="MS PGothic"/>
          <w:sz w:val="14"/>
          <w:szCs w:val="14"/>
          <w:color w:val="0171B9"/>
        </w:rPr>
      </w:pPr>
    </w:p>
    <w:p>
      <w:pPr>
        <w:jc w:val="both"/>
        <w:ind w:left="600" w:hanging="302"/>
        <w:spacing w:after="0" w:line="246" w:lineRule="auto"/>
        <w:tabs>
          <w:tab w:leader="none" w:pos="600" w:val="left"/>
        </w:tabs>
        <w:numPr>
          <w:ilvl w:val="0"/>
          <w:numId w:val="61"/>
        </w:numPr>
        <w:rPr>
          <w:rFonts w:ascii="MS PGothic" w:cs="MS PGothic" w:eastAsia="MS PGothic" w:hAnsi="MS PGothic"/>
          <w:sz w:val="14"/>
          <w:szCs w:val="14"/>
          <w:color w:val="0171B9"/>
        </w:rPr>
      </w:pPr>
      <w:r>
        <w:rPr>
          <w:rFonts w:ascii="Arial" w:cs="Arial" w:eastAsia="Arial" w:hAnsi="Arial"/>
          <w:sz w:val="14"/>
          <w:szCs w:val="14"/>
          <w:b w:val="1"/>
          <w:bCs w:val="1"/>
          <w:color w:val="0171B9"/>
        </w:rPr>
        <w:t xml:space="preserve">Stock ownership and retention guidelines: </w:t>
      </w:r>
      <w:r>
        <w:rPr>
          <w:rFonts w:ascii="Arial" w:cs="Arial" w:eastAsia="Arial" w:hAnsi="Arial"/>
          <w:sz w:val="14"/>
          <w:szCs w:val="14"/>
          <w:color w:val="000000"/>
        </w:rPr>
        <w:t>We have a six times base</w:t>
      </w:r>
      <w:r>
        <w:rPr>
          <w:rFonts w:ascii="Arial" w:cs="Arial" w:eastAsia="Arial" w:hAnsi="Arial"/>
          <w:sz w:val="14"/>
          <w:szCs w:val="14"/>
          <w:b w:val="1"/>
          <w:bCs w:val="1"/>
          <w:color w:val="0171B9"/>
        </w:rPr>
        <w:t xml:space="preserve"> </w:t>
      </w:r>
      <w:r>
        <w:rPr>
          <w:rFonts w:ascii="Arial" w:cs="Arial" w:eastAsia="Arial" w:hAnsi="Arial"/>
          <w:sz w:val="14"/>
          <w:szCs w:val="14"/>
          <w:color w:val="000000"/>
        </w:rPr>
        <w:t>salary ownership requirement for our Chief Executive Officer. Our Executive Vice Presidents and Senior Vice Presidents have three times and two times base salary ownership requirements, respectively. Officers are required to hold shares of our Common Stock acquired through the vesting of restricted stock units, or RSUs, the payout of performance units, or the exercise of stock options until they have reached the required stock ownership level. Compliance with this policy is assessed annually and all executive officers, including our NEOs, who were expected to meet such guidelines by December 31, 2022, were in compliance.</w:t>
      </w:r>
    </w:p>
    <w:p>
      <w:pPr>
        <w:spacing w:after="0" w:line="91" w:lineRule="exact"/>
        <w:rPr>
          <w:rFonts w:ascii="MS PGothic" w:cs="MS PGothic" w:eastAsia="MS PGothic" w:hAnsi="MS PGothic"/>
          <w:sz w:val="14"/>
          <w:szCs w:val="14"/>
          <w:color w:val="0171B9"/>
        </w:rPr>
      </w:pPr>
    </w:p>
    <w:p>
      <w:pPr>
        <w:jc w:val="both"/>
        <w:ind w:left="600" w:hanging="302"/>
        <w:spacing w:after="0" w:line="250" w:lineRule="auto"/>
        <w:tabs>
          <w:tab w:leader="none" w:pos="600" w:val="left"/>
        </w:tabs>
        <w:numPr>
          <w:ilvl w:val="0"/>
          <w:numId w:val="61"/>
        </w:numPr>
        <w:rPr>
          <w:rFonts w:ascii="MS PGothic" w:cs="MS PGothic" w:eastAsia="MS PGothic" w:hAnsi="MS PGothic"/>
          <w:sz w:val="14"/>
          <w:szCs w:val="14"/>
          <w:color w:val="0171B9"/>
        </w:rPr>
      </w:pPr>
      <w:r>
        <w:rPr>
          <w:rFonts w:ascii="Arial" w:cs="Arial" w:eastAsia="Arial" w:hAnsi="Arial"/>
          <w:sz w:val="14"/>
          <w:szCs w:val="14"/>
          <w:b w:val="1"/>
          <w:bCs w:val="1"/>
          <w:color w:val="0171B9"/>
        </w:rPr>
        <w:t xml:space="preserve">Minimum vesting periods: </w:t>
      </w:r>
      <w:r>
        <w:rPr>
          <w:rFonts w:ascii="Arial" w:cs="Arial" w:eastAsia="Arial" w:hAnsi="Arial"/>
          <w:sz w:val="14"/>
          <w:szCs w:val="14"/>
          <w:color w:val="000000"/>
        </w:rPr>
        <w:t>Our equity incentive plan provides that our</w:t>
      </w:r>
      <w:r>
        <w:rPr>
          <w:rFonts w:ascii="Arial" w:cs="Arial" w:eastAsia="Arial" w:hAnsi="Arial"/>
          <w:sz w:val="14"/>
          <w:szCs w:val="14"/>
          <w:b w:val="1"/>
          <w:bCs w:val="1"/>
          <w:color w:val="0171B9"/>
        </w:rPr>
        <w:t xml:space="preserve"> </w:t>
      </w:r>
      <w:r>
        <w:rPr>
          <w:rFonts w:ascii="Arial" w:cs="Arial" w:eastAsia="Arial" w:hAnsi="Arial"/>
          <w:sz w:val="14"/>
          <w:szCs w:val="14"/>
          <w:color w:val="000000"/>
        </w:rPr>
        <w:t>equity awards are subject to a minimum vesting period of no less than one year for 95% of equity awards granted. Our grants generally vest over four years, with no vesting in the first year and vesting in three approximately equal annual installments on the second, third, and fourth anniversaries of the grant date.</w:t>
      </w:r>
    </w:p>
    <w:p>
      <w:pPr>
        <w:spacing w:after="0" w:line="87" w:lineRule="exact"/>
        <w:rPr>
          <w:rFonts w:ascii="MS PGothic" w:cs="MS PGothic" w:eastAsia="MS PGothic" w:hAnsi="MS PGothic"/>
          <w:sz w:val="14"/>
          <w:szCs w:val="14"/>
          <w:color w:val="0171B9"/>
        </w:rPr>
      </w:pPr>
    </w:p>
    <w:p>
      <w:pPr>
        <w:jc w:val="both"/>
        <w:ind w:left="600" w:hanging="302"/>
        <w:spacing w:after="0" w:line="263" w:lineRule="auto"/>
        <w:tabs>
          <w:tab w:leader="none" w:pos="600" w:val="left"/>
        </w:tabs>
        <w:numPr>
          <w:ilvl w:val="0"/>
          <w:numId w:val="61"/>
        </w:numPr>
        <w:rPr>
          <w:rFonts w:ascii="MS PGothic" w:cs="MS PGothic" w:eastAsia="MS PGothic" w:hAnsi="MS PGothic"/>
          <w:sz w:val="14"/>
          <w:szCs w:val="14"/>
          <w:color w:val="0171B9"/>
        </w:rPr>
      </w:pPr>
      <w:r>
        <w:rPr>
          <w:rFonts w:ascii="Arial" w:cs="Arial" w:eastAsia="Arial" w:hAnsi="Arial"/>
          <w:sz w:val="14"/>
          <w:szCs w:val="14"/>
          <w:b w:val="1"/>
          <w:bCs w:val="1"/>
          <w:color w:val="0171B9"/>
        </w:rPr>
        <w:t xml:space="preserve">Performance-based equity: </w:t>
      </w:r>
      <w:r>
        <w:rPr>
          <w:rFonts w:ascii="Arial" w:cs="Arial" w:eastAsia="Arial" w:hAnsi="Arial"/>
          <w:sz w:val="14"/>
          <w:szCs w:val="14"/>
          <w:color w:val="000000"/>
        </w:rPr>
        <w:t>Our LTI equity award grants are primarily</w:t>
      </w:r>
      <w:r>
        <w:rPr>
          <w:rFonts w:ascii="Arial" w:cs="Arial" w:eastAsia="Arial" w:hAnsi="Arial"/>
          <w:sz w:val="14"/>
          <w:szCs w:val="14"/>
          <w:b w:val="1"/>
          <w:bCs w:val="1"/>
          <w:color w:val="0171B9"/>
        </w:rPr>
        <w:t xml:space="preserve"> </w:t>
      </w:r>
      <w:r>
        <w:rPr>
          <w:rFonts w:ascii="Arial" w:cs="Arial" w:eastAsia="Arial" w:hAnsi="Arial"/>
          <w:sz w:val="14"/>
          <w:szCs w:val="14"/>
          <w:color w:val="000000"/>
        </w:rPr>
        <w:t>(80%) performance-based, with 50% in the form of three-year performance units.</w:t>
      </w:r>
    </w:p>
    <w:p>
      <w:pPr>
        <w:spacing w:after="0" w:line="78" w:lineRule="exact"/>
        <w:rPr>
          <w:rFonts w:ascii="MS PGothic" w:cs="MS PGothic" w:eastAsia="MS PGothic" w:hAnsi="MS PGothic"/>
          <w:sz w:val="14"/>
          <w:szCs w:val="14"/>
          <w:color w:val="0171B9"/>
        </w:rPr>
      </w:pPr>
    </w:p>
    <w:p>
      <w:pPr>
        <w:jc w:val="both"/>
        <w:ind w:left="600" w:hanging="302"/>
        <w:spacing w:after="0" w:line="256" w:lineRule="auto"/>
        <w:tabs>
          <w:tab w:leader="none" w:pos="600" w:val="left"/>
        </w:tabs>
        <w:numPr>
          <w:ilvl w:val="0"/>
          <w:numId w:val="61"/>
        </w:numPr>
        <w:rPr>
          <w:rFonts w:ascii="MS PGothic" w:cs="MS PGothic" w:eastAsia="MS PGothic" w:hAnsi="MS PGothic"/>
          <w:sz w:val="14"/>
          <w:szCs w:val="14"/>
          <w:color w:val="0171B9"/>
        </w:rPr>
      </w:pPr>
      <w:r>
        <w:rPr>
          <w:rFonts w:ascii="Arial" w:cs="Arial" w:eastAsia="Arial" w:hAnsi="Arial"/>
          <w:sz w:val="14"/>
          <w:szCs w:val="14"/>
          <w:b w:val="1"/>
          <w:bCs w:val="1"/>
          <w:color w:val="0171B9"/>
        </w:rPr>
        <w:t xml:space="preserve">Independent compensation consultant: </w:t>
      </w:r>
      <w:r>
        <w:rPr>
          <w:rFonts w:ascii="Arial" w:cs="Arial" w:eastAsia="Arial" w:hAnsi="Arial"/>
          <w:sz w:val="14"/>
          <w:szCs w:val="14"/>
          <w:color w:val="000000"/>
        </w:rPr>
        <w:t>The Compensation Committee</w:t>
      </w:r>
      <w:r>
        <w:rPr>
          <w:rFonts w:ascii="Arial" w:cs="Arial" w:eastAsia="Arial" w:hAnsi="Arial"/>
          <w:sz w:val="14"/>
          <w:szCs w:val="14"/>
          <w:b w:val="1"/>
          <w:bCs w:val="1"/>
          <w:color w:val="0171B9"/>
        </w:rPr>
        <w:t xml:space="preserve"> </w:t>
      </w:r>
      <w:r>
        <w:rPr>
          <w:rFonts w:ascii="Arial" w:cs="Arial" w:eastAsia="Arial" w:hAnsi="Arial"/>
          <w:sz w:val="14"/>
          <w:szCs w:val="14"/>
          <w:color w:val="000000"/>
        </w:rPr>
        <w:t>retained and sought advice from Frederic W. Cook &amp; Co., or FW Cook, to assist the Compensation Committee in its review and determination of executive compensation.</w:t>
      </w:r>
    </w:p>
    <w:p>
      <w:pPr>
        <w:spacing w:after="0" w:line="82" w:lineRule="exact"/>
        <w:rPr>
          <w:rFonts w:ascii="MS PGothic" w:cs="MS PGothic" w:eastAsia="MS PGothic" w:hAnsi="MS PGothic"/>
          <w:sz w:val="14"/>
          <w:szCs w:val="14"/>
          <w:color w:val="0171B9"/>
        </w:rPr>
      </w:pPr>
    </w:p>
    <w:p>
      <w:pPr>
        <w:jc w:val="both"/>
        <w:ind w:left="600" w:hanging="302"/>
        <w:spacing w:after="0" w:line="256" w:lineRule="auto"/>
        <w:tabs>
          <w:tab w:leader="none" w:pos="600" w:val="left"/>
        </w:tabs>
        <w:numPr>
          <w:ilvl w:val="0"/>
          <w:numId w:val="61"/>
        </w:numPr>
        <w:rPr>
          <w:rFonts w:ascii="MS PGothic" w:cs="MS PGothic" w:eastAsia="MS PGothic" w:hAnsi="MS PGothic"/>
          <w:sz w:val="14"/>
          <w:szCs w:val="14"/>
          <w:color w:val="0171B9"/>
        </w:rPr>
      </w:pPr>
      <w:r>
        <w:rPr>
          <w:rFonts w:ascii="Arial" w:cs="Arial" w:eastAsia="Arial" w:hAnsi="Arial"/>
          <w:sz w:val="14"/>
          <w:szCs w:val="14"/>
          <w:b w:val="1"/>
          <w:bCs w:val="1"/>
          <w:color w:val="0171B9"/>
        </w:rPr>
        <w:t xml:space="preserve">Amgen Values: </w:t>
      </w:r>
      <w:r>
        <w:rPr>
          <w:rFonts w:ascii="Arial" w:cs="Arial" w:eastAsia="Arial" w:hAnsi="Arial"/>
          <w:sz w:val="14"/>
          <w:szCs w:val="14"/>
          <w:color w:val="000000"/>
        </w:rPr>
        <w:t>The Amgen Values overlay our Company performance</w:t>
      </w:r>
      <w:r>
        <w:rPr>
          <w:rFonts w:ascii="Arial" w:cs="Arial" w:eastAsia="Arial" w:hAnsi="Arial"/>
          <w:sz w:val="14"/>
          <w:szCs w:val="14"/>
          <w:b w:val="1"/>
          <w:bCs w:val="1"/>
          <w:color w:val="0171B9"/>
        </w:rPr>
        <w:t xml:space="preserve"> </w:t>
      </w:r>
      <w:r>
        <w:rPr>
          <w:rFonts w:ascii="Arial" w:cs="Arial" w:eastAsia="Arial" w:hAnsi="Arial"/>
          <w:sz w:val="14"/>
          <w:szCs w:val="14"/>
          <w:color w:val="000000"/>
        </w:rPr>
        <w:t>goals and the Compensation Committee assesses each NEO’s annual compensation, including the annual incentive award, based on compliance with these internal standards.</w:t>
      </w:r>
    </w:p>
    <w:p>
      <w:pPr>
        <w:spacing w:after="0" w:line="82" w:lineRule="exact"/>
        <w:rPr>
          <w:rFonts w:ascii="MS PGothic" w:cs="MS PGothic" w:eastAsia="MS PGothic" w:hAnsi="MS PGothic"/>
          <w:sz w:val="14"/>
          <w:szCs w:val="14"/>
          <w:color w:val="0171B9"/>
        </w:rPr>
      </w:pPr>
    </w:p>
    <w:p>
      <w:pPr>
        <w:jc w:val="both"/>
        <w:ind w:left="600" w:hanging="302"/>
        <w:spacing w:after="0" w:line="256" w:lineRule="auto"/>
        <w:tabs>
          <w:tab w:leader="none" w:pos="600" w:val="left"/>
        </w:tabs>
        <w:numPr>
          <w:ilvl w:val="0"/>
          <w:numId w:val="61"/>
        </w:numPr>
        <w:rPr>
          <w:rFonts w:ascii="MS PGothic" w:cs="MS PGothic" w:eastAsia="MS PGothic" w:hAnsi="MS PGothic"/>
          <w:sz w:val="14"/>
          <w:szCs w:val="14"/>
          <w:color w:val="0171B9"/>
        </w:rPr>
      </w:pPr>
      <w:r>
        <w:rPr>
          <w:rFonts w:ascii="Arial" w:cs="Arial" w:eastAsia="Arial" w:hAnsi="Arial"/>
          <w:sz w:val="14"/>
          <w:szCs w:val="14"/>
          <w:b w:val="1"/>
          <w:bCs w:val="1"/>
          <w:color w:val="0171B9"/>
        </w:rPr>
        <w:t xml:space="preserve">EEO-1 Disclosure: </w:t>
      </w:r>
      <w:r>
        <w:rPr>
          <w:rFonts w:ascii="Arial" w:cs="Arial" w:eastAsia="Arial" w:hAnsi="Arial"/>
          <w:sz w:val="14"/>
          <w:szCs w:val="14"/>
          <w:color w:val="000000"/>
        </w:rPr>
        <w:t>To enhance transparency around the composition of</w:t>
      </w:r>
      <w:r>
        <w:rPr>
          <w:rFonts w:ascii="Arial" w:cs="Arial" w:eastAsia="Arial" w:hAnsi="Arial"/>
          <w:sz w:val="14"/>
          <w:szCs w:val="14"/>
          <w:b w:val="1"/>
          <w:bCs w:val="1"/>
          <w:color w:val="0171B9"/>
        </w:rPr>
        <w:t xml:space="preserve"> </w:t>
      </w:r>
      <w:r>
        <w:rPr>
          <w:rFonts w:ascii="Arial" w:cs="Arial" w:eastAsia="Arial" w:hAnsi="Arial"/>
          <w:sz w:val="14"/>
          <w:szCs w:val="14"/>
          <w:color w:val="000000"/>
        </w:rPr>
        <w:t>our workforce, we disclose our annual Consolidated EEO-1 Report after our submission of the report to the U.S. Equal Employment Opportunity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386715</wp:posOffset>
            </wp:positionV>
            <wp:extent cx="7454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454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114"/>
        <w:spacing w:after="0"/>
        <w:rPr>
          <w:sz w:val="20"/>
          <w:szCs w:val="20"/>
          <w:color w:val="auto"/>
        </w:rPr>
      </w:pPr>
      <w:r>
        <w:rPr>
          <w:rFonts w:ascii="Arial" w:cs="Arial" w:eastAsia="Arial" w:hAnsi="Arial"/>
          <w:sz w:val="16"/>
          <w:szCs w:val="16"/>
          <w:b w:val="1"/>
          <w:bCs w:val="1"/>
          <w:color w:val="0171B9"/>
        </w:rPr>
        <w:t>What we don’t do</w:t>
      </w:r>
    </w:p>
    <w:p>
      <w:pPr>
        <w:spacing w:after="0" w:line="104" w:lineRule="exact"/>
        <w:rPr>
          <w:sz w:val="20"/>
          <w:szCs w:val="20"/>
          <w:color w:val="auto"/>
        </w:rPr>
      </w:pPr>
    </w:p>
    <w:p>
      <w:pPr>
        <w:jc w:val="both"/>
        <w:ind w:left="386" w:right="120" w:hanging="386"/>
        <w:spacing w:after="0" w:line="210" w:lineRule="auto"/>
        <w:tabs>
          <w:tab w:leader="none" w:pos="386" w:val="left"/>
        </w:tabs>
        <w:numPr>
          <w:ilvl w:val="0"/>
          <w:numId w:val="62"/>
        </w:numPr>
        <w:rPr>
          <w:rFonts w:ascii="Arial" w:cs="Arial" w:eastAsia="Arial" w:hAnsi="Arial"/>
          <w:sz w:val="25"/>
          <w:szCs w:val="25"/>
          <w:b w:val="1"/>
          <w:bCs w:val="1"/>
          <w:color w:val="0171B9"/>
        </w:rPr>
      </w:pPr>
      <w:r>
        <w:rPr>
          <w:rFonts w:ascii="Arial" w:cs="Arial" w:eastAsia="Arial" w:hAnsi="Arial"/>
          <w:sz w:val="14"/>
          <w:szCs w:val="14"/>
          <w:b w:val="1"/>
          <w:bCs w:val="1"/>
          <w:color w:val="0171B9"/>
        </w:rPr>
        <w:t xml:space="preserve">No alterations to our established goals to respond to changing business conditions </w:t>
      </w:r>
      <w:r>
        <w:rPr>
          <w:rFonts w:ascii="Arial" w:cs="Arial" w:eastAsia="Arial" w:hAnsi="Arial"/>
          <w:sz w:val="14"/>
          <w:szCs w:val="14"/>
          <w:color w:val="000000"/>
        </w:rPr>
        <w:t>(for example, we have not made any changes to</w:t>
      </w:r>
      <w:r>
        <w:rPr>
          <w:rFonts w:ascii="Arial" w:cs="Arial" w:eastAsia="Arial" w:hAnsi="Arial"/>
          <w:sz w:val="14"/>
          <w:szCs w:val="14"/>
          <w:b w:val="1"/>
          <w:bCs w:val="1"/>
          <w:color w:val="0171B9"/>
        </w:rPr>
        <w:t xml:space="preserve"> </w:t>
      </w:r>
      <w:r>
        <w:rPr>
          <w:rFonts w:ascii="Arial" w:cs="Arial" w:eastAsia="Arial" w:hAnsi="Arial"/>
          <w:sz w:val="14"/>
          <w:szCs w:val="14"/>
          <w:color w:val="000000"/>
        </w:rPr>
        <w:t>established goals in response to the occurrence or challenges of the pandemic).</w:t>
      </w:r>
    </w:p>
    <w:p>
      <w:pPr>
        <w:spacing w:after="0" w:line="108" w:lineRule="exact"/>
        <w:rPr>
          <w:rFonts w:ascii="Arial" w:cs="Arial" w:eastAsia="Arial" w:hAnsi="Arial"/>
          <w:sz w:val="25"/>
          <w:szCs w:val="25"/>
          <w:b w:val="1"/>
          <w:bCs w:val="1"/>
          <w:color w:val="0171B9"/>
        </w:rPr>
      </w:pPr>
    </w:p>
    <w:p>
      <w:pPr>
        <w:jc w:val="both"/>
        <w:ind w:left="386" w:right="120" w:hanging="386"/>
        <w:spacing w:after="0" w:line="190" w:lineRule="auto"/>
        <w:tabs>
          <w:tab w:leader="none" w:pos="386" w:val="left"/>
        </w:tabs>
        <w:numPr>
          <w:ilvl w:val="0"/>
          <w:numId w:val="62"/>
        </w:numPr>
        <w:rPr>
          <w:rFonts w:ascii="Arial" w:cs="Arial" w:eastAsia="Arial" w:hAnsi="Arial"/>
          <w:sz w:val="25"/>
          <w:szCs w:val="25"/>
          <w:b w:val="1"/>
          <w:bCs w:val="1"/>
          <w:color w:val="0171B9"/>
        </w:rPr>
      </w:pPr>
      <w:r>
        <w:rPr>
          <w:rFonts w:ascii="Arial" w:cs="Arial" w:eastAsia="Arial" w:hAnsi="Arial"/>
          <w:sz w:val="14"/>
          <w:szCs w:val="14"/>
          <w:b w:val="1"/>
          <w:bCs w:val="1"/>
          <w:color w:val="0171B9"/>
        </w:rPr>
        <w:t xml:space="preserve">No hedging or pledging: </w:t>
      </w:r>
      <w:r>
        <w:rPr>
          <w:rFonts w:ascii="Arial" w:cs="Arial" w:eastAsia="Arial" w:hAnsi="Arial"/>
          <w:sz w:val="14"/>
          <w:szCs w:val="14"/>
          <w:color w:val="000000"/>
        </w:rPr>
        <w:t>With respect to our Common Stock, all of our</w:t>
      </w:r>
      <w:r>
        <w:rPr>
          <w:rFonts w:ascii="Arial" w:cs="Arial" w:eastAsia="Arial" w:hAnsi="Arial"/>
          <w:sz w:val="14"/>
          <w:szCs w:val="14"/>
          <w:b w:val="1"/>
          <w:bCs w:val="1"/>
          <w:color w:val="0171B9"/>
        </w:rPr>
        <w:t xml:space="preserve"> </w:t>
      </w:r>
      <w:r>
        <w:rPr>
          <w:rFonts w:ascii="Arial" w:cs="Arial" w:eastAsia="Arial" w:hAnsi="Arial"/>
          <w:sz w:val="14"/>
          <w:szCs w:val="14"/>
          <w:color w:val="000000"/>
        </w:rPr>
        <w:t>staff members and Board members are prohibited from engaging in short sales, purchasing or pledging our Common Stock on margin</w:t>
      </w:r>
      <w:r>
        <w:rPr>
          <w:rFonts w:ascii="Arial" w:cs="Arial" w:eastAsia="Arial" w:hAnsi="Arial"/>
          <w:sz w:val="21"/>
          <w:szCs w:val="21"/>
          <w:color w:val="000000"/>
          <w:vertAlign w:val="superscript"/>
        </w:rPr>
        <w:t>(2)</w:t>
      </w:r>
      <w:r>
        <w:rPr>
          <w:rFonts w:ascii="Arial" w:cs="Arial" w:eastAsia="Arial" w:hAnsi="Arial"/>
          <w:sz w:val="14"/>
          <w:szCs w:val="14"/>
          <w:color w:val="000000"/>
        </w:rPr>
        <w:t>, or entering into any hedging, derivative, or similar transactions.</w:t>
      </w:r>
    </w:p>
    <w:p>
      <w:pPr>
        <w:spacing w:after="0" w:line="109" w:lineRule="exact"/>
        <w:rPr>
          <w:rFonts w:ascii="Arial" w:cs="Arial" w:eastAsia="Arial" w:hAnsi="Arial"/>
          <w:sz w:val="25"/>
          <w:szCs w:val="25"/>
          <w:b w:val="1"/>
          <w:bCs w:val="1"/>
          <w:color w:val="0171B9"/>
        </w:rPr>
      </w:pPr>
    </w:p>
    <w:p>
      <w:pPr>
        <w:ind w:left="386" w:right="120" w:hanging="386"/>
        <w:spacing w:after="0" w:line="188" w:lineRule="auto"/>
        <w:tabs>
          <w:tab w:leader="none" w:pos="386" w:val="left"/>
        </w:tabs>
        <w:numPr>
          <w:ilvl w:val="0"/>
          <w:numId w:val="62"/>
        </w:numPr>
        <w:rPr>
          <w:rFonts w:ascii="Arial" w:cs="Arial" w:eastAsia="Arial" w:hAnsi="Arial"/>
          <w:sz w:val="25"/>
          <w:szCs w:val="25"/>
          <w:b w:val="1"/>
          <w:bCs w:val="1"/>
          <w:color w:val="0171B9"/>
        </w:rPr>
      </w:pPr>
      <w:r>
        <w:rPr>
          <w:rFonts w:ascii="Arial" w:cs="Arial" w:eastAsia="Arial" w:hAnsi="Arial"/>
          <w:sz w:val="14"/>
          <w:szCs w:val="14"/>
          <w:b w:val="1"/>
          <w:bCs w:val="1"/>
          <w:color w:val="0171B9"/>
        </w:rPr>
        <w:t xml:space="preserve">No re-pricing or backdating: </w:t>
      </w:r>
      <w:r>
        <w:rPr>
          <w:rFonts w:ascii="Arial" w:cs="Arial" w:eastAsia="Arial" w:hAnsi="Arial"/>
          <w:sz w:val="14"/>
          <w:szCs w:val="14"/>
          <w:color w:val="000000"/>
        </w:rPr>
        <w:t>We have strong LTI equity award plans and</w:t>
      </w:r>
      <w:r>
        <w:rPr>
          <w:rFonts w:ascii="Arial" w:cs="Arial" w:eastAsia="Arial" w:hAnsi="Arial"/>
          <w:sz w:val="14"/>
          <w:szCs w:val="14"/>
          <w:b w:val="1"/>
          <w:bCs w:val="1"/>
          <w:color w:val="0171B9"/>
        </w:rPr>
        <w:t xml:space="preserve"> </w:t>
      </w:r>
      <w:r>
        <w:rPr>
          <w:rFonts w:ascii="Arial" w:cs="Arial" w:eastAsia="Arial" w:hAnsi="Arial"/>
          <w:sz w:val="14"/>
          <w:szCs w:val="14"/>
          <w:color w:val="000000"/>
        </w:rPr>
        <w:t>policies that prohibit re-pricing or backdating of equity awards.</w:t>
      </w:r>
    </w:p>
    <w:p>
      <w:pPr>
        <w:spacing w:after="0" w:line="107" w:lineRule="exact"/>
        <w:rPr>
          <w:rFonts w:ascii="Arial" w:cs="Arial" w:eastAsia="Arial" w:hAnsi="Arial"/>
          <w:sz w:val="25"/>
          <w:szCs w:val="25"/>
          <w:b w:val="1"/>
          <w:bCs w:val="1"/>
          <w:color w:val="0171B9"/>
        </w:rPr>
      </w:pPr>
    </w:p>
    <w:p>
      <w:pPr>
        <w:jc w:val="both"/>
        <w:ind w:left="386" w:right="120" w:hanging="386"/>
        <w:spacing w:after="0" w:line="210" w:lineRule="auto"/>
        <w:tabs>
          <w:tab w:leader="none" w:pos="386" w:val="left"/>
        </w:tabs>
        <w:numPr>
          <w:ilvl w:val="0"/>
          <w:numId w:val="62"/>
        </w:numPr>
        <w:rPr>
          <w:rFonts w:ascii="Arial" w:cs="Arial" w:eastAsia="Arial" w:hAnsi="Arial"/>
          <w:sz w:val="25"/>
          <w:szCs w:val="25"/>
          <w:b w:val="1"/>
          <w:bCs w:val="1"/>
          <w:color w:val="0171B9"/>
        </w:rPr>
      </w:pPr>
      <w:r>
        <w:rPr>
          <w:rFonts w:ascii="Arial" w:cs="Arial" w:eastAsia="Arial" w:hAnsi="Arial"/>
          <w:sz w:val="14"/>
          <w:szCs w:val="14"/>
          <w:b w:val="1"/>
          <w:bCs w:val="1"/>
          <w:color w:val="0171B9"/>
        </w:rPr>
        <w:t xml:space="preserve">No tax gross-ups: </w:t>
      </w:r>
      <w:r>
        <w:rPr>
          <w:rFonts w:ascii="Arial" w:cs="Arial" w:eastAsia="Arial" w:hAnsi="Arial"/>
          <w:sz w:val="14"/>
          <w:szCs w:val="14"/>
          <w:color w:val="000000"/>
        </w:rPr>
        <w:t>We do not provide tax gross-ups, except for business-related payments such as reimbursement of certain relocation expenses on behalf of newly hired and current executives who agree to relocate to work on the Company’s behalf.</w:t>
      </w:r>
    </w:p>
    <w:p>
      <w:pPr>
        <w:spacing w:after="0" w:line="108" w:lineRule="exact"/>
        <w:rPr>
          <w:rFonts w:ascii="Arial" w:cs="Arial" w:eastAsia="Arial" w:hAnsi="Arial"/>
          <w:sz w:val="25"/>
          <w:szCs w:val="25"/>
          <w:b w:val="1"/>
          <w:bCs w:val="1"/>
          <w:color w:val="0171B9"/>
        </w:rPr>
      </w:pPr>
    </w:p>
    <w:p>
      <w:pPr>
        <w:jc w:val="both"/>
        <w:ind w:left="386" w:right="120" w:hanging="386"/>
        <w:spacing w:after="0" w:line="210" w:lineRule="auto"/>
        <w:tabs>
          <w:tab w:leader="none" w:pos="386" w:val="left"/>
        </w:tabs>
        <w:numPr>
          <w:ilvl w:val="0"/>
          <w:numId w:val="62"/>
        </w:numPr>
        <w:rPr>
          <w:rFonts w:ascii="Arial" w:cs="Arial" w:eastAsia="Arial" w:hAnsi="Arial"/>
          <w:sz w:val="25"/>
          <w:szCs w:val="25"/>
          <w:b w:val="1"/>
          <w:bCs w:val="1"/>
          <w:color w:val="0171B9"/>
        </w:rPr>
      </w:pPr>
      <w:r>
        <w:rPr>
          <w:rFonts w:ascii="Arial" w:cs="Arial" w:eastAsia="Arial" w:hAnsi="Arial"/>
          <w:sz w:val="14"/>
          <w:szCs w:val="14"/>
          <w:b w:val="1"/>
          <w:bCs w:val="1"/>
          <w:color w:val="0171B9"/>
        </w:rPr>
        <w:t xml:space="preserve">No single-trigger and no gross-ups in the event of a change of control: </w:t>
      </w:r>
      <w:r>
        <w:rPr>
          <w:rFonts w:ascii="Arial" w:cs="Arial" w:eastAsia="Arial" w:hAnsi="Arial"/>
          <w:sz w:val="14"/>
          <w:szCs w:val="14"/>
          <w:color w:val="000000"/>
        </w:rPr>
        <w:t>We do not have “single-trigger” equity vesting acceleration upon a change of control for RSUs and stock options and do not provide tax gross-ups on change of control payments.</w:t>
      </w:r>
    </w:p>
    <w:p>
      <w:pPr>
        <w:spacing w:after="0" w:line="108" w:lineRule="exact"/>
        <w:rPr>
          <w:rFonts w:ascii="Arial" w:cs="Arial" w:eastAsia="Arial" w:hAnsi="Arial"/>
          <w:sz w:val="25"/>
          <w:szCs w:val="25"/>
          <w:b w:val="1"/>
          <w:bCs w:val="1"/>
          <w:color w:val="0171B9"/>
        </w:rPr>
      </w:pPr>
    </w:p>
    <w:p>
      <w:pPr>
        <w:ind w:left="386" w:right="120" w:hanging="386"/>
        <w:spacing w:after="0" w:line="188" w:lineRule="auto"/>
        <w:tabs>
          <w:tab w:leader="none" w:pos="386" w:val="left"/>
        </w:tabs>
        <w:numPr>
          <w:ilvl w:val="0"/>
          <w:numId w:val="62"/>
        </w:numPr>
        <w:rPr>
          <w:rFonts w:ascii="Arial" w:cs="Arial" w:eastAsia="Arial" w:hAnsi="Arial"/>
          <w:sz w:val="25"/>
          <w:szCs w:val="25"/>
          <w:b w:val="1"/>
          <w:bCs w:val="1"/>
          <w:color w:val="0171B9"/>
        </w:rPr>
      </w:pPr>
      <w:r>
        <w:rPr>
          <w:rFonts w:ascii="Arial" w:cs="Arial" w:eastAsia="Arial" w:hAnsi="Arial"/>
          <w:sz w:val="14"/>
          <w:szCs w:val="14"/>
          <w:b w:val="1"/>
          <w:bCs w:val="1"/>
          <w:color w:val="0171B9"/>
        </w:rPr>
        <w:t xml:space="preserve">No excessive perks: </w:t>
      </w:r>
      <w:r>
        <w:rPr>
          <w:rFonts w:ascii="Arial" w:cs="Arial" w:eastAsia="Arial" w:hAnsi="Arial"/>
          <w:sz w:val="14"/>
          <w:szCs w:val="14"/>
          <w:color w:val="000000"/>
        </w:rPr>
        <w:t>Our perquisites are limited to those with a clear</w:t>
      </w:r>
      <w:r>
        <w:rPr>
          <w:rFonts w:ascii="Arial" w:cs="Arial" w:eastAsia="Arial" w:hAnsi="Arial"/>
          <w:sz w:val="14"/>
          <w:szCs w:val="14"/>
          <w:b w:val="1"/>
          <w:bCs w:val="1"/>
          <w:color w:val="0171B9"/>
        </w:rPr>
        <w:t xml:space="preserve"> </w:t>
      </w:r>
      <w:r>
        <w:rPr>
          <w:rFonts w:ascii="Arial" w:cs="Arial" w:eastAsia="Arial" w:hAnsi="Arial"/>
          <w:sz w:val="14"/>
          <w:szCs w:val="14"/>
          <w:color w:val="000000"/>
        </w:rPr>
        <w:t>business-related rationale.</w:t>
      </w:r>
    </w:p>
    <w:p>
      <w:pPr>
        <w:spacing w:after="0" w:line="107" w:lineRule="exact"/>
        <w:rPr>
          <w:rFonts w:ascii="Arial" w:cs="Arial" w:eastAsia="Arial" w:hAnsi="Arial"/>
          <w:sz w:val="25"/>
          <w:szCs w:val="25"/>
          <w:b w:val="1"/>
          <w:bCs w:val="1"/>
          <w:color w:val="0171B9"/>
        </w:rPr>
      </w:pPr>
    </w:p>
    <w:p>
      <w:pPr>
        <w:jc w:val="both"/>
        <w:ind w:left="386" w:right="120" w:hanging="386"/>
        <w:spacing w:after="0"/>
        <w:tabs>
          <w:tab w:leader="none" w:pos="386" w:val="left"/>
        </w:tabs>
        <w:numPr>
          <w:ilvl w:val="0"/>
          <w:numId w:val="62"/>
        </w:numPr>
        <w:rPr>
          <w:rFonts w:ascii="Arial" w:cs="Arial" w:eastAsia="Arial" w:hAnsi="Arial"/>
          <w:sz w:val="25"/>
          <w:szCs w:val="25"/>
          <w:b w:val="1"/>
          <w:bCs w:val="1"/>
          <w:color w:val="0171B9"/>
        </w:rPr>
      </w:pPr>
      <w:r>
        <w:rPr>
          <w:rFonts w:ascii="Arial" w:cs="Arial" w:eastAsia="Arial" w:hAnsi="Arial"/>
          <w:sz w:val="14"/>
          <w:szCs w:val="14"/>
          <w:b w:val="1"/>
          <w:bCs w:val="1"/>
          <w:color w:val="0171B9"/>
        </w:rPr>
        <w:t xml:space="preserve">No employment agreements: </w:t>
      </w:r>
      <w:r>
        <w:rPr>
          <w:rFonts w:ascii="Arial" w:cs="Arial" w:eastAsia="Arial" w:hAnsi="Arial"/>
          <w:sz w:val="14"/>
          <w:szCs w:val="14"/>
          <w:color w:val="000000"/>
        </w:rPr>
        <w:t>We do not have employment contracts or</w:t>
      </w:r>
      <w:r>
        <w:rPr>
          <w:rFonts w:ascii="Arial" w:cs="Arial" w:eastAsia="Arial" w:hAnsi="Arial"/>
          <w:sz w:val="14"/>
          <w:szCs w:val="14"/>
          <w:b w:val="1"/>
          <w:bCs w:val="1"/>
          <w:color w:val="0171B9"/>
        </w:rPr>
        <w:t xml:space="preserve"> </w:t>
      </w:r>
      <w:r>
        <w:rPr>
          <w:rFonts w:ascii="Arial" w:cs="Arial" w:eastAsia="Arial" w:hAnsi="Arial"/>
          <w:sz w:val="14"/>
          <w:szCs w:val="14"/>
          <w:color w:val="000000"/>
        </w:rPr>
        <w:t>guaranteed bonuses, other than in countries where they are required by law.</w:t>
      </w:r>
    </w:p>
    <w:p>
      <w:pPr>
        <w:spacing w:after="0" w:line="172" w:lineRule="exact"/>
        <w:rPr>
          <w:rFonts w:ascii="Arial" w:cs="Arial" w:eastAsia="Arial" w:hAnsi="Arial"/>
          <w:sz w:val="25"/>
          <w:szCs w:val="25"/>
          <w:b w:val="1"/>
          <w:bCs w:val="1"/>
          <w:color w:val="0171B9"/>
        </w:rPr>
      </w:pPr>
    </w:p>
    <w:p>
      <w:pPr>
        <w:jc w:val="both"/>
        <w:ind w:left="386" w:right="120" w:hanging="386"/>
        <w:spacing w:after="0" w:line="210" w:lineRule="auto"/>
        <w:tabs>
          <w:tab w:leader="none" w:pos="386" w:val="left"/>
        </w:tabs>
        <w:numPr>
          <w:ilvl w:val="0"/>
          <w:numId w:val="62"/>
        </w:numPr>
        <w:rPr>
          <w:rFonts w:ascii="Arial" w:cs="Arial" w:eastAsia="Arial" w:hAnsi="Arial"/>
          <w:sz w:val="25"/>
          <w:szCs w:val="25"/>
          <w:b w:val="1"/>
          <w:bCs w:val="1"/>
          <w:color w:val="0171B9"/>
        </w:rPr>
      </w:pPr>
      <w:r>
        <w:rPr>
          <w:rFonts w:ascii="Arial" w:cs="Arial" w:eastAsia="Arial" w:hAnsi="Arial"/>
          <w:sz w:val="14"/>
          <w:szCs w:val="14"/>
          <w:b w:val="1"/>
          <w:bCs w:val="1"/>
          <w:color w:val="0171B9"/>
        </w:rPr>
        <w:t xml:space="preserve">No dividends paid on unvested equity: </w:t>
      </w:r>
      <w:r>
        <w:rPr>
          <w:rFonts w:ascii="Arial" w:cs="Arial" w:eastAsia="Arial" w:hAnsi="Arial"/>
          <w:sz w:val="14"/>
          <w:szCs w:val="14"/>
          <w:color w:val="000000"/>
        </w:rPr>
        <w:t>Dividends equivalents accrue on</w:t>
      </w:r>
      <w:r>
        <w:rPr>
          <w:rFonts w:ascii="Arial" w:cs="Arial" w:eastAsia="Arial" w:hAnsi="Arial"/>
          <w:sz w:val="14"/>
          <w:szCs w:val="14"/>
          <w:b w:val="1"/>
          <w:bCs w:val="1"/>
          <w:color w:val="0171B9"/>
        </w:rPr>
        <w:t xml:space="preserve"> </w:t>
      </w:r>
      <w:r>
        <w:rPr>
          <w:rFonts w:ascii="Arial" w:cs="Arial" w:eastAsia="Arial" w:hAnsi="Arial"/>
          <w:sz w:val="14"/>
          <w:szCs w:val="14"/>
          <w:color w:val="000000"/>
        </w:rPr>
        <w:t>our performance units and RSUs, but are paid out in shares of our Common Stock only when, and to the extent that, the underlying award is earned and vested. Stock options do not have dividend equivalent rights.</w:t>
      </w:r>
    </w:p>
    <w:p>
      <w:pPr>
        <w:spacing w:after="0" w:line="108" w:lineRule="exact"/>
        <w:rPr>
          <w:rFonts w:ascii="Arial" w:cs="Arial" w:eastAsia="Arial" w:hAnsi="Arial"/>
          <w:sz w:val="25"/>
          <w:szCs w:val="25"/>
          <w:b w:val="1"/>
          <w:bCs w:val="1"/>
          <w:color w:val="0171B9"/>
        </w:rPr>
      </w:pPr>
    </w:p>
    <w:p>
      <w:pPr>
        <w:ind w:left="386" w:right="120" w:hanging="386"/>
        <w:spacing w:after="0" w:line="188" w:lineRule="auto"/>
        <w:tabs>
          <w:tab w:leader="none" w:pos="386" w:val="left"/>
        </w:tabs>
        <w:numPr>
          <w:ilvl w:val="0"/>
          <w:numId w:val="62"/>
        </w:numPr>
        <w:rPr>
          <w:rFonts w:ascii="Arial" w:cs="Arial" w:eastAsia="Arial" w:hAnsi="Arial"/>
          <w:sz w:val="25"/>
          <w:szCs w:val="25"/>
          <w:b w:val="1"/>
          <w:bCs w:val="1"/>
          <w:color w:val="0171B9"/>
        </w:rPr>
      </w:pPr>
      <w:r>
        <w:rPr>
          <w:rFonts w:ascii="Arial" w:cs="Arial" w:eastAsia="Arial" w:hAnsi="Arial"/>
          <w:sz w:val="14"/>
          <w:szCs w:val="14"/>
          <w:b w:val="1"/>
          <w:bCs w:val="1"/>
          <w:color w:val="0171B9"/>
        </w:rPr>
        <w:t xml:space="preserve">No defined benefit pension or supplemental executive retirement plan (SERP) benefits </w:t>
      </w:r>
      <w:r>
        <w:rPr>
          <w:rFonts w:ascii="Arial" w:cs="Arial" w:eastAsia="Arial" w:hAnsi="Arial"/>
          <w:sz w:val="14"/>
          <w:szCs w:val="14"/>
          <w:color w:val="000000"/>
        </w:rPr>
        <w:t>or “above market” interest on deferred compensation.</w:t>
      </w:r>
    </w:p>
    <w:p>
      <w:pPr>
        <w:spacing w:after="0" w:line="4234" w:lineRule="exact"/>
        <w:rPr>
          <w:sz w:val="20"/>
          <w:szCs w:val="20"/>
          <w:color w:val="auto"/>
        </w:rPr>
      </w:pPr>
    </w:p>
    <w:p>
      <w:pPr>
        <w:sectPr>
          <w:pgSz w:w="11900" w:h="16838" w:orient="portrait"/>
          <w:cols w:equalWidth="0" w:num="2">
            <w:col w:w="5400" w:space="334"/>
            <w:col w:w="5326"/>
          </w:cols>
          <w:pgMar w:left="320" w:top="486" w:right="51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ind w:left="700" w:right="100" w:hanging="419"/>
        <w:spacing w:after="0" w:line="187" w:lineRule="auto"/>
        <w:tabs>
          <w:tab w:leader="none" w:pos="70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For further information on our compliance with the NASDAQ Stock Market listing standards related to the Securities and Exchange Commission’s rules regarding clawbacks of erroneously awarded incentive-based compensation, please see “Compensation Policies and Practices” below.</w:t>
      </w:r>
    </w:p>
    <w:p>
      <w:pPr>
        <w:spacing w:after="0" w:line="1" w:lineRule="exact"/>
        <w:rPr>
          <w:rFonts w:ascii="Arial" w:cs="Arial" w:eastAsia="Arial" w:hAnsi="Arial"/>
          <w:sz w:val="22"/>
          <w:szCs w:val="22"/>
          <w:color w:val="auto"/>
          <w:vertAlign w:val="superscript"/>
        </w:rPr>
      </w:pPr>
    </w:p>
    <w:p>
      <w:pPr>
        <w:ind w:left="700" w:right="100" w:hanging="419"/>
        <w:spacing w:after="0" w:line="193" w:lineRule="auto"/>
        <w:tabs>
          <w:tab w:leader="none" w:pos="70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With the exception of the use of a margin account to purchase our common stock in connection with the exercise of Amgen-granted stock options (</w:t>
      </w:r>
      <w:r>
        <w:rPr>
          <w:rFonts w:ascii="Arial" w:cs="Arial" w:eastAsia="Arial" w:hAnsi="Arial"/>
          <w:sz w:val="14"/>
          <w:szCs w:val="14"/>
          <w:i w:val="1"/>
          <w:iCs w:val="1"/>
          <w:color w:val="auto"/>
        </w:rPr>
        <w:t>i.e.</w:t>
      </w:r>
      <w:r>
        <w:rPr>
          <w:rFonts w:ascii="Arial" w:cs="Arial" w:eastAsia="Arial" w:hAnsi="Arial"/>
          <w:sz w:val="14"/>
          <w:szCs w:val="14"/>
          <w:color w:val="auto"/>
        </w:rPr>
        <w:t>, “cashless exercises”).</w:t>
      </w:r>
    </w:p>
    <w:p>
      <w:pPr>
        <w:sectPr>
          <w:pgSz w:w="11900" w:h="16838" w:orient="portrait"/>
          <w:cols w:equalWidth="0" w:num="1">
            <w:col w:w="11060"/>
          </w:cols>
          <w:pgMar w:left="320" w:top="486" w:right="51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46</w:t>
      </w:r>
      <w:r>
        <w:rPr>
          <w:sz w:val="20"/>
          <w:szCs w:val="20"/>
          <w:color w:val="auto"/>
        </w:rPr>
        <w:tab/>
      </w:r>
      <w:r>
        <w:rPr>
          <w:sz w:val="1"/>
          <w:szCs w:val="1"/>
          <w:color w:val="auto"/>
        </w:rPr>
        <w:drawing>
          <wp:inline distT="0" distB="0" distL="0" distR="0">
            <wp:extent cx="582930" cy="13716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060"/>
          </w:cols>
          <w:pgMar w:left="320" w:top="486" w:right="51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Compensation Discussion and Analysis</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Aligning Pay With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317"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A substantial majority of each NEO’s compensation is at risk and earned based on our execution of our strategy and performance. Our annual cash and long-term equity incentive programs promote focus on activities supporting the execution of our strategic priorities as well as near-and long-term stockholder value creation with compensation earned based on our financial, operating, and stock price performance.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Our Executive Compensation Objectives</w:t>
      </w:r>
    </w:p>
    <w:p>
      <w:pPr>
        <w:spacing w:after="0" w:line="115" w:lineRule="exact"/>
        <w:rPr>
          <w:sz w:val="20"/>
          <w:szCs w:val="20"/>
          <w:color w:val="auto"/>
        </w:rPr>
      </w:pPr>
    </w:p>
    <w:p>
      <w:pPr>
        <w:jc w:val="both"/>
        <w:ind w:left="120"/>
        <w:spacing w:after="0" w:line="243" w:lineRule="auto"/>
        <w:rPr>
          <w:sz w:val="20"/>
          <w:szCs w:val="20"/>
          <w:color w:val="auto"/>
        </w:rPr>
      </w:pPr>
      <w:r>
        <w:rPr>
          <w:rFonts w:ascii="Arial" w:cs="Arial" w:eastAsia="Arial" w:hAnsi="Arial"/>
          <w:sz w:val="17"/>
          <w:szCs w:val="17"/>
          <w:color w:val="auto"/>
        </w:rPr>
        <w:t>Our executive compensation program is designed to achieve the following objectives:</w:t>
      </w:r>
    </w:p>
    <w:p>
      <w:pPr>
        <w:spacing w:after="0" w:line="84" w:lineRule="exact"/>
        <w:rPr>
          <w:sz w:val="20"/>
          <w:szCs w:val="20"/>
          <w:color w:val="auto"/>
        </w:rPr>
      </w:pPr>
    </w:p>
    <w:p>
      <w:pPr>
        <w:jc w:val="both"/>
        <w:ind w:left="380" w:hanging="264"/>
        <w:spacing w:after="0" w:line="249" w:lineRule="auto"/>
        <w:tabs>
          <w:tab w:leader="none" w:pos="380" w:val="left"/>
        </w:tabs>
        <w:numPr>
          <w:ilvl w:val="0"/>
          <w:numId w:val="64"/>
        </w:numPr>
        <w:rPr>
          <w:rFonts w:ascii="Arial" w:cs="Arial" w:eastAsia="Arial" w:hAnsi="Arial"/>
          <w:sz w:val="17"/>
          <w:szCs w:val="17"/>
          <w:color w:val="0171B9"/>
        </w:rPr>
      </w:pPr>
      <w:r>
        <w:rPr>
          <w:rFonts w:ascii="Arial" w:cs="Arial" w:eastAsia="Arial" w:hAnsi="Arial"/>
          <w:sz w:val="17"/>
          <w:szCs w:val="17"/>
          <w:b w:val="1"/>
          <w:bCs w:val="1"/>
          <w:color w:val="auto"/>
        </w:rPr>
        <w:t xml:space="preserve">Pay for performance in a manner that strongly aligns with stockholder interests </w:t>
      </w:r>
      <w:r>
        <w:rPr>
          <w:rFonts w:ascii="Arial" w:cs="Arial" w:eastAsia="Arial" w:hAnsi="Arial"/>
          <w:sz w:val="17"/>
          <w:szCs w:val="17"/>
          <w:color w:val="auto"/>
        </w:rPr>
        <w:t>by rewarding both our short- and long-term</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266" w:right="40" w:hanging="266"/>
        <w:spacing w:after="0" w:line="267" w:lineRule="auto"/>
        <w:tabs>
          <w:tab w:leader="none" w:pos="266" w:val="left"/>
        </w:tabs>
        <w:numPr>
          <w:ilvl w:val="0"/>
          <w:numId w:val="65"/>
        </w:numPr>
        <w:rPr>
          <w:rFonts w:ascii="Arial" w:cs="Arial" w:eastAsia="Arial" w:hAnsi="Arial"/>
          <w:sz w:val="17"/>
          <w:szCs w:val="17"/>
          <w:color w:val="0171B9"/>
        </w:rPr>
      </w:pPr>
      <w:r>
        <w:rPr>
          <w:rFonts w:ascii="Arial" w:cs="Arial" w:eastAsia="Arial" w:hAnsi="Arial"/>
          <w:sz w:val="17"/>
          <w:szCs w:val="17"/>
          <w:b w:val="1"/>
          <w:bCs w:val="1"/>
          <w:color w:val="auto"/>
        </w:rPr>
        <w:t xml:space="preserve">Drive our business strategy </w:t>
      </w:r>
      <w:r>
        <w:rPr>
          <w:rFonts w:ascii="Arial" w:cs="Arial" w:eastAsia="Arial" w:hAnsi="Arial"/>
          <w:sz w:val="17"/>
          <w:szCs w:val="17"/>
          <w:color w:val="auto"/>
        </w:rPr>
        <w:t>by positioning our staff to execute on</w:t>
      </w:r>
      <w:r>
        <w:rPr>
          <w:rFonts w:ascii="Arial" w:cs="Arial" w:eastAsia="Arial" w:hAnsi="Arial"/>
          <w:sz w:val="17"/>
          <w:szCs w:val="17"/>
          <w:b w:val="1"/>
          <w:bCs w:val="1"/>
          <w:color w:val="auto"/>
        </w:rPr>
        <w:t xml:space="preserve"> </w:t>
      </w:r>
      <w:r>
        <w:rPr>
          <w:rFonts w:ascii="Arial" w:cs="Arial" w:eastAsia="Arial" w:hAnsi="Arial"/>
          <w:sz w:val="17"/>
          <w:szCs w:val="17"/>
          <w:color w:val="auto"/>
        </w:rPr>
        <w:t>our strategic priorities in the near- and longer-term.</w:t>
      </w:r>
    </w:p>
    <w:p>
      <w:pPr>
        <w:spacing w:after="0" w:line="64" w:lineRule="exact"/>
        <w:rPr>
          <w:rFonts w:ascii="Arial" w:cs="Arial" w:eastAsia="Arial" w:hAnsi="Arial"/>
          <w:sz w:val="17"/>
          <w:szCs w:val="17"/>
          <w:color w:val="0171B9"/>
        </w:rPr>
      </w:pPr>
    </w:p>
    <w:p>
      <w:pPr>
        <w:jc w:val="both"/>
        <w:ind w:left="266" w:right="20" w:hanging="266"/>
        <w:spacing w:after="0" w:line="249" w:lineRule="auto"/>
        <w:tabs>
          <w:tab w:leader="none" w:pos="266" w:val="left"/>
        </w:tabs>
        <w:numPr>
          <w:ilvl w:val="0"/>
          <w:numId w:val="65"/>
        </w:numPr>
        <w:rPr>
          <w:rFonts w:ascii="Arial" w:cs="Arial" w:eastAsia="Arial" w:hAnsi="Arial"/>
          <w:sz w:val="17"/>
          <w:szCs w:val="17"/>
          <w:color w:val="0171B9"/>
        </w:rPr>
      </w:pPr>
      <w:r>
        <w:rPr>
          <w:rFonts w:ascii="Arial" w:cs="Arial" w:eastAsia="Arial" w:hAnsi="Arial"/>
          <w:sz w:val="17"/>
          <w:szCs w:val="17"/>
          <w:b w:val="1"/>
          <w:bCs w:val="1"/>
          <w:color w:val="auto"/>
        </w:rPr>
        <w:t xml:space="preserve">Attract, motivate, and retain the highest level of talent </w:t>
      </w:r>
      <w:r>
        <w:rPr>
          <w:rFonts w:ascii="Arial" w:cs="Arial" w:eastAsia="Arial" w:hAnsi="Arial"/>
          <w:sz w:val="17"/>
          <w:szCs w:val="17"/>
          <w:color w:val="auto"/>
        </w:rPr>
        <w:t>by</w:t>
      </w:r>
      <w:r>
        <w:rPr>
          <w:rFonts w:ascii="Arial" w:cs="Arial" w:eastAsia="Arial" w:hAnsi="Arial"/>
          <w:sz w:val="17"/>
          <w:szCs w:val="17"/>
          <w:b w:val="1"/>
          <w:bCs w:val="1"/>
          <w:color w:val="auto"/>
        </w:rPr>
        <w:t xml:space="preserve"> </w:t>
      </w:r>
      <w:r>
        <w:rPr>
          <w:rFonts w:ascii="Arial" w:cs="Arial" w:eastAsia="Arial" w:hAnsi="Arial"/>
          <w:sz w:val="17"/>
          <w:szCs w:val="17"/>
          <w:color w:val="auto"/>
        </w:rPr>
        <w:t>providing competitive compensation, consistent with their roles and responsibilities, our success, and their contributions to this success.</w:t>
      </w:r>
    </w:p>
    <w:p>
      <w:pPr>
        <w:spacing w:after="0" w:line="80" w:lineRule="exact"/>
        <w:rPr>
          <w:rFonts w:ascii="Arial" w:cs="Arial" w:eastAsia="Arial" w:hAnsi="Arial"/>
          <w:sz w:val="17"/>
          <w:szCs w:val="17"/>
          <w:color w:val="0171B9"/>
        </w:rPr>
      </w:pPr>
    </w:p>
    <w:p>
      <w:pPr>
        <w:jc w:val="both"/>
        <w:ind w:left="266" w:right="20" w:hanging="266"/>
        <w:spacing w:after="0" w:line="244" w:lineRule="auto"/>
        <w:tabs>
          <w:tab w:leader="none" w:pos="266" w:val="left"/>
        </w:tabs>
        <w:numPr>
          <w:ilvl w:val="0"/>
          <w:numId w:val="65"/>
        </w:numPr>
        <w:rPr>
          <w:rFonts w:ascii="Arial" w:cs="Arial" w:eastAsia="Arial" w:hAnsi="Arial"/>
          <w:sz w:val="17"/>
          <w:szCs w:val="17"/>
          <w:color w:val="0171B9"/>
        </w:rPr>
      </w:pPr>
      <w:r>
        <w:rPr>
          <w:rFonts w:ascii="Arial" w:cs="Arial" w:eastAsia="Arial" w:hAnsi="Arial"/>
          <w:sz w:val="17"/>
          <w:szCs w:val="17"/>
          <w:b w:val="1"/>
          <w:bCs w:val="1"/>
          <w:color w:val="auto"/>
        </w:rPr>
        <w:t xml:space="preserve">Mitigate compensation risk </w:t>
      </w:r>
      <w:r>
        <w:rPr>
          <w:rFonts w:ascii="Arial" w:cs="Arial" w:eastAsia="Arial" w:hAnsi="Arial"/>
          <w:sz w:val="17"/>
          <w:szCs w:val="17"/>
          <w:color w:val="auto"/>
        </w:rPr>
        <w:t>by maintaining pay practices that</w:t>
      </w:r>
      <w:r>
        <w:rPr>
          <w:rFonts w:ascii="Arial" w:cs="Arial" w:eastAsia="Arial" w:hAnsi="Arial"/>
          <w:sz w:val="17"/>
          <w:szCs w:val="17"/>
          <w:b w:val="1"/>
          <w:bCs w:val="1"/>
          <w:color w:val="auto"/>
        </w:rPr>
        <w:t xml:space="preserve"> </w:t>
      </w:r>
      <w:r>
        <w:rPr>
          <w:rFonts w:ascii="Arial" w:cs="Arial" w:eastAsia="Arial" w:hAnsi="Arial"/>
          <w:sz w:val="17"/>
          <w:szCs w:val="17"/>
          <w:color w:val="auto"/>
        </w:rPr>
        <w:t>reward actions and outcomes consistent with the sound operation of our Company and with the creation of long-term stockholder value.</w:t>
      </w:r>
    </w:p>
    <w:p>
      <w:pPr>
        <w:spacing w:after="0" w:line="82" w:lineRule="exact"/>
        <w:rPr>
          <w:rFonts w:ascii="Arial" w:cs="Arial" w:eastAsia="Arial" w:hAnsi="Arial"/>
          <w:sz w:val="17"/>
          <w:szCs w:val="17"/>
          <w:color w:val="0171B9"/>
        </w:rPr>
      </w:pPr>
    </w:p>
    <w:p>
      <w:pPr>
        <w:jc w:val="both"/>
        <w:ind w:left="266" w:right="20" w:hanging="266"/>
        <w:spacing w:after="0" w:line="244" w:lineRule="auto"/>
        <w:tabs>
          <w:tab w:leader="none" w:pos="266" w:val="left"/>
        </w:tabs>
        <w:numPr>
          <w:ilvl w:val="0"/>
          <w:numId w:val="65"/>
        </w:numPr>
        <w:rPr>
          <w:rFonts w:ascii="Arial" w:cs="Arial" w:eastAsia="Arial" w:hAnsi="Arial"/>
          <w:sz w:val="17"/>
          <w:szCs w:val="17"/>
          <w:color w:val="0171B9"/>
        </w:rPr>
      </w:pPr>
      <w:r>
        <w:rPr>
          <w:rFonts w:ascii="Arial" w:cs="Arial" w:eastAsia="Arial" w:hAnsi="Arial"/>
          <w:sz w:val="17"/>
          <w:szCs w:val="17"/>
          <w:b w:val="1"/>
          <w:bCs w:val="1"/>
          <w:color w:val="auto"/>
        </w:rPr>
        <w:t xml:space="preserve">Consider all Amgen staff members </w:t>
      </w:r>
      <w:r>
        <w:rPr>
          <w:rFonts w:ascii="Arial" w:cs="Arial" w:eastAsia="Arial" w:hAnsi="Arial"/>
          <w:sz w:val="17"/>
          <w:szCs w:val="17"/>
          <w:color w:val="auto"/>
        </w:rPr>
        <w:t>in the design of our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programs, to ensure a consistent approach that encourages and rewards all staff members who contribute to our success.</w:t>
      </w:r>
    </w:p>
    <w:p>
      <w:pPr>
        <w:spacing w:after="0" w:line="310" w:lineRule="exact"/>
        <w:rPr>
          <w:sz w:val="20"/>
          <w:szCs w:val="20"/>
          <w:color w:val="auto"/>
        </w:rPr>
      </w:pPr>
    </w:p>
    <w:p>
      <w:pPr>
        <w:sectPr>
          <w:pgSz w:w="11900" w:h="16838" w:orient="portrait"/>
          <w:cols w:equalWidth="0" w:num="2">
            <w:col w:w="5400" w:space="334"/>
            <w:col w:w="5406"/>
          </w:cols>
          <w:pgMar w:left="320" w:top="486" w:right="439" w:bottom="1440" w:gutter="0" w:footer="0" w:header="0"/>
          <w:type w:val="continuous"/>
        </w:sectPr>
      </w:pPr>
    </w:p>
    <w:p>
      <w:pPr>
        <w:spacing w:after="0" w:line="14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Implementation of Our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Our 2022 Performance</w:t>
      </w:r>
    </w:p>
    <w:p>
      <w:pPr>
        <w:spacing w:after="0" w:line="115"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We delivered strong performance in 2022. We advanced our innovative and biosimilar pipeline, launched new products, completed strategic transactions augmenting our pipeline and research capabilities and adding an innovative product to our portfolio, and continued to provide uninterrupted supply of our medicines globally. We accomplished these objectives while maintaining our approach to capital allocation and advancing our ESG efforts.</w:t>
      </w:r>
    </w:p>
    <w:p>
      <w:pPr>
        <w:spacing w:after="0" w:line="232" w:lineRule="exact"/>
        <w:rPr>
          <w:sz w:val="20"/>
          <w:szCs w:val="20"/>
          <w:color w:val="auto"/>
        </w:rPr>
      </w:pPr>
    </w:p>
    <w:p>
      <w:pPr>
        <w:jc w:val="both"/>
        <w:ind w:left="1840"/>
        <w:spacing w:after="0" w:line="232" w:lineRule="auto"/>
        <w:rPr>
          <w:sz w:val="20"/>
          <w:szCs w:val="20"/>
          <w:color w:val="auto"/>
        </w:rPr>
      </w:pPr>
      <w:r>
        <w:rPr>
          <w:rFonts w:ascii="Arial" w:cs="Arial" w:eastAsia="Arial" w:hAnsi="Arial"/>
          <w:sz w:val="17"/>
          <w:szCs w:val="17"/>
          <w:color w:val="auto"/>
        </w:rPr>
        <w:t>Our strong cash flows and balance sheet allowed for significant investment in 2022 for long-term growth through internal research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-304165</wp:posOffset>
            </wp:positionV>
            <wp:extent cx="882650" cy="291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2650" cy="291465"/>
                    </a:xfrm>
                    <a:prstGeom prst="rect">
                      <a:avLst/>
                    </a:prstGeom>
                    <a:noFill/>
                  </pic:spPr>
                </pic:pic>
              </a:graphicData>
            </a:graphic>
          </wp:anchor>
        </w:drawing>
      </w:r>
    </w:p>
    <w:p>
      <w:pPr>
        <w:jc w:val="both"/>
        <w:ind w:left="120"/>
        <w:spacing w:after="0" w:line="235" w:lineRule="auto"/>
        <w:rPr>
          <w:sz w:val="20"/>
          <w:szCs w:val="20"/>
          <w:color w:val="auto"/>
        </w:rPr>
      </w:pPr>
      <w:r>
        <w:rPr>
          <w:rFonts w:ascii="Arial" w:cs="Arial" w:eastAsia="Arial" w:hAnsi="Arial"/>
          <w:sz w:val="17"/>
          <w:szCs w:val="17"/>
          <w:color w:val="auto"/>
        </w:rPr>
        <w:t>development, strategic business acquisitions (including acquiring ChemoCentryx and entering into an agreement to acquire Horizon Therapeutics), and capital projects (including our Ohio and North Carolina manufacturing facilities), while simultaneously providing substantial returns to stockholders through dividends and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226060</wp:posOffset>
            </wp:positionV>
            <wp:extent cx="3360420" cy="7454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0420" cy="7454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left="180" w:right="180"/>
        <w:spacing w:after="0" w:line="241" w:lineRule="auto"/>
        <w:rPr>
          <w:sz w:val="20"/>
          <w:szCs w:val="20"/>
          <w:color w:val="auto"/>
        </w:rPr>
      </w:pPr>
      <w:r>
        <w:rPr>
          <w:rFonts w:ascii="Arial" w:cs="Arial" w:eastAsia="Arial" w:hAnsi="Arial"/>
          <w:sz w:val="17"/>
          <w:szCs w:val="17"/>
          <w:b w:val="1"/>
          <w:bCs w:val="1"/>
          <w:color w:val="0171B9"/>
        </w:rPr>
        <w:t>In 2022, while investing $4.4 billion in research and development, $3.8 billion in strategic business acquisitions, and $0.9 billion in capital projects, we also returned $10.5 billion of capital to our stockholders ($4.2 billion of dividends and $6.3 billion in share repurchases).</w:t>
      </w:r>
    </w:p>
    <w:p>
      <w:pPr>
        <w:spacing w:after="0" w:line="294"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We increased our quarterly dividend per share 10% over 2021 (to $1.94 per share per quarter for 2022). Our annualized dividend per share has increased 593% since the inception of our dividend in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171B9"/>
        </w:rPr>
        <w:t>Annual Dividend Increases</w:t>
      </w:r>
    </w:p>
    <w:p>
      <w:pPr>
        <w:spacing w:after="0" w:line="39"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0171B9"/>
        </w:rPr>
        <w:t>593% dividend per share increase since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83820</wp:posOffset>
            </wp:positionV>
            <wp:extent cx="2854325" cy="14744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54325"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Depicted below is our one-year, three-year, five-year, and 10-year total shareholder return, or TSR, for the period ending December 31, 2022. As shown, we delivered long-term shareholder value and returns with one-year and ten-year TSRs of 20% and 294%, respectively, outperforming our peer group and the Standard &amp; Poor’s 500 Index, or S&amp;P 500, for these periods.</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7"/>
          <w:szCs w:val="17"/>
          <w:b w:val="1"/>
          <w:bCs w:val="1"/>
          <w:color w:val="0171B9"/>
        </w:rPr>
        <w:t>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89535</wp:posOffset>
            </wp:positionV>
            <wp:extent cx="2854325" cy="15087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54325" cy="1508760"/>
                    </a:xfrm>
                    <a:prstGeom prst="rect">
                      <a:avLst/>
                    </a:prstGeom>
                    <a:noFill/>
                  </pic:spPr>
                </pic:pic>
              </a:graphicData>
            </a:graphic>
          </wp:anchor>
        </w:drawing>
      </w:r>
    </w:p>
    <w:p>
      <w:pPr>
        <w:spacing w:after="0" w:line="1846"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Compensation Discussion and Analysis</w:t>
      </w:r>
    </w:p>
    <w:p>
      <w:pPr>
        <w:sectPr>
          <w:pgSz w:w="11900" w:h="16838" w:orient="portrait"/>
          <w:cols w:equalWidth="0" w:num="1">
            <w:col w:w="11140"/>
          </w:cols>
          <w:pgMar w:left="320" w:top="486" w:right="439" w:bottom="1440" w:gutter="0" w:footer="0" w:header="0"/>
        </w:sectPr>
      </w:pPr>
    </w:p>
    <w:p>
      <w:pPr>
        <w:spacing w:after="0" w:line="3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Impact of the COVID-19 Pandemic</w:t>
      </w:r>
    </w:p>
    <w:p>
      <w:pPr>
        <w:spacing w:after="0" w:line="124" w:lineRule="exact"/>
        <w:rPr>
          <w:sz w:val="20"/>
          <w:szCs w:val="20"/>
          <w:color w:val="auto"/>
        </w:rPr>
      </w:pPr>
    </w:p>
    <w:p>
      <w:pPr>
        <w:jc w:val="both"/>
        <w:ind w:left="120"/>
        <w:spacing w:after="0"/>
        <w:rPr>
          <w:sz w:val="20"/>
          <w:szCs w:val="20"/>
          <w:color w:val="auto"/>
        </w:rPr>
      </w:pPr>
      <w:r>
        <w:rPr>
          <w:rFonts w:ascii="Arial" w:cs="Arial" w:eastAsia="Arial" w:hAnsi="Arial"/>
          <w:sz w:val="17"/>
          <w:szCs w:val="17"/>
          <w:color w:val="auto"/>
        </w:rPr>
        <w:t>Over the course of the COVID-19 pandemic we have experienced changes in demand for some of our products as fluctuations in the frequency of patient visits to doctors’ offices have impacted the provision of treatments to existing patients and reduced diagnoses in new patients. 2021 performance was negatively impacted by the pandemic suppressing new patients starting treatment and, in 2022, the pandemic continued to impact the healthcare sector and our business, to varying degrees across our markets. We continue to work to mitigate COVID-19 effects on our drug development activities and future study enrollment in our clinical trials around the world and remain focused on supporting our active clinical sites in their providing care for patients and in our providing investigational drug supply.</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2022 Annual Cash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91440</wp:posOffset>
            </wp:positionV>
            <wp:extent cx="3326130" cy="6254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26130" cy="625475"/>
                    </a:xfrm>
                    <a:prstGeom prst="rect">
                      <a:avLst/>
                    </a:prstGeom>
                    <a:noFill/>
                  </pic:spPr>
                </pic:pic>
              </a:graphicData>
            </a:graphic>
          </wp:anchor>
        </w:drawing>
      </w:r>
    </w:p>
    <w:p>
      <w:pPr>
        <w:spacing w:after="0" w:line="233" w:lineRule="exact"/>
        <w:rPr>
          <w:sz w:val="20"/>
          <w:szCs w:val="20"/>
          <w:color w:val="auto"/>
        </w:rPr>
      </w:pPr>
    </w:p>
    <w:p>
      <w:pPr>
        <w:jc w:val="both"/>
        <w:ind w:left="300" w:right="160"/>
        <w:spacing w:after="0" w:line="244" w:lineRule="auto"/>
        <w:rPr>
          <w:sz w:val="20"/>
          <w:szCs w:val="20"/>
          <w:color w:val="auto"/>
        </w:rPr>
      </w:pPr>
      <w:r>
        <w:rPr>
          <w:rFonts w:ascii="Arial" w:cs="Arial" w:eastAsia="Arial" w:hAnsi="Arial"/>
          <w:sz w:val="17"/>
          <w:szCs w:val="17"/>
          <w:b w:val="1"/>
          <w:bCs w:val="1"/>
          <w:color w:val="0171B9"/>
        </w:rPr>
        <w:t>Earned amounts from our 2022 annual cash incentive plan are tied directly to our performance based on pre-established financial and operating performance goals designed to drive execution of our strategic priorities.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184"/>
        </w:trPr>
        <w:tc>
          <w:tcPr>
            <w:tcW w:w="2620" w:type="dxa"/>
            <w:vAlign w:val="bottom"/>
            <w:tcBorders>
              <w:top w:val="single" w:sz="8" w:color="auto"/>
              <w:left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 of</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262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Target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Score</w:t>
            </w:r>
          </w:p>
        </w:tc>
      </w:tr>
      <w:tr>
        <w:trPr>
          <w:trHeight w:val="275"/>
        </w:trPr>
        <w:tc>
          <w:tcPr>
            <w:tcW w:w="262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Goal</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Weighting</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Earned</w:t>
            </w:r>
          </w:p>
        </w:tc>
        <w:tc>
          <w:tcPr>
            <w:tcW w:w="980" w:type="dxa"/>
            <w:vAlign w:val="bottom"/>
            <w:tcBorders>
              <w:bottom w:val="single" w:sz="8" w:color="auto"/>
              <w:right w:val="single" w:sz="8" w:color="auto"/>
            </w:tcBorders>
          </w:tcPr>
          <w:p>
            <w:pPr>
              <w:jc w:val="right"/>
              <w:spacing w:after="0" w:line="274" w:lineRule="exact"/>
              <w:rPr>
                <w:sz w:val="20"/>
                <w:szCs w:val="20"/>
                <w:color w:val="auto"/>
              </w:rPr>
            </w:pPr>
            <w:r>
              <w:rPr>
                <w:rFonts w:ascii="Arial" w:cs="Arial" w:eastAsia="Arial" w:hAnsi="Arial"/>
                <w:sz w:val="16"/>
                <w:szCs w:val="16"/>
                <w:b w:val="1"/>
                <w:bCs w:val="1"/>
                <w:color w:val="auto"/>
                <w:w w:val="99"/>
              </w:rPr>
              <w:t>Achieved</w:t>
            </w:r>
            <w:r>
              <w:rPr>
                <w:rFonts w:ascii="Arial" w:cs="Arial" w:eastAsia="Arial" w:hAnsi="Arial"/>
                <w:sz w:val="24"/>
                <w:szCs w:val="24"/>
                <w:b w:val="1"/>
                <w:bCs w:val="1"/>
                <w:color w:val="auto"/>
                <w:w w:val="99"/>
                <w:vertAlign w:val="superscript"/>
              </w:rPr>
              <w:t>(1)</w:t>
            </w:r>
          </w:p>
        </w:tc>
      </w:tr>
      <w:tr>
        <w:trPr>
          <w:trHeight w:val="269"/>
        </w:trPr>
        <w:tc>
          <w:tcPr>
            <w:tcW w:w="2620" w:type="dxa"/>
            <w:vAlign w:val="bottom"/>
            <w:tcBorders>
              <w:left w:val="single" w:sz="8" w:color="auto"/>
              <w:bottom w:val="single" w:sz="8" w:color="0171B9"/>
            </w:tcBorders>
            <w:shd w:val="clear" w:color="auto" w:fill="0171B9"/>
          </w:tcPr>
          <w:p>
            <w:pPr>
              <w:ind w:left="160"/>
              <w:spacing w:after="0"/>
              <w:rPr>
                <w:sz w:val="20"/>
                <w:szCs w:val="20"/>
                <w:color w:val="auto"/>
              </w:rPr>
            </w:pPr>
            <w:r>
              <w:rPr>
                <w:rFonts w:ascii="Arial" w:cs="Arial" w:eastAsia="Arial" w:hAnsi="Arial"/>
                <w:sz w:val="16"/>
                <w:szCs w:val="16"/>
                <w:b w:val="1"/>
                <w:bCs w:val="1"/>
                <w:color w:val="FFFFFF"/>
              </w:rPr>
              <w:t>1. Financial Performance</w:t>
            </w:r>
          </w:p>
        </w:tc>
        <w:tc>
          <w:tcPr>
            <w:tcW w:w="980" w:type="dxa"/>
            <w:vAlign w:val="bottom"/>
            <w:tcBorders>
              <w:bottom w:val="single" w:sz="8" w:color="0171B9"/>
            </w:tcBorders>
            <w:shd w:val="clear" w:color="auto" w:fill="0171B9"/>
          </w:tcPr>
          <w:p>
            <w:pPr>
              <w:spacing w:after="0"/>
              <w:rPr>
                <w:sz w:val="22"/>
                <w:szCs w:val="22"/>
                <w:color w:val="auto"/>
              </w:rPr>
            </w:pPr>
          </w:p>
        </w:tc>
        <w:tc>
          <w:tcPr>
            <w:tcW w:w="720" w:type="dxa"/>
            <w:vAlign w:val="bottom"/>
            <w:tcBorders>
              <w:bottom w:val="single" w:sz="8" w:color="0171B9"/>
            </w:tcBorders>
            <w:shd w:val="clear" w:color="auto" w:fill="0171B9"/>
          </w:tcPr>
          <w:p>
            <w:pPr>
              <w:spacing w:after="0"/>
              <w:rPr>
                <w:sz w:val="22"/>
                <w:szCs w:val="22"/>
                <w:color w:val="auto"/>
              </w:rPr>
            </w:pPr>
          </w:p>
        </w:tc>
        <w:tc>
          <w:tcPr>
            <w:tcW w:w="980" w:type="dxa"/>
            <w:vAlign w:val="bottom"/>
            <w:tcBorders>
              <w:bottom w:val="single" w:sz="8" w:color="0171B9"/>
              <w:right w:val="single" w:sz="8" w:color="auto"/>
            </w:tcBorders>
            <w:shd w:val="clear" w:color="auto" w:fill="0171B9"/>
          </w:tcPr>
          <w:p>
            <w:pPr>
              <w:jc w:val="right"/>
              <w:ind w:right="19"/>
              <w:spacing w:after="0"/>
              <w:rPr>
                <w:sz w:val="20"/>
                <w:szCs w:val="20"/>
                <w:color w:val="auto"/>
              </w:rPr>
            </w:pPr>
            <w:r>
              <w:rPr>
                <w:rFonts w:ascii="Arial" w:cs="Arial" w:eastAsia="Arial" w:hAnsi="Arial"/>
                <w:sz w:val="16"/>
                <w:szCs w:val="16"/>
                <w:b w:val="1"/>
                <w:bCs w:val="1"/>
                <w:color w:val="FFFFFF"/>
              </w:rPr>
              <w:t>69.4%</w:t>
            </w:r>
          </w:p>
        </w:tc>
      </w:tr>
      <w:tr>
        <w:trPr>
          <w:trHeight w:val="190"/>
        </w:trPr>
        <w:tc>
          <w:tcPr>
            <w:tcW w:w="2620" w:type="dxa"/>
            <w:vAlign w:val="bottom"/>
            <w:tcBorders>
              <w:top w:val="single" w:sz="8" w:color="auto"/>
              <w:left w:val="single" w:sz="8" w:color="auto"/>
            </w:tcBorders>
            <w:shd w:val="clear" w:color="auto" w:fill="CCE2F1"/>
          </w:tcPr>
          <w:p>
            <w:pPr>
              <w:ind w:left="160"/>
              <w:spacing w:after="0" w:line="190" w:lineRule="exact"/>
              <w:rPr>
                <w:sz w:val="20"/>
                <w:szCs w:val="20"/>
                <w:color w:val="auto"/>
              </w:rPr>
            </w:pPr>
            <w:r>
              <w:rPr>
                <w:rFonts w:ascii="Arial" w:cs="Arial" w:eastAsia="Arial" w:hAnsi="Arial"/>
                <w:sz w:val="17"/>
                <w:szCs w:val="17"/>
                <w:color w:val="auto"/>
              </w:rPr>
              <w:t>a.  Revenues</w:t>
            </w:r>
          </w:p>
        </w:tc>
        <w:tc>
          <w:tcPr>
            <w:tcW w:w="980" w:type="dxa"/>
            <w:vAlign w:val="bottom"/>
            <w:tcBorders>
              <w:top w:val="single" w:sz="8" w:color="auto"/>
            </w:tcBorders>
            <w:shd w:val="clear" w:color="auto" w:fill="CCE2F1"/>
          </w:tcPr>
          <w:p>
            <w:pPr>
              <w:spacing w:after="0"/>
              <w:rPr>
                <w:sz w:val="16"/>
                <w:szCs w:val="16"/>
                <w:color w:val="auto"/>
              </w:rPr>
            </w:pPr>
          </w:p>
        </w:tc>
        <w:tc>
          <w:tcPr>
            <w:tcW w:w="720" w:type="dxa"/>
            <w:vAlign w:val="bottom"/>
            <w:tcBorders>
              <w:top w:val="single" w:sz="8" w:color="auto"/>
            </w:tcBorders>
            <w:shd w:val="clear" w:color="auto" w:fill="CCE2F1"/>
          </w:tcPr>
          <w:p>
            <w:pPr>
              <w:spacing w:after="0"/>
              <w:rPr>
                <w:sz w:val="16"/>
                <w:szCs w:val="16"/>
                <w:color w:val="auto"/>
              </w:rPr>
            </w:pPr>
          </w:p>
        </w:tc>
        <w:tc>
          <w:tcPr>
            <w:tcW w:w="980" w:type="dxa"/>
            <w:vAlign w:val="bottom"/>
            <w:tcBorders>
              <w:top w:val="single" w:sz="8" w:color="auto"/>
              <w:right w:val="single" w:sz="8" w:color="auto"/>
            </w:tcBorders>
            <w:shd w:val="clear" w:color="auto" w:fill="CCE2F1"/>
          </w:tcPr>
          <w:p>
            <w:pPr>
              <w:spacing w:after="0"/>
              <w:rPr>
                <w:sz w:val="16"/>
                <w:szCs w:val="16"/>
                <w:color w:val="auto"/>
              </w:rPr>
            </w:pPr>
          </w:p>
        </w:tc>
      </w:tr>
      <w:tr>
        <w:trPr>
          <w:trHeight w:val="189"/>
        </w:trPr>
        <w:tc>
          <w:tcPr>
            <w:tcW w:w="2620" w:type="dxa"/>
            <w:vAlign w:val="bottom"/>
            <w:tcBorders>
              <w:left w:val="single" w:sz="8" w:color="auto"/>
            </w:tcBorders>
            <w:shd w:val="clear" w:color="auto" w:fill="CCE2F1"/>
          </w:tcPr>
          <w:p>
            <w:pPr>
              <w:ind w:left="160"/>
              <w:spacing w:after="0" w:line="189" w:lineRule="exact"/>
              <w:rPr>
                <w:sz w:val="20"/>
                <w:szCs w:val="20"/>
                <w:color w:val="auto"/>
              </w:rPr>
            </w:pPr>
            <w:r>
              <w:rPr>
                <w:rFonts w:ascii="Arial" w:cs="Arial" w:eastAsia="Arial" w:hAnsi="Arial"/>
                <w:sz w:val="17"/>
                <w:szCs w:val="17"/>
                <w:color w:val="auto"/>
              </w:rPr>
              <w:t>     Target $25.857B</w:t>
            </w:r>
          </w:p>
        </w:tc>
        <w:tc>
          <w:tcPr>
            <w:tcW w:w="980" w:type="dxa"/>
            <w:vAlign w:val="bottom"/>
            <w:shd w:val="clear" w:color="auto" w:fill="CCE2F1"/>
          </w:tcPr>
          <w:p>
            <w:pPr>
              <w:spacing w:after="0"/>
              <w:rPr>
                <w:sz w:val="16"/>
                <w:szCs w:val="16"/>
                <w:color w:val="auto"/>
              </w:rPr>
            </w:pPr>
          </w:p>
        </w:tc>
        <w:tc>
          <w:tcPr>
            <w:tcW w:w="720" w:type="dxa"/>
            <w:vAlign w:val="bottom"/>
            <w:shd w:val="clear" w:color="auto" w:fill="CCE2F1"/>
          </w:tcPr>
          <w:p>
            <w:pPr>
              <w:spacing w:after="0"/>
              <w:rPr>
                <w:sz w:val="16"/>
                <w:szCs w:val="16"/>
                <w:color w:val="auto"/>
              </w:rPr>
            </w:pPr>
          </w:p>
        </w:tc>
        <w:tc>
          <w:tcPr>
            <w:tcW w:w="980" w:type="dxa"/>
            <w:vAlign w:val="bottom"/>
            <w:tcBorders>
              <w:right w:val="single" w:sz="8" w:color="auto"/>
            </w:tcBorders>
            <w:shd w:val="clear" w:color="auto" w:fill="CCE2F1"/>
          </w:tcPr>
          <w:p>
            <w:pPr>
              <w:spacing w:after="0"/>
              <w:rPr>
                <w:sz w:val="16"/>
                <w:szCs w:val="16"/>
                <w:color w:val="auto"/>
              </w:rPr>
            </w:pPr>
          </w:p>
        </w:tc>
      </w:tr>
      <w:tr>
        <w:trPr>
          <w:trHeight w:val="216"/>
        </w:trPr>
        <w:tc>
          <w:tcPr>
            <w:tcW w:w="2620" w:type="dxa"/>
            <w:vAlign w:val="bottom"/>
            <w:tcBorders>
              <w:left w:val="single" w:sz="8" w:color="auto"/>
            </w:tcBorders>
            <w:shd w:val="clear" w:color="auto" w:fill="CCE2F1"/>
          </w:tcPr>
          <w:p>
            <w:pPr>
              <w:ind w:left="160"/>
              <w:spacing w:after="0"/>
              <w:rPr>
                <w:sz w:val="20"/>
                <w:szCs w:val="20"/>
                <w:color w:val="auto"/>
              </w:rPr>
            </w:pPr>
            <w:r>
              <w:rPr>
                <w:rFonts w:ascii="Arial" w:cs="Arial" w:eastAsia="Arial" w:hAnsi="Arial"/>
                <w:sz w:val="17"/>
                <w:szCs w:val="17"/>
                <w:color w:val="auto"/>
              </w:rPr>
              <w:t>     Results $26.323B</w:t>
            </w:r>
          </w:p>
        </w:tc>
        <w:tc>
          <w:tcPr>
            <w:tcW w:w="980" w:type="dxa"/>
            <w:vAlign w:val="bottom"/>
            <w:shd w:val="clear" w:color="auto" w:fill="CCE2F1"/>
          </w:tcPr>
          <w:p>
            <w:pPr>
              <w:jc w:val="right"/>
              <w:ind w:right="19"/>
              <w:spacing w:after="0"/>
              <w:rPr>
                <w:sz w:val="20"/>
                <w:szCs w:val="20"/>
                <w:color w:val="auto"/>
              </w:rPr>
            </w:pPr>
            <w:r>
              <w:rPr>
                <w:rFonts w:ascii="Arial" w:cs="Arial" w:eastAsia="Arial" w:hAnsi="Arial"/>
                <w:sz w:val="16"/>
                <w:szCs w:val="16"/>
                <w:color w:val="auto"/>
              </w:rPr>
              <w:t>30%</w:t>
            </w:r>
          </w:p>
        </w:tc>
        <w:tc>
          <w:tcPr>
            <w:tcW w:w="720" w:type="dxa"/>
            <w:vAlign w:val="bottom"/>
            <w:shd w:val="clear" w:color="auto" w:fill="CCE2F1"/>
          </w:tcPr>
          <w:p>
            <w:pPr>
              <w:jc w:val="right"/>
              <w:spacing w:after="0"/>
              <w:rPr>
                <w:sz w:val="20"/>
                <w:szCs w:val="20"/>
                <w:color w:val="auto"/>
              </w:rPr>
            </w:pPr>
            <w:r>
              <w:rPr>
                <w:rFonts w:ascii="Arial" w:cs="Arial" w:eastAsia="Arial" w:hAnsi="Arial"/>
                <w:sz w:val="16"/>
                <w:szCs w:val="16"/>
                <w:color w:val="auto"/>
              </w:rPr>
              <w:t>120.7%</w:t>
            </w:r>
          </w:p>
        </w:tc>
        <w:tc>
          <w:tcPr>
            <w:tcW w:w="980" w:type="dxa"/>
            <w:vAlign w:val="bottom"/>
            <w:tcBorders>
              <w:right w:val="single" w:sz="8" w:color="auto"/>
            </w:tcBorders>
            <w:shd w:val="clear" w:color="auto" w:fill="CCE2F1"/>
          </w:tcPr>
          <w:p>
            <w:pPr>
              <w:spacing w:after="0"/>
              <w:rPr>
                <w:sz w:val="18"/>
                <w:szCs w:val="18"/>
                <w:color w:val="auto"/>
              </w:rPr>
            </w:pPr>
          </w:p>
        </w:tc>
      </w:tr>
      <w:tr>
        <w:trPr>
          <w:trHeight w:val="60"/>
        </w:trPr>
        <w:tc>
          <w:tcPr>
            <w:tcW w:w="2620" w:type="dxa"/>
            <w:vAlign w:val="bottom"/>
            <w:tcBorders>
              <w:left w:val="single" w:sz="8" w:color="auto"/>
            </w:tcBorders>
            <w:shd w:val="clear" w:color="auto" w:fill="CCE2F1"/>
          </w:tcPr>
          <w:p>
            <w:pPr>
              <w:spacing w:after="0"/>
              <w:rPr>
                <w:sz w:val="5"/>
                <w:szCs w:val="5"/>
                <w:color w:val="auto"/>
              </w:rPr>
            </w:pPr>
          </w:p>
        </w:tc>
        <w:tc>
          <w:tcPr>
            <w:tcW w:w="980" w:type="dxa"/>
            <w:vAlign w:val="bottom"/>
            <w:shd w:val="clear" w:color="auto" w:fill="CCE2F1"/>
          </w:tcPr>
          <w:p>
            <w:pPr>
              <w:spacing w:after="0"/>
              <w:rPr>
                <w:sz w:val="5"/>
                <w:szCs w:val="5"/>
                <w:color w:val="auto"/>
              </w:rPr>
            </w:pPr>
          </w:p>
        </w:tc>
        <w:tc>
          <w:tcPr>
            <w:tcW w:w="720" w:type="dxa"/>
            <w:vAlign w:val="bottom"/>
            <w:shd w:val="clear" w:color="auto" w:fill="CCE2F1"/>
          </w:tcPr>
          <w:p>
            <w:pPr>
              <w:spacing w:after="0"/>
              <w:rPr>
                <w:sz w:val="5"/>
                <w:szCs w:val="5"/>
                <w:color w:val="auto"/>
              </w:rPr>
            </w:pPr>
          </w:p>
        </w:tc>
        <w:tc>
          <w:tcPr>
            <w:tcW w:w="980" w:type="dxa"/>
            <w:vAlign w:val="bottom"/>
            <w:tcBorders>
              <w:right w:val="single" w:sz="8" w:color="auto"/>
            </w:tcBorders>
            <w:shd w:val="clear" w:color="auto" w:fill="CCE2F1"/>
          </w:tcPr>
          <w:p>
            <w:pPr>
              <w:spacing w:after="0"/>
              <w:rPr>
                <w:sz w:val="5"/>
                <w:szCs w:val="5"/>
                <w:color w:val="auto"/>
              </w:rPr>
            </w:pPr>
          </w:p>
        </w:tc>
      </w:tr>
      <w:tr>
        <w:trPr>
          <w:trHeight w:val="196"/>
        </w:trPr>
        <w:tc>
          <w:tcPr>
            <w:tcW w:w="2620" w:type="dxa"/>
            <w:vAlign w:val="bottom"/>
            <w:tcBorders>
              <w:left w:val="single" w:sz="8" w:color="auto"/>
            </w:tcBorders>
          </w:tcPr>
          <w:p>
            <w:pPr>
              <w:ind w:left="160"/>
              <w:spacing w:after="0"/>
              <w:rPr>
                <w:sz w:val="20"/>
                <w:szCs w:val="20"/>
                <w:color w:val="auto"/>
              </w:rPr>
            </w:pPr>
            <w:r>
              <w:rPr>
                <w:rFonts w:ascii="Arial" w:cs="Arial" w:eastAsia="Arial" w:hAnsi="Arial"/>
                <w:sz w:val="17"/>
                <w:szCs w:val="17"/>
                <w:color w:val="auto"/>
              </w:rPr>
              <w:t>b.  Non-GAAP Net Income</w:t>
            </w:r>
            <w:r>
              <w:rPr>
                <w:rFonts w:ascii="Arial" w:cs="Arial" w:eastAsia="Arial" w:hAnsi="Arial"/>
                <w:sz w:val="12"/>
                <w:szCs w:val="12"/>
                <w:color w:val="auto"/>
              </w:rPr>
              <w:t>(2)</w:t>
            </w: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189"/>
        </w:trPr>
        <w:tc>
          <w:tcPr>
            <w:tcW w:w="2620" w:type="dxa"/>
            <w:vAlign w:val="bottom"/>
            <w:tcBorders>
              <w:left w:val="single" w:sz="8" w:color="auto"/>
            </w:tcBorders>
          </w:tcPr>
          <w:p>
            <w:pPr>
              <w:ind w:left="160"/>
              <w:spacing w:after="0" w:line="189" w:lineRule="exact"/>
              <w:rPr>
                <w:sz w:val="20"/>
                <w:szCs w:val="20"/>
                <w:color w:val="auto"/>
              </w:rPr>
            </w:pPr>
            <w:r>
              <w:rPr>
                <w:rFonts w:ascii="Arial" w:cs="Arial" w:eastAsia="Arial" w:hAnsi="Arial"/>
                <w:sz w:val="17"/>
                <w:szCs w:val="17"/>
                <w:color w:val="auto"/>
              </w:rPr>
              <w:t>     Target $9.319B</w:t>
            </w: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16"/>
        </w:trPr>
        <w:tc>
          <w:tcPr>
            <w:tcW w:w="2620" w:type="dxa"/>
            <w:vAlign w:val="bottom"/>
            <w:tcBorders>
              <w:left w:val="single" w:sz="8" w:color="auto"/>
            </w:tcBorders>
          </w:tcPr>
          <w:p>
            <w:pPr>
              <w:ind w:left="160"/>
              <w:spacing w:after="0"/>
              <w:rPr>
                <w:sz w:val="20"/>
                <w:szCs w:val="20"/>
                <w:color w:val="auto"/>
              </w:rPr>
            </w:pPr>
            <w:r>
              <w:rPr>
                <w:rFonts w:ascii="Arial" w:cs="Arial" w:eastAsia="Arial" w:hAnsi="Arial"/>
                <w:sz w:val="17"/>
                <w:szCs w:val="17"/>
                <w:color w:val="auto"/>
              </w:rPr>
              <w:t>     Results $9.570B</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720" w:type="dxa"/>
            <w:vAlign w:val="bottom"/>
          </w:tcPr>
          <w:p>
            <w:pPr>
              <w:jc w:val="right"/>
              <w:spacing w:after="0"/>
              <w:rPr>
                <w:sz w:val="20"/>
                <w:szCs w:val="20"/>
                <w:color w:val="auto"/>
              </w:rPr>
            </w:pPr>
            <w:r>
              <w:rPr>
                <w:rFonts w:ascii="Arial" w:cs="Arial" w:eastAsia="Arial" w:hAnsi="Arial"/>
                <w:sz w:val="16"/>
                <w:szCs w:val="16"/>
                <w:color w:val="auto"/>
              </w:rPr>
              <w:t>110.5%</w:t>
            </w:r>
          </w:p>
        </w:tc>
        <w:tc>
          <w:tcPr>
            <w:tcW w:w="980" w:type="dxa"/>
            <w:vAlign w:val="bottom"/>
            <w:tcBorders>
              <w:right w:val="single" w:sz="8" w:color="auto"/>
            </w:tcBorders>
          </w:tcPr>
          <w:p>
            <w:pPr>
              <w:spacing w:after="0"/>
              <w:rPr>
                <w:sz w:val="18"/>
                <w:szCs w:val="18"/>
                <w:color w:val="auto"/>
              </w:rPr>
            </w:pPr>
          </w:p>
        </w:tc>
      </w:tr>
      <w:tr>
        <w:trPr>
          <w:trHeight w:val="60"/>
        </w:trPr>
        <w:tc>
          <w:tcPr>
            <w:tcW w:w="2620" w:type="dxa"/>
            <w:vAlign w:val="bottom"/>
            <w:tcBorders>
              <w:left w:val="single" w:sz="8" w:color="auto"/>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r>
      <w:tr>
        <w:trPr>
          <w:trHeight w:val="208"/>
        </w:trPr>
        <w:tc>
          <w:tcPr>
            <w:tcW w:w="2620" w:type="dxa"/>
            <w:vAlign w:val="bottom"/>
            <w:tcBorders>
              <w:left w:val="single" w:sz="8" w:color="auto"/>
            </w:tcBorders>
            <w:shd w:val="clear" w:color="auto" w:fill="0171B9"/>
          </w:tcPr>
          <w:p>
            <w:pPr>
              <w:ind w:left="160"/>
              <w:spacing w:after="0"/>
              <w:rPr>
                <w:sz w:val="20"/>
                <w:szCs w:val="20"/>
                <w:color w:val="auto"/>
              </w:rPr>
            </w:pPr>
            <w:r>
              <w:rPr>
                <w:rFonts w:ascii="Arial" w:cs="Arial" w:eastAsia="Arial" w:hAnsi="Arial"/>
                <w:sz w:val="16"/>
                <w:szCs w:val="16"/>
                <w:b w:val="1"/>
                <w:bCs w:val="1"/>
                <w:color w:val="FFFFFF"/>
              </w:rPr>
              <w:t>2. Progress Innovative Pipeline</w:t>
            </w:r>
          </w:p>
        </w:tc>
        <w:tc>
          <w:tcPr>
            <w:tcW w:w="980" w:type="dxa"/>
            <w:vAlign w:val="bottom"/>
            <w:shd w:val="clear" w:color="auto" w:fill="0171B9"/>
          </w:tcPr>
          <w:p>
            <w:pPr>
              <w:spacing w:after="0"/>
              <w:rPr>
                <w:sz w:val="18"/>
                <w:szCs w:val="18"/>
                <w:color w:val="auto"/>
              </w:rPr>
            </w:pPr>
          </w:p>
        </w:tc>
        <w:tc>
          <w:tcPr>
            <w:tcW w:w="720" w:type="dxa"/>
            <w:vAlign w:val="bottom"/>
            <w:shd w:val="clear" w:color="auto" w:fill="0171B9"/>
          </w:tcPr>
          <w:p>
            <w:pPr>
              <w:spacing w:after="0"/>
              <w:rPr>
                <w:sz w:val="18"/>
                <w:szCs w:val="18"/>
                <w:color w:val="auto"/>
              </w:rPr>
            </w:pPr>
          </w:p>
        </w:tc>
        <w:tc>
          <w:tcPr>
            <w:tcW w:w="980" w:type="dxa"/>
            <w:vAlign w:val="bottom"/>
            <w:tcBorders>
              <w:right w:val="single" w:sz="8" w:color="auto"/>
            </w:tcBorders>
            <w:shd w:val="clear" w:color="auto" w:fill="0171B9"/>
          </w:tcPr>
          <w:p>
            <w:pPr>
              <w:jc w:val="right"/>
              <w:ind w:right="19"/>
              <w:spacing w:after="0"/>
              <w:rPr>
                <w:sz w:val="20"/>
                <w:szCs w:val="20"/>
                <w:color w:val="auto"/>
              </w:rPr>
            </w:pPr>
            <w:r>
              <w:rPr>
                <w:rFonts w:ascii="Arial" w:cs="Arial" w:eastAsia="Arial" w:hAnsi="Arial"/>
                <w:sz w:val="16"/>
                <w:szCs w:val="16"/>
                <w:b w:val="1"/>
                <w:bCs w:val="1"/>
                <w:color w:val="FFFFFF"/>
              </w:rPr>
              <w:t>30.1%</w:t>
            </w:r>
          </w:p>
        </w:tc>
      </w:tr>
      <w:tr>
        <w:trPr>
          <w:trHeight w:val="69"/>
        </w:trPr>
        <w:tc>
          <w:tcPr>
            <w:tcW w:w="2620" w:type="dxa"/>
            <w:vAlign w:val="bottom"/>
            <w:tcBorders>
              <w:left w:val="single" w:sz="8" w:color="auto"/>
              <w:bottom w:val="single" w:sz="8" w:color="auto"/>
            </w:tcBorders>
            <w:shd w:val="clear" w:color="auto" w:fill="0171B9"/>
          </w:tcPr>
          <w:p>
            <w:pPr>
              <w:spacing w:after="0"/>
              <w:rPr>
                <w:sz w:val="5"/>
                <w:szCs w:val="5"/>
                <w:color w:val="auto"/>
              </w:rPr>
            </w:pPr>
          </w:p>
        </w:tc>
        <w:tc>
          <w:tcPr>
            <w:tcW w:w="980" w:type="dxa"/>
            <w:vAlign w:val="bottom"/>
            <w:tcBorders>
              <w:bottom w:val="single" w:sz="8" w:color="auto"/>
            </w:tcBorders>
            <w:shd w:val="clear" w:color="auto" w:fill="0171B9"/>
          </w:tcPr>
          <w:p>
            <w:pPr>
              <w:spacing w:after="0"/>
              <w:rPr>
                <w:sz w:val="5"/>
                <w:szCs w:val="5"/>
                <w:color w:val="auto"/>
              </w:rPr>
            </w:pPr>
          </w:p>
        </w:tc>
        <w:tc>
          <w:tcPr>
            <w:tcW w:w="720" w:type="dxa"/>
            <w:vAlign w:val="bottom"/>
            <w:tcBorders>
              <w:bottom w:val="single" w:sz="8" w:color="auto"/>
            </w:tcBorders>
            <w:shd w:val="clear" w:color="auto" w:fill="0171B9"/>
          </w:tcPr>
          <w:p>
            <w:pPr>
              <w:spacing w:after="0"/>
              <w:rPr>
                <w:sz w:val="5"/>
                <w:szCs w:val="5"/>
                <w:color w:val="auto"/>
              </w:rPr>
            </w:pPr>
          </w:p>
        </w:tc>
        <w:tc>
          <w:tcPr>
            <w:tcW w:w="980" w:type="dxa"/>
            <w:vAlign w:val="bottom"/>
            <w:tcBorders>
              <w:bottom w:val="single" w:sz="8" w:color="auto"/>
              <w:right w:val="single" w:sz="8" w:color="auto"/>
            </w:tcBorders>
            <w:shd w:val="clear" w:color="auto" w:fill="0171B9"/>
          </w:tcPr>
          <w:p>
            <w:pPr>
              <w:spacing w:after="0"/>
              <w:rPr>
                <w:sz w:val="5"/>
                <w:szCs w:val="5"/>
                <w:color w:val="auto"/>
              </w:rPr>
            </w:pPr>
          </w:p>
        </w:tc>
      </w:tr>
      <w:tr>
        <w:trPr>
          <w:trHeight w:val="243"/>
        </w:trPr>
        <w:tc>
          <w:tcPr>
            <w:tcW w:w="2620" w:type="dxa"/>
            <w:vAlign w:val="bottom"/>
            <w:tcBorders>
              <w:left w:val="single" w:sz="8" w:color="auto"/>
              <w:bottom w:val="single" w:sz="8" w:color="CCE2F1"/>
            </w:tcBorders>
            <w:shd w:val="clear" w:color="auto" w:fill="CCE2F1"/>
          </w:tcPr>
          <w:p>
            <w:pPr>
              <w:ind w:left="160"/>
              <w:spacing w:after="0"/>
              <w:rPr>
                <w:sz w:val="20"/>
                <w:szCs w:val="20"/>
                <w:color w:val="auto"/>
              </w:rPr>
            </w:pPr>
            <w:r>
              <w:rPr>
                <w:rFonts w:ascii="Arial" w:cs="Arial" w:eastAsia="Arial" w:hAnsi="Arial"/>
                <w:sz w:val="17"/>
                <w:szCs w:val="17"/>
                <w:color w:val="auto"/>
              </w:rPr>
              <w:t>a.  Advance Early Pipeline</w:t>
            </w:r>
          </w:p>
        </w:tc>
        <w:tc>
          <w:tcPr>
            <w:tcW w:w="980" w:type="dxa"/>
            <w:vAlign w:val="bottom"/>
            <w:tcBorders>
              <w:bottom w:val="single" w:sz="8" w:color="CCE2F1"/>
            </w:tcBorders>
            <w:shd w:val="clear" w:color="auto" w:fill="CCE2F1"/>
          </w:tcPr>
          <w:p>
            <w:pPr>
              <w:jc w:val="right"/>
              <w:ind w:right="19"/>
              <w:spacing w:after="0"/>
              <w:rPr>
                <w:sz w:val="20"/>
                <w:szCs w:val="20"/>
                <w:color w:val="auto"/>
              </w:rPr>
            </w:pPr>
            <w:r>
              <w:rPr>
                <w:rFonts w:ascii="Arial" w:cs="Arial" w:eastAsia="Arial" w:hAnsi="Arial"/>
                <w:sz w:val="16"/>
                <w:szCs w:val="16"/>
                <w:color w:val="auto"/>
              </w:rPr>
              <w:t>10%</w:t>
            </w:r>
          </w:p>
        </w:tc>
        <w:tc>
          <w:tcPr>
            <w:tcW w:w="720" w:type="dxa"/>
            <w:vAlign w:val="bottom"/>
            <w:tcBorders>
              <w:bottom w:val="single" w:sz="8" w:color="CCE2F1"/>
            </w:tcBorders>
            <w:shd w:val="clear" w:color="auto" w:fill="CCE2F1"/>
          </w:tcPr>
          <w:p>
            <w:pPr>
              <w:jc w:val="right"/>
              <w:spacing w:after="0"/>
              <w:rPr>
                <w:sz w:val="20"/>
                <w:szCs w:val="20"/>
                <w:color w:val="auto"/>
              </w:rPr>
            </w:pPr>
            <w:r>
              <w:rPr>
                <w:rFonts w:ascii="Arial" w:cs="Arial" w:eastAsia="Arial" w:hAnsi="Arial"/>
                <w:sz w:val="16"/>
                <w:szCs w:val="16"/>
                <w:color w:val="auto"/>
              </w:rPr>
              <w:t>81.8%</w:t>
            </w:r>
          </w:p>
        </w:tc>
        <w:tc>
          <w:tcPr>
            <w:tcW w:w="980" w:type="dxa"/>
            <w:vAlign w:val="bottom"/>
            <w:tcBorders>
              <w:bottom w:val="single" w:sz="8" w:color="CCE2F1"/>
              <w:right w:val="single" w:sz="8" w:color="auto"/>
            </w:tcBorders>
            <w:shd w:val="clear" w:color="auto" w:fill="CCE2F1"/>
          </w:tcPr>
          <w:p>
            <w:pPr>
              <w:spacing w:after="0"/>
              <w:rPr>
                <w:sz w:val="21"/>
                <w:szCs w:val="21"/>
                <w:color w:val="auto"/>
              </w:rPr>
            </w:pPr>
          </w:p>
        </w:tc>
      </w:tr>
      <w:tr>
        <w:trPr>
          <w:trHeight w:val="196"/>
        </w:trPr>
        <w:tc>
          <w:tcPr>
            <w:tcW w:w="2620" w:type="dxa"/>
            <w:vAlign w:val="bottom"/>
            <w:tcBorders>
              <w:left w:val="single" w:sz="8" w:color="auto"/>
            </w:tcBorders>
          </w:tcPr>
          <w:p>
            <w:pPr>
              <w:ind w:left="160"/>
              <w:spacing w:after="0"/>
              <w:rPr>
                <w:sz w:val="20"/>
                <w:szCs w:val="20"/>
                <w:color w:val="auto"/>
              </w:rPr>
            </w:pPr>
            <w:r>
              <w:rPr>
                <w:rFonts w:ascii="Arial" w:cs="Arial" w:eastAsia="Arial" w:hAnsi="Arial"/>
                <w:sz w:val="17"/>
                <w:szCs w:val="17"/>
                <w:color w:val="auto"/>
              </w:rPr>
              <w:t>b.  Execute Key Clinical Studies</w:t>
            </w: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205"/>
        </w:trPr>
        <w:tc>
          <w:tcPr>
            <w:tcW w:w="2620" w:type="dxa"/>
            <w:vAlign w:val="bottom"/>
            <w:tcBorders>
              <w:left w:val="single" w:sz="8" w:color="auto"/>
            </w:tcBorders>
          </w:tcPr>
          <w:p>
            <w:pPr>
              <w:ind w:left="380"/>
              <w:spacing w:after="0"/>
              <w:rPr>
                <w:sz w:val="20"/>
                <w:szCs w:val="20"/>
                <w:color w:val="auto"/>
              </w:rPr>
            </w:pPr>
            <w:r>
              <w:rPr>
                <w:rFonts w:ascii="Arial" w:cs="Arial" w:eastAsia="Arial" w:hAnsi="Arial"/>
                <w:sz w:val="17"/>
                <w:szCs w:val="17"/>
                <w:color w:val="auto"/>
              </w:rPr>
              <w:t>and Regulatory Filings</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720" w:type="dxa"/>
            <w:vAlign w:val="bottom"/>
          </w:tcPr>
          <w:p>
            <w:pPr>
              <w:jc w:val="right"/>
              <w:spacing w:after="0"/>
              <w:rPr>
                <w:sz w:val="20"/>
                <w:szCs w:val="20"/>
                <w:color w:val="auto"/>
              </w:rPr>
            </w:pPr>
            <w:r>
              <w:rPr>
                <w:rFonts w:ascii="Arial" w:cs="Arial" w:eastAsia="Arial" w:hAnsi="Arial"/>
                <w:sz w:val="16"/>
                <w:szCs w:val="16"/>
                <w:color w:val="auto"/>
              </w:rPr>
              <w:t>109.4%</w:t>
            </w:r>
          </w:p>
        </w:tc>
        <w:tc>
          <w:tcPr>
            <w:tcW w:w="980" w:type="dxa"/>
            <w:vAlign w:val="bottom"/>
            <w:tcBorders>
              <w:right w:val="single" w:sz="8" w:color="auto"/>
            </w:tcBorders>
          </w:tcPr>
          <w:p>
            <w:pPr>
              <w:spacing w:after="0"/>
              <w:rPr>
                <w:sz w:val="17"/>
                <w:szCs w:val="17"/>
                <w:color w:val="auto"/>
              </w:rPr>
            </w:pPr>
          </w:p>
        </w:tc>
      </w:tr>
      <w:tr>
        <w:trPr>
          <w:trHeight w:val="58"/>
        </w:trPr>
        <w:tc>
          <w:tcPr>
            <w:tcW w:w="2620" w:type="dxa"/>
            <w:vAlign w:val="bottom"/>
            <w:tcBorders>
              <w:left w:val="single" w:sz="8" w:color="auto"/>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r>
      <w:tr>
        <w:trPr>
          <w:trHeight w:val="208"/>
        </w:trPr>
        <w:tc>
          <w:tcPr>
            <w:tcW w:w="2620" w:type="dxa"/>
            <w:vAlign w:val="bottom"/>
            <w:tcBorders>
              <w:left w:val="single" w:sz="8" w:color="auto"/>
            </w:tcBorders>
            <w:shd w:val="clear" w:color="auto" w:fill="0171B9"/>
          </w:tcPr>
          <w:p>
            <w:pPr>
              <w:ind w:left="160"/>
              <w:spacing w:after="0"/>
              <w:rPr>
                <w:sz w:val="20"/>
                <w:szCs w:val="20"/>
                <w:color w:val="auto"/>
              </w:rPr>
            </w:pPr>
            <w:r>
              <w:rPr>
                <w:rFonts w:ascii="Arial" w:cs="Arial" w:eastAsia="Arial" w:hAnsi="Arial"/>
                <w:sz w:val="16"/>
                <w:szCs w:val="16"/>
                <w:b w:val="1"/>
                <w:bCs w:val="1"/>
                <w:color w:val="FFFFFF"/>
              </w:rPr>
              <w:t>3. Deliver Annual Priorities</w:t>
            </w:r>
          </w:p>
        </w:tc>
        <w:tc>
          <w:tcPr>
            <w:tcW w:w="980" w:type="dxa"/>
            <w:vAlign w:val="bottom"/>
            <w:shd w:val="clear" w:color="auto" w:fill="0171B9"/>
          </w:tcPr>
          <w:p>
            <w:pPr>
              <w:spacing w:after="0"/>
              <w:rPr>
                <w:sz w:val="18"/>
                <w:szCs w:val="18"/>
                <w:color w:val="auto"/>
              </w:rPr>
            </w:pPr>
          </w:p>
        </w:tc>
        <w:tc>
          <w:tcPr>
            <w:tcW w:w="720" w:type="dxa"/>
            <w:vAlign w:val="bottom"/>
            <w:shd w:val="clear" w:color="auto" w:fill="0171B9"/>
          </w:tcPr>
          <w:p>
            <w:pPr>
              <w:spacing w:after="0"/>
              <w:rPr>
                <w:sz w:val="18"/>
                <w:szCs w:val="18"/>
                <w:color w:val="auto"/>
              </w:rPr>
            </w:pPr>
          </w:p>
        </w:tc>
        <w:tc>
          <w:tcPr>
            <w:tcW w:w="980" w:type="dxa"/>
            <w:vAlign w:val="bottom"/>
            <w:tcBorders>
              <w:right w:val="single" w:sz="8" w:color="auto"/>
            </w:tcBorders>
            <w:shd w:val="clear" w:color="auto" w:fill="0171B9"/>
          </w:tcPr>
          <w:p>
            <w:pPr>
              <w:jc w:val="right"/>
              <w:ind w:right="19"/>
              <w:spacing w:after="0"/>
              <w:rPr>
                <w:sz w:val="20"/>
                <w:szCs w:val="20"/>
                <w:color w:val="auto"/>
              </w:rPr>
            </w:pPr>
            <w:r>
              <w:rPr>
                <w:rFonts w:ascii="Arial" w:cs="Arial" w:eastAsia="Arial" w:hAnsi="Arial"/>
                <w:sz w:val="16"/>
                <w:szCs w:val="16"/>
                <w:b w:val="1"/>
                <w:bCs w:val="1"/>
                <w:color w:val="FFFFFF"/>
              </w:rPr>
              <w:t>21.7%</w:t>
            </w:r>
          </w:p>
        </w:tc>
      </w:tr>
      <w:tr>
        <w:trPr>
          <w:trHeight w:val="69"/>
        </w:trPr>
        <w:tc>
          <w:tcPr>
            <w:tcW w:w="2620" w:type="dxa"/>
            <w:vAlign w:val="bottom"/>
            <w:tcBorders>
              <w:left w:val="single" w:sz="8" w:color="auto"/>
              <w:bottom w:val="single" w:sz="8" w:color="auto"/>
            </w:tcBorders>
            <w:shd w:val="clear" w:color="auto" w:fill="0171B9"/>
          </w:tcPr>
          <w:p>
            <w:pPr>
              <w:spacing w:after="0"/>
              <w:rPr>
                <w:sz w:val="5"/>
                <w:szCs w:val="5"/>
                <w:color w:val="auto"/>
              </w:rPr>
            </w:pPr>
          </w:p>
        </w:tc>
        <w:tc>
          <w:tcPr>
            <w:tcW w:w="980" w:type="dxa"/>
            <w:vAlign w:val="bottom"/>
            <w:tcBorders>
              <w:bottom w:val="single" w:sz="8" w:color="auto"/>
            </w:tcBorders>
            <w:shd w:val="clear" w:color="auto" w:fill="0171B9"/>
          </w:tcPr>
          <w:p>
            <w:pPr>
              <w:spacing w:after="0"/>
              <w:rPr>
                <w:sz w:val="5"/>
                <w:szCs w:val="5"/>
                <w:color w:val="auto"/>
              </w:rPr>
            </w:pPr>
          </w:p>
        </w:tc>
        <w:tc>
          <w:tcPr>
            <w:tcW w:w="720" w:type="dxa"/>
            <w:vAlign w:val="bottom"/>
            <w:tcBorders>
              <w:bottom w:val="single" w:sz="8" w:color="auto"/>
            </w:tcBorders>
            <w:shd w:val="clear" w:color="auto" w:fill="0171B9"/>
          </w:tcPr>
          <w:p>
            <w:pPr>
              <w:spacing w:after="0"/>
              <w:rPr>
                <w:sz w:val="5"/>
                <w:szCs w:val="5"/>
                <w:color w:val="auto"/>
              </w:rPr>
            </w:pPr>
          </w:p>
        </w:tc>
        <w:tc>
          <w:tcPr>
            <w:tcW w:w="980" w:type="dxa"/>
            <w:vAlign w:val="bottom"/>
            <w:tcBorders>
              <w:bottom w:val="single" w:sz="8" w:color="auto"/>
              <w:right w:val="single" w:sz="8" w:color="auto"/>
            </w:tcBorders>
            <w:shd w:val="clear" w:color="auto" w:fill="0171B9"/>
          </w:tcPr>
          <w:p>
            <w:pPr>
              <w:spacing w:after="0"/>
              <w:rPr>
                <w:sz w:val="5"/>
                <w:szCs w:val="5"/>
                <w:color w:val="auto"/>
              </w:rPr>
            </w:pPr>
          </w:p>
        </w:tc>
      </w:tr>
      <w:tr>
        <w:trPr>
          <w:trHeight w:val="190"/>
        </w:trPr>
        <w:tc>
          <w:tcPr>
            <w:tcW w:w="2620" w:type="dxa"/>
            <w:vAlign w:val="bottom"/>
            <w:tcBorders>
              <w:left w:val="single" w:sz="8" w:color="auto"/>
            </w:tcBorders>
            <w:shd w:val="clear" w:color="auto" w:fill="CCE2F1"/>
          </w:tcPr>
          <w:p>
            <w:pPr>
              <w:ind w:left="160"/>
              <w:spacing w:after="0" w:line="190" w:lineRule="exact"/>
              <w:rPr>
                <w:sz w:val="20"/>
                <w:szCs w:val="20"/>
                <w:color w:val="auto"/>
              </w:rPr>
            </w:pPr>
            <w:r>
              <w:rPr>
                <w:rFonts w:ascii="Arial" w:cs="Arial" w:eastAsia="Arial" w:hAnsi="Arial"/>
                <w:sz w:val="17"/>
                <w:szCs w:val="17"/>
                <w:color w:val="auto"/>
              </w:rPr>
              <w:t>a.  Environmental, Social, and</w:t>
            </w:r>
          </w:p>
        </w:tc>
        <w:tc>
          <w:tcPr>
            <w:tcW w:w="980" w:type="dxa"/>
            <w:vAlign w:val="bottom"/>
            <w:shd w:val="clear" w:color="auto" w:fill="CCE2F1"/>
          </w:tcPr>
          <w:p>
            <w:pPr>
              <w:spacing w:after="0"/>
              <w:rPr>
                <w:sz w:val="16"/>
                <w:szCs w:val="16"/>
                <w:color w:val="auto"/>
              </w:rPr>
            </w:pPr>
          </w:p>
        </w:tc>
        <w:tc>
          <w:tcPr>
            <w:tcW w:w="720" w:type="dxa"/>
            <w:vAlign w:val="bottom"/>
            <w:shd w:val="clear" w:color="auto" w:fill="CCE2F1"/>
          </w:tcPr>
          <w:p>
            <w:pPr>
              <w:spacing w:after="0"/>
              <w:rPr>
                <w:sz w:val="16"/>
                <w:szCs w:val="16"/>
                <w:color w:val="auto"/>
              </w:rPr>
            </w:pPr>
          </w:p>
        </w:tc>
        <w:tc>
          <w:tcPr>
            <w:tcW w:w="980" w:type="dxa"/>
            <w:vAlign w:val="bottom"/>
            <w:tcBorders>
              <w:right w:val="single" w:sz="8" w:color="auto"/>
            </w:tcBorders>
            <w:shd w:val="clear" w:color="auto" w:fill="CCE2F1"/>
          </w:tcPr>
          <w:p>
            <w:pPr>
              <w:spacing w:after="0"/>
              <w:rPr>
                <w:sz w:val="16"/>
                <w:szCs w:val="16"/>
                <w:color w:val="auto"/>
              </w:rPr>
            </w:pPr>
          </w:p>
        </w:tc>
      </w:tr>
      <w:tr>
        <w:trPr>
          <w:trHeight w:val="243"/>
        </w:trPr>
        <w:tc>
          <w:tcPr>
            <w:tcW w:w="2620" w:type="dxa"/>
            <w:vAlign w:val="bottom"/>
            <w:tcBorders>
              <w:left w:val="single" w:sz="8" w:color="auto"/>
              <w:bottom w:val="single" w:sz="8" w:color="CCE2F1"/>
            </w:tcBorders>
            <w:shd w:val="clear" w:color="auto" w:fill="CCE2F1"/>
          </w:tcPr>
          <w:p>
            <w:pPr>
              <w:ind w:left="380"/>
              <w:spacing w:after="0"/>
              <w:rPr>
                <w:sz w:val="20"/>
                <w:szCs w:val="20"/>
                <w:color w:val="auto"/>
              </w:rPr>
            </w:pPr>
            <w:r>
              <w:rPr>
                <w:rFonts w:ascii="Arial" w:cs="Arial" w:eastAsia="Arial" w:hAnsi="Arial"/>
                <w:sz w:val="17"/>
                <w:szCs w:val="17"/>
                <w:color w:val="auto"/>
              </w:rPr>
              <w:t>Governance</w:t>
            </w:r>
          </w:p>
        </w:tc>
        <w:tc>
          <w:tcPr>
            <w:tcW w:w="980" w:type="dxa"/>
            <w:vAlign w:val="bottom"/>
            <w:tcBorders>
              <w:bottom w:val="single" w:sz="8" w:color="CCE2F1"/>
            </w:tcBorders>
            <w:shd w:val="clear" w:color="auto" w:fill="CCE2F1"/>
          </w:tcPr>
          <w:p>
            <w:pPr>
              <w:jc w:val="right"/>
              <w:ind w:right="19"/>
              <w:spacing w:after="0"/>
              <w:rPr>
                <w:sz w:val="20"/>
                <w:szCs w:val="20"/>
                <w:color w:val="auto"/>
              </w:rPr>
            </w:pPr>
            <w:r>
              <w:rPr>
                <w:rFonts w:ascii="Arial" w:cs="Arial" w:eastAsia="Arial" w:hAnsi="Arial"/>
                <w:sz w:val="16"/>
                <w:szCs w:val="16"/>
                <w:color w:val="auto"/>
              </w:rPr>
              <w:t>5%</w:t>
            </w:r>
          </w:p>
        </w:tc>
        <w:tc>
          <w:tcPr>
            <w:tcW w:w="720" w:type="dxa"/>
            <w:vAlign w:val="bottom"/>
            <w:tcBorders>
              <w:bottom w:val="single" w:sz="8" w:color="CCE2F1"/>
            </w:tcBorders>
            <w:shd w:val="clear" w:color="auto" w:fill="CCE2F1"/>
          </w:tcPr>
          <w:p>
            <w:pPr>
              <w:jc w:val="right"/>
              <w:spacing w:after="0"/>
              <w:rPr>
                <w:sz w:val="20"/>
                <w:szCs w:val="20"/>
                <w:color w:val="auto"/>
              </w:rPr>
            </w:pPr>
            <w:r>
              <w:rPr>
                <w:rFonts w:ascii="Arial" w:cs="Arial" w:eastAsia="Arial" w:hAnsi="Arial"/>
                <w:sz w:val="16"/>
                <w:szCs w:val="16"/>
                <w:color w:val="auto"/>
              </w:rPr>
              <w:t>207.8%</w:t>
            </w:r>
          </w:p>
        </w:tc>
        <w:tc>
          <w:tcPr>
            <w:tcW w:w="980" w:type="dxa"/>
            <w:vAlign w:val="bottom"/>
            <w:tcBorders>
              <w:bottom w:val="single" w:sz="8" w:color="CCE2F1"/>
              <w:right w:val="single" w:sz="8" w:color="auto"/>
            </w:tcBorders>
            <w:shd w:val="clear" w:color="auto" w:fill="CCE2F1"/>
          </w:tcPr>
          <w:p>
            <w:pPr>
              <w:spacing w:after="0"/>
              <w:rPr>
                <w:sz w:val="21"/>
                <w:szCs w:val="21"/>
                <w:color w:val="auto"/>
              </w:rPr>
            </w:pPr>
          </w:p>
        </w:tc>
      </w:tr>
      <w:tr>
        <w:trPr>
          <w:trHeight w:val="196"/>
        </w:trPr>
        <w:tc>
          <w:tcPr>
            <w:tcW w:w="2620" w:type="dxa"/>
            <w:vAlign w:val="bottom"/>
            <w:tcBorders>
              <w:left w:val="single" w:sz="8" w:color="auto"/>
            </w:tcBorders>
          </w:tcPr>
          <w:p>
            <w:pPr>
              <w:ind w:left="160"/>
              <w:spacing w:after="0"/>
              <w:rPr>
                <w:sz w:val="20"/>
                <w:szCs w:val="20"/>
                <w:color w:val="auto"/>
              </w:rPr>
            </w:pPr>
            <w:r>
              <w:rPr>
                <w:rFonts w:ascii="Arial" w:cs="Arial" w:eastAsia="Arial" w:hAnsi="Arial"/>
                <w:sz w:val="17"/>
                <w:szCs w:val="17"/>
                <w:color w:val="auto"/>
              </w:rPr>
              <w:t>b.  Process Simplification and</w:t>
            </w: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205"/>
        </w:trPr>
        <w:tc>
          <w:tcPr>
            <w:tcW w:w="2620" w:type="dxa"/>
            <w:vAlign w:val="bottom"/>
            <w:tcBorders>
              <w:left w:val="single" w:sz="8" w:color="auto"/>
            </w:tcBorders>
          </w:tcPr>
          <w:p>
            <w:pPr>
              <w:ind w:left="380"/>
              <w:spacing w:after="0"/>
              <w:rPr>
                <w:sz w:val="20"/>
                <w:szCs w:val="20"/>
                <w:color w:val="auto"/>
              </w:rPr>
            </w:pPr>
            <w:r>
              <w:rPr>
                <w:rFonts w:ascii="Arial" w:cs="Arial" w:eastAsia="Arial" w:hAnsi="Arial"/>
                <w:sz w:val="17"/>
                <w:szCs w:val="17"/>
                <w:color w:val="auto"/>
              </w:rPr>
              <w:t>Automation</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720" w:type="dxa"/>
            <w:vAlign w:val="bottom"/>
          </w:tcPr>
          <w:p>
            <w:pPr>
              <w:jc w:val="right"/>
              <w:spacing w:after="0"/>
              <w:rPr>
                <w:sz w:val="20"/>
                <w:szCs w:val="20"/>
                <w:color w:val="auto"/>
              </w:rPr>
            </w:pPr>
            <w:r>
              <w:rPr>
                <w:rFonts w:ascii="Arial" w:cs="Arial" w:eastAsia="Arial" w:hAnsi="Arial"/>
                <w:sz w:val="16"/>
                <w:szCs w:val="16"/>
                <w:color w:val="auto"/>
              </w:rPr>
              <w:t>225.0%</w:t>
            </w:r>
          </w:p>
        </w:tc>
        <w:tc>
          <w:tcPr>
            <w:tcW w:w="980" w:type="dxa"/>
            <w:vAlign w:val="bottom"/>
            <w:tcBorders>
              <w:right w:val="single" w:sz="8" w:color="auto"/>
            </w:tcBorders>
          </w:tcPr>
          <w:p>
            <w:pPr>
              <w:spacing w:after="0"/>
              <w:rPr>
                <w:sz w:val="17"/>
                <w:szCs w:val="17"/>
                <w:color w:val="auto"/>
              </w:rPr>
            </w:pPr>
          </w:p>
        </w:tc>
      </w:tr>
      <w:tr>
        <w:trPr>
          <w:trHeight w:val="58"/>
        </w:trPr>
        <w:tc>
          <w:tcPr>
            <w:tcW w:w="2620" w:type="dxa"/>
            <w:vAlign w:val="bottom"/>
            <w:tcBorders>
              <w:left w:val="single" w:sz="8" w:color="auto"/>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r>
      <w:tr>
        <w:trPr>
          <w:trHeight w:val="208"/>
        </w:trPr>
        <w:tc>
          <w:tcPr>
            <w:tcW w:w="2620" w:type="dxa"/>
            <w:vAlign w:val="bottom"/>
            <w:tcBorders>
              <w:left w:val="single" w:sz="8" w:color="auto"/>
            </w:tcBorders>
            <w:shd w:val="clear" w:color="auto" w:fill="0171B9"/>
          </w:tcPr>
          <w:p>
            <w:pPr>
              <w:ind w:left="340"/>
              <w:spacing w:after="0"/>
              <w:rPr>
                <w:sz w:val="20"/>
                <w:szCs w:val="20"/>
                <w:color w:val="auto"/>
              </w:rPr>
            </w:pPr>
            <w:r>
              <w:rPr>
                <w:rFonts w:ascii="Arial" w:cs="Arial" w:eastAsia="Arial" w:hAnsi="Arial"/>
                <w:sz w:val="16"/>
                <w:szCs w:val="16"/>
                <w:b w:val="1"/>
                <w:bCs w:val="1"/>
                <w:color w:val="FFFFFF"/>
              </w:rPr>
              <w:t>Final Score</w:t>
            </w:r>
          </w:p>
        </w:tc>
        <w:tc>
          <w:tcPr>
            <w:tcW w:w="980" w:type="dxa"/>
            <w:vAlign w:val="bottom"/>
            <w:shd w:val="clear" w:color="auto" w:fill="0171B9"/>
          </w:tcPr>
          <w:p>
            <w:pPr>
              <w:spacing w:after="0"/>
              <w:rPr>
                <w:sz w:val="18"/>
                <w:szCs w:val="18"/>
                <w:color w:val="auto"/>
              </w:rPr>
            </w:pPr>
          </w:p>
        </w:tc>
        <w:tc>
          <w:tcPr>
            <w:tcW w:w="720" w:type="dxa"/>
            <w:vAlign w:val="bottom"/>
            <w:shd w:val="clear" w:color="auto" w:fill="0171B9"/>
          </w:tcPr>
          <w:p>
            <w:pPr>
              <w:spacing w:after="0"/>
              <w:rPr>
                <w:sz w:val="18"/>
                <w:szCs w:val="18"/>
                <w:color w:val="auto"/>
              </w:rPr>
            </w:pPr>
          </w:p>
        </w:tc>
        <w:tc>
          <w:tcPr>
            <w:tcW w:w="980" w:type="dxa"/>
            <w:vAlign w:val="bottom"/>
            <w:tcBorders>
              <w:right w:val="single" w:sz="8" w:color="auto"/>
            </w:tcBorders>
            <w:shd w:val="clear" w:color="auto" w:fill="0171B9"/>
          </w:tcPr>
          <w:p>
            <w:pPr>
              <w:jc w:val="right"/>
              <w:ind w:right="19"/>
              <w:spacing w:after="0"/>
              <w:rPr>
                <w:sz w:val="20"/>
                <w:szCs w:val="20"/>
                <w:color w:val="auto"/>
              </w:rPr>
            </w:pPr>
            <w:r>
              <w:rPr>
                <w:rFonts w:ascii="Arial" w:cs="Arial" w:eastAsia="Arial" w:hAnsi="Arial"/>
                <w:sz w:val="16"/>
                <w:szCs w:val="16"/>
                <w:b w:val="1"/>
                <w:bCs w:val="1"/>
                <w:color w:val="FFFFFF"/>
              </w:rPr>
              <w:t>121.0%</w:t>
            </w:r>
          </w:p>
        </w:tc>
      </w:tr>
      <w:tr>
        <w:trPr>
          <w:trHeight w:val="69"/>
        </w:trPr>
        <w:tc>
          <w:tcPr>
            <w:tcW w:w="2620" w:type="dxa"/>
            <w:vAlign w:val="bottom"/>
            <w:tcBorders>
              <w:left w:val="single" w:sz="8" w:color="auto"/>
              <w:bottom w:val="single" w:sz="8" w:color="auto"/>
            </w:tcBorders>
            <w:shd w:val="clear" w:color="auto" w:fill="0171B9"/>
          </w:tcPr>
          <w:p>
            <w:pPr>
              <w:spacing w:after="0"/>
              <w:rPr>
                <w:sz w:val="5"/>
                <w:szCs w:val="5"/>
                <w:color w:val="auto"/>
              </w:rPr>
            </w:pPr>
          </w:p>
        </w:tc>
        <w:tc>
          <w:tcPr>
            <w:tcW w:w="980" w:type="dxa"/>
            <w:vAlign w:val="bottom"/>
            <w:tcBorders>
              <w:bottom w:val="single" w:sz="8" w:color="auto"/>
            </w:tcBorders>
            <w:shd w:val="clear" w:color="auto" w:fill="0171B9"/>
          </w:tcPr>
          <w:p>
            <w:pPr>
              <w:spacing w:after="0"/>
              <w:rPr>
                <w:sz w:val="5"/>
                <w:szCs w:val="5"/>
                <w:color w:val="auto"/>
              </w:rPr>
            </w:pPr>
          </w:p>
        </w:tc>
        <w:tc>
          <w:tcPr>
            <w:tcW w:w="720" w:type="dxa"/>
            <w:vAlign w:val="bottom"/>
            <w:tcBorders>
              <w:bottom w:val="single" w:sz="8" w:color="auto"/>
            </w:tcBorders>
            <w:shd w:val="clear" w:color="auto" w:fill="0171B9"/>
          </w:tcPr>
          <w:p>
            <w:pPr>
              <w:spacing w:after="0"/>
              <w:rPr>
                <w:sz w:val="5"/>
                <w:szCs w:val="5"/>
                <w:color w:val="auto"/>
              </w:rPr>
            </w:pPr>
          </w:p>
        </w:tc>
        <w:tc>
          <w:tcPr>
            <w:tcW w:w="980" w:type="dxa"/>
            <w:vAlign w:val="bottom"/>
            <w:tcBorders>
              <w:bottom w:val="single" w:sz="8" w:color="auto"/>
              <w:right w:val="single" w:sz="8" w:color="auto"/>
            </w:tcBorders>
            <w:shd w:val="clear" w:color="auto" w:fill="0171B9"/>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7715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226" w:hanging="226"/>
        <w:spacing w:after="0"/>
        <w:tabs>
          <w:tab w:leader="none" w:pos="226" w:val="left"/>
        </w:tabs>
        <w:numPr>
          <w:ilvl w:val="0"/>
          <w:numId w:val="66"/>
        </w:numPr>
        <w:rPr>
          <w:rFonts w:ascii="Arial" w:cs="Arial" w:eastAsia="Arial" w:hAnsi="Arial"/>
          <w:sz w:val="20"/>
          <w:szCs w:val="20"/>
          <w:b w:val="1"/>
          <w:bCs w:val="1"/>
          <w:i w:val="1"/>
          <w:iCs w:val="1"/>
          <w:color w:val="0171B9"/>
        </w:rPr>
      </w:pPr>
      <w:r>
        <w:rPr>
          <w:rFonts w:ascii="Arial" w:cs="Arial" w:eastAsia="Arial" w:hAnsi="Arial"/>
          <w:sz w:val="20"/>
          <w:szCs w:val="20"/>
          <w:b w:val="1"/>
          <w:bCs w:val="1"/>
          <w:i w:val="1"/>
          <w:iCs w:val="1"/>
          <w:color w:val="0171B9"/>
        </w:rPr>
        <w:t>We delivered strong performance.</w:t>
      </w:r>
    </w:p>
    <w:p>
      <w:pPr>
        <w:spacing w:after="0" w:line="149" w:lineRule="exact"/>
        <w:rPr>
          <w:rFonts w:ascii="Arial" w:cs="Arial" w:eastAsia="Arial" w:hAnsi="Arial"/>
          <w:sz w:val="20"/>
          <w:szCs w:val="20"/>
          <w:b w:val="1"/>
          <w:bCs w:val="1"/>
          <w:i w:val="1"/>
          <w:iCs w:val="1"/>
          <w:color w:val="0171B9"/>
        </w:rPr>
      </w:pPr>
    </w:p>
    <w:p>
      <w:pPr>
        <w:ind w:left="346" w:hanging="256"/>
        <w:spacing w:after="0"/>
        <w:tabs>
          <w:tab w:leader="none" w:pos="346" w:val="left"/>
        </w:tabs>
        <w:numPr>
          <w:ilvl w:val="1"/>
          <w:numId w:val="66"/>
        </w:numPr>
        <w:rPr>
          <w:rFonts w:ascii="Arial" w:cs="Arial" w:eastAsia="Arial" w:hAnsi="Arial"/>
          <w:sz w:val="17"/>
          <w:szCs w:val="17"/>
          <w:b w:val="1"/>
          <w:bCs w:val="1"/>
          <w:color w:val="FFFFFF"/>
        </w:rPr>
      </w:pPr>
      <w:r>
        <w:rPr>
          <w:rFonts w:ascii="Arial" w:cs="Arial" w:eastAsia="Arial" w:hAnsi="Arial"/>
          <w:sz w:val="17"/>
          <w:szCs w:val="17"/>
          <w:b w:val="1"/>
          <w:bCs w:val="1"/>
          <w:color w:val="FFFFFF"/>
        </w:rPr>
        <w:t>Revenues and (b) non-GAAP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3429000" cy="1797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00" cy="179705"/>
                    </a:xfrm>
                    <a:prstGeom prst="rect">
                      <a:avLst/>
                    </a:prstGeom>
                    <a:noFill/>
                  </pic:spPr>
                </pic:pic>
              </a:graphicData>
            </a:graphic>
          </wp:anchor>
        </w:drawing>
      </w:r>
    </w:p>
    <w:p>
      <w:pPr>
        <w:spacing w:after="0" w:line="156" w:lineRule="exact"/>
        <w:rPr>
          <w:sz w:val="20"/>
          <w:szCs w:val="20"/>
          <w:color w:val="auto"/>
        </w:rPr>
      </w:pPr>
    </w:p>
    <w:p>
      <w:pPr>
        <w:jc w:val="both"/>
        <w:ind w:left="6"/>
        <w:spacing w:after="0" w:line="233" w:lineRule="auto"/>
        <w:rPr>
          <w:sz w:val="20"/>
          <w:szCs w:val="20"/>
          <w:color w:val="auto"/>
        </w:rPr>
      </w:pPr>
      <w:r>
        <w:rPr>
          <w:rFonts w:ascii="Arial" w:cs="Arial" w:eastAsia="Arial" w:hAnsi="Arial"/>
          <w:sz w:val="17"/>
          <w:szCs w:val="17"/>
          <w:color w:val="auto"/>
        </w:rPr>
        <w:t>Our original 2022 guidance (provided in February 2022) for revenues (between $25.4 and $26.5 billion) and non-GAAP earnings per share, or EPS</w:t>
      </w:r>
      <w:r>
        <w:rPr>
          <w:rFonts w:ascii="Arial" w:cs="Arial" w:eastAsia="Arial" w:hAnsi="Arial"/>
          <w:sz w:val="12"/>
          <w:szCs w:val="12"/>
          <w:color w:val="auto"/>
        </w:rPr>
        <w:t>(2)</w:t>
      </w:r>
      <w:r>
        <w:rPr>
          <w:rFonts w:ascii="Arial" w:cs="Arial" w:eastAsia="Arial" w:hAnsi="Arial"/>
          <w:sz w:val="17"/>
          <w:szCs w:val="17"/>
          <w:color w:val="auto"/>
        </w:rPr>
        <w:t xml:space="preserve"> (between $17.00 and $18.00) bracketed our 2021 actuals of $26 billion and $17.10, respectively. 2021 performance was negatively impacted by the ongoing COVID-19 pandemic suppressing new patients starting treatment and our performance under our 2021 Revenue Goal was below target despite still growing revenues and non-GAAP net income in 2021. In March 2022, our Compensation Committee established 2022 Revenues and non-GAAP net income goals with targets derived from the midpoint of our 2022 revenue guidance and correlated to the midpoint of our 2022 non-GAAP EPS guidance, respectively. Although these targets were below those of 2021 by 1.4% and 2.1%, respectively, the Compensation Committee believed that, as they were derived from our 2022 guidance which represents our best understanding of our performance expectations for 2022 and aligned with investor expectations, they were appropriate.</w:t>
      </w:r>
    </w:p>
    <w:p>
      <w:pPr>
        <w:spacing w:after="0" w:line="96" w:lineRule="exact"/>
        <w:rPr>
          <w:sz w:val="20"/>
          <w:szCs w:val="20"/>
          <w:color w:val="auto"/>
        </w:rPr>
      </w:pPr>
    </w:p>
    <w:p>
      <w:pPr>
        <w:jc w:val="both"/>
        <w:ind w:left="6" w:right="20"/>
        <w:spacing w:after="0" w:line="236" w:lineRule="auto"/>
        <w:rPr>
          <w:sz w:val="20"/>
          <w:szCs w:val="20"/>
          <w:color w:val="auto"/>
        </w:rPr>
      </w:pPr>
      <w:r>
        <w:rPr>
          <w:rFonts w:ascii="Arial" w:cs="Arial" w:eastAsia="Arial" w:hAnsi="Arial"/>
          <w:sz w:val="17"/>
          <w:szCs w:val="17"/>
          <w:color w:val="auto"/>
        </w:rPr>
        <w:t>Due to the focus of and execution by our executive leaders and the efforts of our entire Company, our financial performance exceeded expectations, resulting in performance above target for both of our Revenues (120.7%) and non-GAAP net income (110.5%) goals.</w:t>
      </w:r>
    </w:p>
    <w:p>
      <w:pPr>
        <w:spacing w:after="0" w:line="182" w:lineRule="exact"/>
        <w:rPr>
          <w:sz w:val="20"/>
          <w:szCs w:val="20"/>
          <w:color w:val="auto"/>
        </w:rPr>
      </w:pPr>
    </w:p>
    <w:p>
      <w:pPr>
        <w:ind w:left="226" w:hanging="226"/>
        <w:spacing w:after="0"/>
        <w:tabs>
          <w:tab w:leader="none" w:pos="226" w:val="left"/>
        </w:tabs>
        <w:numPr>
          <w:ilvl w:val="0"/>
          <w:numId w:val="67"/>
        </w:numPr>
        <w:rPr>
          <w:rFonts w:ascii="Arial" w:cs="Arial" w:eastAsia="Arial" w:hAnsi="Arial"/>
          <w:sz w:val="20"/>
          <w:szCs w:val="20"/>
          <w:b w:val="1"/>
          <w:bCs w:val="1"/>
          <w:i w:val="1"/>
          <w:iCs w:val="1"/>
          <w:color w:val="0171B9"/>
        </w:rPr>
      </w:pPr>
      <w:r>
        <w:rPr>
          <w:rFonts w:ascii="Arial" w:cs="Arial" w:eastAsia="Arial" w:hAnsi="Arial"/>
          <w:sz w:val="20"/>
          <w:szCs w:val="20"/>
          <w:b w:val="1"/>
          <w:bCs w:val="1"/>
          <w:i w:val="1"/>
          <w:iCs w:val="1"/>
          <w:color w:val="0171B9"/>
        </w:rPr>
        <w:t>We progressed our pipeline.</w:t>
      </w:r>
      <w:r>
        <w:rPr>
          <w:rFonts w:ascii="Arial" w:cs="Arial" w:eastAsia="Arial" w:hAnsi="Arial"/>
          <w:sz w:val="29"/>
          <w:szCs w:val="29"/>
          <w:b w:val="1"/>
          <w:bCs w:val="1"/>
          <w:i w:val="1"/>
          <w:iCs w:val="1"/>
          <w:color w:val="0171B9"/>
          <w:vertAlign w:val="superscript"/>
        </w:rPr>
        <w:t>(3)</w:t>
      </w:r>
    </w:p>
    <w:p>
      <w:pPr>
        <w:spacing w:after="0" w:line="65" w:lineRule="exact"/>
        <w:rPr>
          <w:rFonts w:ascii="Arial" w:cs="Arial" w:eastAsia="Arial" w:hAnsi="Arial"/>
          <w:sz w:val="20"/>
          <w:szCs w:val="20"/>
          <w:b w:val="1"/>
          <w:bCs w:val="1"/>
          <w:i w:val="1"/>
          <w:iCs w:val="1"/>
          <w:color w:val="0171B9"/>
        </w:rPr>
      </w:pPr>
    </w:p>
    <w:p>
      <w:pPr>
        <w:ind w:left="286" w:hanging="196"/>
        <w:spacing w:after="0"/>
        <w:tabs>
          <w:tab w:leader="none" w:pos="286" w:val="left"/>
        </w:tabs>
        <w:numPr>
          <w:ilvl w:val="1"/>
          <w:numId w:val="67"/>
        </w:numPr>
        <w:rPr>
          <w:rFonts w:ascii="Arial" w:cs="Arial" w:eastAsia="Arial" w:hAnsi="Arial"/>
          <w:sz w:val="17"/>
          <w:szCs w:val="17"/>
          <w:b w:val="1"/>
          <w:bCs w:val="1"/>
          <w:color w:val="FFFFFF"/>
        </w:rPr>
      </w:pPr>
      <w:r>
        <w:rPr>
          <w:rFonts w:ascii="Arial" w:cs="Arial" w:eastAsia="Arial" w:hAnsi="Arial"/>
          <w:sz w:val="17"/>
          <w:szCs w:val="17"/>
          <w:b w:val="1"/>
          <w:bCs w:val="1"/>
          <w:color w:val="FFFFFF"/>
        </w:rPr>
        <w:t>Early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3429000" cy="179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00" cy="179705"/>
                    </a:xfrm>
                    <a:prstGeom prst="rect">
                      <a:avLst/>
                    </a:prstGeom>
                    <a:noFill/>
                  </pic:spPr>
                </pic:pic>
              </a:graphicData>
            </a:graphic>
          </wp:anchor>
        </w:drawing>
      </w:r>
    </w:p>
    <w:p>
      <w:pPr>
        <w:spacing w:after="0" w:line="136" w:lineRule="exact"/>
        <w:rPr>
          <w:sz w:val="20"/>
          <w:szCs w:val="20"/>
          <w:color w:val="auto"/>
        </w:rPr>
      </w:pPr>
    </w:p>
    <w:p>
      <w:pPr>
        <w:ind w:left="6"/>
        <w:spacing w:after="0"/>
        <w:rPr>
          <w:sz w:val="20"/>
          <w:szCs w:val="20"/>
          <w:color w:val="auto"/>
        </w:rPr>
      </w:pPr>
      <w:r>
        <w:rPr>
          <w:rFonts w:ascii="Arial" w:cs="Arial" w:eastAsia="Arial" w:hAnsi="Arial"/>
          <w:sz w:val="17"/>
          <w:szCs w:val="17"/>
          <w:color w:val="auto"/>
        </w:rPr>
        <w:t>We advanced our early pipeline in 2022:</w:t>
      </w:r>
    </w:p>
    <w:p>
      <w:pPr>
        <w:spacing w:after="0" w:line="115" w:lineRule="exact"/>
        <w:rPr>
          <w:sz w:val="20"/>
          <w:szCs w:val="20"/>
          <w:color w:val="auto"/>
        </w:rPr>
      </w:pPr>
    </w:p>
    <w:p>
      <w:pPr>
        <w:jc w:val="both"/>
        <w:ind w:left="266" w:right="20" w:hanging="266"/>
        <w:spacing w:after="0" w:line="234" w:lineRule="auto"/>
        <w:tabs>
          <w:tab w:leader="none" w:pos="266" w:val="left"/>
        </w:tabs>
        <w:numPr>
          <w:ilvl w:val="0"/>
          <w:numId w:val="68"/>
        </w:numPr>
        <w:rPr>
          <w:rFonts w:ascii="Arial" w:cs="Arial" w:eastAsia="Arial" w:hAnsi="Arial"/>
          <w:sz w:val="17"/>
          <w:szCs w:val="17"/>
          <w:color w:val="0171B9"/>
        </w:rPr>
      </w:pPr>
      <w:r>
        <w:rPr>
          <w:rFonts w:ascii="Arial" w:cs="Arial" w:eastAsia="Arial" w:hAnsi="Arial"/>
          <w:sz w:val="17"/>
          <w:szCs w:val="17"/>
          <w:color w:val="auto"/>
        </w:rPr>
        <w:t>We generated six new product teams (formed when a molecule has been judged to have the potential to be safe and effective in humans), for product candidates being studied in inflammation (asthma, atopic dermatitis, and systematic lupus erythematosus), cardiovascular (for obesity and/or nonalcoholic steatohepatitis (NASH)), and oncology (for the treatment of solid tumors and SCLC).</w:t>
      </w:r>
    </w:p>
    <w:p>
      <w:pPr>
        <w:spacing w:after="0" w:line="110" w:lineRule="exact"/>
        <w:rPr>
          <w:rFonts w:ascii="Arial" w:cs="Arial" w:eastAsia="Arial" w:hAnsi="Arial"/>
          <w:sz w:val="17"/>
          <w:szCs w:val="17"/>
          <w:color w:val="0171B9"/>
        </w:rPr>
      </w:pPr>
    </w:p>
    <w:p>
      <w:pPr>
        <w:jc w:val="both"/>
        <w:ind w:left="266" w:right="20" w:hanging="266"/>
        <w:spacing w:after="0" w:line="236" w:lineRule="auto"/>
        <w:tabs>
          <w:tab w:leader="none" w:pos="266" w:val="left"/>
        </w:tabs>
        <w:numPr>
          <w:ilvl w:val="0"/>
          <w:numId w:val="68"/>
        </w:numPr>
        <w:rPr>
          <w:rFonts w:ascii="Arial" w:cs="Arial" w:eastAsia="Arial" w:hAnsi="Arial"/>
          <w:sz w:val="17"/>
          <w:szCs w:val="17"/>
          <w:color w:val="0171B9"/>
        </w:rPr>
      </w:pPr>
      <w:r>
        <w:rPr>
          <w:rFonts w:ascii="Arial" w:cs="Arial" w:eastAsia="Arial" w:hAnsi="Arial"/>
          <w:sz w:val="17"/>
          <w:szCs w:val="17"/>
          <w:color w:val="auto"/>
        </w:rPr>
        <w:t>We initiated five first-in-human studies, including for product candidates being studied for the treatment of obesity and in oncology (including for the treatment of solid tumors, prostate cancer, and hematologic malignancies).</w:t>
      </w:r>
    </w:p>
    <w:p>
      <w:pPr>
        <w:spacing w:after="0" w:line="108" w:lineRule="exact"/>
        <w:rPr>
          <w:rFonts w:ascii="Arial" w:cs="Arial" w:eastAsia="Arial" w:hAnsi="Arial"/>
          <w:sz w:val="17"/>
          <w:szCs w:val="17"/>
          <w:color w:val="0171B9"/>
        </w:rPr>
      </w:pPr>
    </w:p>
    <w:p>
      <w:pPr>
        <w:ind w:left="266" w:right="20" w:hanging="266"/>
        <w:spacing w:after="0" w:line="243" w:lineRule="auto"/>
        <w:tabs>
          <w:tab w:leader="none" w:pos="266" w:val="left"/>
        </w:tabs>
        <w:numPr>
          <w:ilvl w:val="0"/>
          <w:numId w:val="68"/>
        </w:numPr>
        <w:rPr>
          <w:rFonts w:ascii="Arial" w:cs="Arial" w:eastAsia="Arial" w:hAnsi="Arial"/>
          <w:sz w:val="17"/>
          <w:szCs w:val="17"/>
          <w:color w:val="0171B9"/>
        </w:rPr>
      </w:pPr>
      <w:r>
        <w:rPr>
          <w:rFonts w:ascii="Arial" w:cs="Arial" w:eastAsia="Arial" w:hAnsi="Arial"/>
          <w:sz w:val="17"/>
          <w:szCs w:val="17"/>
          <w:color w:val="auto"/>
        </w:rPr>
        <w:t>We advanced two clinical-stage programs – AMG 133 (for obesity) and TAVNEOS (following our acquisition of ChemoCentryx).</w:t>
      </w:r>
    </w:p>
    <w:p>
      <w:pPr>
        <w:spacing w:after="0" w:line="1079" w:lineRule="exact"/>
        <w:rPr>
          <w:sz w:val="20"/>
          <w:szCs w:val="20"/>
          <w:color w:val="auto"/>
        </w:rPr>
      </w:pPr>
    </w:p>
    <w:p>
      <w:pPr>
        <w:sectPr>
          <w:pgSz w:w="11900" w:h="16838" w:orient="portrait"/>
          <w:cols w:equalWidth="0" w:num="2">
            <w:col w:w="5400" w:space="334"/>
            <w:col w:w="5406"/>
          </w:cols>
          <w:pgMar w:left="320" w:top="486" w:right="439" w:bottom="1440" w:gutter="0" w:footer="0" w:header="0"/>
          <w:type w:val="continuous"/>
        </w:sectPr>
      </w:pPr>
    </w:p>
    <w:p>
      <w:pPr>
        <w:spacing w:after="0" w:line="51"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t>Percentages do not total to final score due to rounding.</w:t>
      </w:r>
    </w:p>
    <w:p>
      <w:pPr>
        <w:ind w:left="540" w:hanging="424"/>
        <w:spacing w:after="0" w:line="187" w:lineRule="auto"/>
        <w:tabs>
          <w:tab w:leader="none" w:pos="540"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t xml:space="preserve">Non-Generally Accepted Accounting Principles, or non-GAAP, net income for purposes of the 2022 Company performance goals of our annual cash incentive plan and non-GAAP EPS are reported and reconciled in </w:t>
      </w:r>
      <w:r>
        <w:rPr>
          <w:rFonts w:ascii="Arial" w:cs="Arial" w:eastAsia="Arial" w:hAnsi="Arial"/>
          <w:sz w:val="14"/>
          <w:szCs w:val="14"/>
          <w:b w:val="1"/>
          <w:bCs w:val="1"/>
          <w:color w:val="auto"/>
        </w:rPr>
        <w:t>Appendix B</w:t>
      </w:r>
      <w:r>
        <w:rPr>
          <w:rFonts w:ascii="Arial" w:cs="Arial" w:eastAsia="Arial" w:hAnsi="Arial"/>
          <w:sz w:val="14"/>
          <w:szCs w:val="14"/>
          <w:color w:val="auto"/>
        </w:rPr>
        <w:t>.</w:t>
      </w:r>
    </w:p>
    <w:p>
      <w:pPr>
        <w:spacing w:after="0" w:line="1" w:lineRule="exact"/>
        <w:rPr>
          <w:rFonts w:ascii="Arial" w:cs="Arial" w:eastAsia="Arial" w:hAnsi="Arial"/>
          <w:sz w:val="22"/>
          <w:szCs w:val="22"/>
          <w:color w:val="auto"/>
          <w:vertAlign w:val="superscript"/>
        </w:rPr>
      </w:pPr>
    </w:p>
    <w:p>
      <w:pPr>
        <w:ind w:left="540" w:hanging="424"/>
        <w:spacing w:after="0" w:line="189" w:lineRule="auto"/>
        <w:tabs>
          <w:tab w:leader="none" w:pos="540" w:val="left"/>
        </w:tabs>
        <w:numPr>
          <w:ilvl w:val="0"/>
          <w:numId w:val="69"/>
        </w:numPr>
        <w:rPr>
          <w:rFonts w:ascii="Arial" w:cs="Arial" w:eastAsia="Arial" w:hAnsi="Arial"/>
          <w:sz w:val="19"/>
          <w:szCs w:val="19"/>
          <w:color w:val="auto"/>
          <w:vertAlign w:val="superscript"/>
        </w:rPr>
      </w:pPr>
      <w:r>
        <w:rPr>
          <w:rFonts w:ascii="Arial" w:cs="Arial" w:eastAsia="Arial" w:hAnsi="Arial"/>
          <w:sz w:val="13"/>
          <w:szCs w:val="13"/>
          <w:color w:val="auto"/>
        </w:rPr>
        <w:t>For information regarding our significant pipeline advancements, please refer to our Form 10-K for the year ended December 31, 2022.</w:t>
      </w:r>
    </w:p>
    <w:p>
      <w:pPr>
        <w:spacing w:after="0" w:line="117"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48</w:t>
      </w:r>
      <w:r>
        <w:rPr>
          <w:sz w:val="20"/>
          <w:szCs w:val="20"/>
          <w:color w:val="auto"/>
        </w:rPr>
        <w:tab/>
      </w:r>
      <w:r>
        <w:rPr>
          <w:sz w:val="1"/>
          <w:szCs w:val="1"/>
          <w:color w:val="auto"/>
        </w:rPr>
        <w:drawing>
          <wp:inline distT="0" distB="0" distL="0" distR="0">
            <wp:extent cx="582930" cy="13716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Compensation Discussion and Analysis</w:t>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FFFFFF"/>
        </w:rPr>
        <w:t>b. Key clinical studies and regulatory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-153670</wp:posOffset>
            </wp:positionV>
            <wp:extent cx="3360420" cy="1968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0420" cy="196850"/>
                    </a:xfrm>
                    <a:prstGeom prst="rect">
                      <a:avLst/>
                    </a:prstGeom>
                    <a:noFill/>
                  </pic:spPr>
                </pic:pic>
              </a:graphicData>
            </a:graphic>
          </wp:anchor>
        </w:drawing>
      </w:r>
    </w:p>
    <w:p>
      <w:pPr>
        <w:spacing w:after="0" w:line="149"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made progress on our key clinical studies and regulatory filings in 2022.</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171B9"/>
        </w:rPr>
        <w:t>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3351530"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51530" cy="171450"/>
                    </a:xfrm>
                    <a:prstGeom prst="rect">
                      <a:avLst/>
                    </a:prstGeom>
                    <a:noFill/>
                  </pic:spPr>
                </pic:pic>
              </a:graphicData>
            </a:graphic>
          </wp:anchor>
        </w:drawing>
      </w:r>
    </w:p>
    <w:p>
      <w:pPr>
        <w:spacing w:after="0" w:line="116" w:lineRule="exact"/>
        <w:rPr>
          <w:sz w:val="20"/>
          <w:szCs w:val="20"/>
          <w:color w:val="auto"/>
        </w:rPr>
      </w:pPr>
    </w:p>
    <w:p>
      <w:pPr>
        <w:jc w:val="both"/>
        <w:ind w:left="380" w:hanging="264"/>
        <w:spacing w:after="0" w:line="237" w:lineRule="auto"/>
        <w:tabs>
          <w:tab w:leader="none" w:pos="380" w:val="left"/>
        </w:tabs>
        <w:numPr>
          <w:ilvl w:val="0"/>
          <w:numId w:val="70"/>
        </w:numPr>
        <w:rPr>
          <w:rFonts w:ascii="Arial" w:cs="Arial" w:eastAsia="Arial" w:hAnsi="Arial"/>
          <w:sz w:val="17"/>
          <w:szCs w:val="17"/>
          <w:color w:val="0171B9"/>
        </w:rPr>
      </w:pPr>
      <w:r>
        <w:rPr>
          <w:rFonts w:ascii="Arial" w:cs="Arial" w:eastAsia="Arial" w:hAnsi="Arial"/>
          <w:sz w:val="17"/>
          <w:szCs w:val="17"/>
          <w:b w:val="1"/>
          <w:bCs w:val="1"/>
          <w:color w:val="0171B9"/>
        </w:rPr>
        <w:t xml:space="preserve">Tezspire </w:t>
      </w:r>
      <w:r>
        <w:rPr>
          <w:rFonts w:ascii="Arial" w:cs="Arial" w:eastAsia="Arial" w:hAnsi="Arial"/>
          <w:sz w:val="17"/>
          <w:szCs w:val="17"/>
          <w:color w:val="000000"/>
        </w:rPr>
        <w:t>(our first-in-class monoclonal antibody that inhibits the</w:t>
      </w:r>
      <w:r>
        <w:rPr>
          <w:rFonts w:ascii="Arial" w:cs="Arial" w:eastAsia="Arial" w:hAnsi="Arial"/>
          <w:sz w:val="17"/>
          <w:szCs w:val="17"/>
          <w:b w:val="1"/>
          <w:bCs w:val="1"/>
          <w:color w:val="0171B9"/>
        </w:rPr>
        <w:t xml:space="preserve"> </w:t>
      </w:r>
      <w:r>
        <w:rPr>
          <w:rFonts w:ascii="Arial" w:cs="Arial" w:eastAsia="Arial" w:hAnsi="Arial"/>
          <w:sz w:val="17"/>
          <w:szCs w:val="17"/>
          <w:color w:val="000000"/>
        </w:rPr>
        <w:t>action of thymic stromal lymphopoietin (TSLP)) was approved in the European Union and Japan for the treatment of patients with severe asthma who are inadequately controlled with inhaled corticosteroids and other long-term maintenance therapies. Also, in 2022, Phase 3 studies investigating Tezspire as a treatment in patients with severe asthma and in patients with eosinophilic esophagitis were initiated.</w:t>
      </w:r>
    </w:p>
    <w:p>
      <w:pPr>
        <w:spacing w:after="0" w:line="89" w:lineRule="exact"/>
        <w:rPr>
          <w:rFonts w:ascii="Arial" w:cs="Arial" w:eastAsia="Arial" w:hAnsi="Arial"/>
          <w:sz w:val="17"/>
          <w:szCs w:val="17"/>
          <w:color w:val="0171B9"/>
        </w:rPr>
      </w:pPr>
    </w:p>
    <w:p>
      <w:pPr>
        <w:jc w:val="both"/>
        <w:ind w:left="380" w:hanging="264"/>
        <w:spacing w:after="0" w:line="241" w:lineRule="auto"/>
        <w:tabs>
          <w:tab w:leader="none" w:pos="380" w:val="left"/>
        </w:tabs>
        <w:numPr>
          <w:ilvl w:val="0"/>
          <w:numId w:val="70"/>
        </w:numPr>
        <w:rPr>
          <w:rFonts w:ascii="Arial" w:cs="Arial" w:eastAsia="Arial" w:hAnsi="Arial"/>
          <w:sz w:val="17"/>
          <w:szCs w:val="17"/>
          <w:color w:val="0171B9"/>
        </w:rPr>
      </w:pPr>
      <w:r>
        <w:rPr>
          <w:rFonts w:ascii="Arial" w:cs="Arial" w:eastAsia="Arial" w:hAnsi="Arial"/>
          <w:sz w:val="17"/>
          <w:szCs w:val="17"/>
          <w:color w:val="auto"/>
        </w:rPr>
        <w:t xml:space="preserve">We initiated the Phase 3 ROCKET program for </w:t>
      </w:r>
      <w:r>
        <w:rPr>
          <w:rFonts w:ascii="Arial" w:cs="Arial" w:eastAsia="Arial" w:hAnsi="Arial"/>
          <w:sz w:val="17"/>
          <w:szCs w:val="17"/>
          <w:b w:val="1"/>
          <w:bCs w:val="1"/>
          <w:color w:val="0171B9"/>
        </w:rPr>
        <w:t>rocatinlimab</w:t>
      </w:r>
      <w:r>
        <w:rPr>
          <w:rFonts w:ascii="Arial" w:cs="Arial" w:eastAsia="Arial" w:hAnsi="Arial"/>
          <w:sz w:val="17"/>
          <w:szCs w:val="17"/>
          <w:color w:val="auto"/>
        </w:rPr>
        <w:t xml:space="preserve"> (a potential first-in-class monoclonal antibody that inhibits OX-40) based on the positive Phase 2 study results that demonstrated improvement in patients with moderate to severe atopic dermatitis.</w:t>
      </w:r>
    </w:p>
    <w:p>
      <w:pPr>
        <w:spacing w:after="0" w:line="301" w:lineRule="exact"/>
        <w:rPr>
          <w:rFonts w:ascii="Arial" w:cs="Arial" w:eastAsia="Arial" w:hAnsi="Arial"/>
          <w:sz w:val="17"/>
          <w:szCs w:val="17"/>
          <w:color w:val="0171B9"/>
        </w:rPr>
      </w:pPr>
    </w:p>
    <w:p>
      <w:pPr>
        <w:jc w:val="both"/>
        <w:ind w:left="380" w:hanging="264"/>
        <w:spacing w:after="0" w:line="233" w:lineRule="auto"/>
        <w:tabs>
          <w:tab w:leader="none" w:pos="380" w:val="left"/>
        </w:tabs>
        <w:numPr>
          <w:ilvl w:val="0"/>
          <w:numId w:val="70"/>
        </w:numPr>
        <w:rPr>
          <w:rFonts w:ascii="Arial" w:cs="Arial" w:eastAsia="Arial" w:hAnsi="Arial"/>
          <w:sz w:val="17"/>
          <w:szCs w:val="17"/>
          <w:color w:val="0171B9"/>
        </w:rPr>
      </w:pPr>
      <w:r>
        <w:rPr>
          <w:rFonts w:ascii="Arial" w:cs="Arial" w:eastAsia="Arial" w:hAnsi="Arial"/>
          <w:sz w:val="17"/>
          <w:szCs w:val="17"/>
          <w:color w:val="auto"/>
        </w:rPr>
        <w:t xml:space="preserve">We strengthened our portfolio with our October 2022 acquisition of </w:t>
      </w:r>
      <w:r>
        <w:rPr>
          <w:rFonts w:ascii="Arial" w:cs="Arial" w:eastAsia="Arial" w:hAnsi="Arial"/>
          <w:sz w:val="17"/>
          <w:szCs w:val="17"/>
          <w:b w:val="1"/>
          <w:bCs w:val="1"/>
          <w:color w:val="0171B9"/>
        </w:rPr>
        <w:t>ChemoCentryx, Inc.</w:t>
      </w:r>
      <w:r>
        <w:rPr>
          <w:rFonts w:ascii="Arial" w:cs="Arial" w:eastAsia="Arial" w:hAnsi="Arial"/>
          <w:sz w:val="17"/>
          <w:szCs w:val="17"/>
          <w:color w:val="000000"/>
        </w:rPr>
        <w:t>, a biopharmaceutical company focused on</w:t>
      </w:r>
      <w:r>
        <w:rPr>
          <w:rFonts w:ascii="Arial" w:cs="Arial" w:eastAsia="Arial" w:hAnsi="Arial"/>
          <w:sz w:val="17"/>
          <w:szCs w:val="17"/>
          <w:b w:val="1"/>
          <w:bCs w:val="1"/>
          <w:color w:val="0171B9"/>
        </w:rPr>
        <w:t xml:space="preserve"> </w:t>
      </w:r>
      <w:r>
        <w:rPr>
          <w:rFonts w:ascii="Arial" w:cs="Arial" w:eastAsia="Arial" w:hAnsi="Arial"/>
          <w:sz w:val="17"/>
          <w:szCs w:val="17"/>
          <w:color w:val="000000"/>
        </w:rPr>
        <w:t xml:space="preserve">orally-administered therapeutics to treat autoimmune disease, inflammatory disorders, and cancer. With this acquisition, we obtained </w:t>
      </w:r>
      <w:r>
        <w:rPr>
          <w:rFonts w:ascii="Arial" w:cs="Arial" w:eastAsia="Arial" w:hAnsi="Arial"/>
          <w:sz w:val="17"/>
          <w:szCs w:val="17"/>
          <w:b w:val="1"/>
          <w:bCs w:val="1"/>
          <w:color w:val="0171B9"/>
        </w:rPr>
        <w:t>TAVNEOS</w:t>
      </w:r>
      <w:r>
        <w:rPr>
          <w:rFonts w:ascii="Arial" w:cs="Arial" w:eastAsia="Arial" w:hAnsi="Arial"/>
          <w:sz w:val="17"/>
          <w:szCs w:val="17"/>
          <w:color w:val="000000"/>
        </w:rPr>
        <w:t>, the first approved orally-administered treatment for adult patients with severe active ANCA vasculitis. We are also investigating Tavneos in other inflammatory diseases, including trials in hidradenitis suppurativa (a severe and deforming chronic dermatological condition) and complement 3 glomerulopathy (a rare genetic kidney disease).</w:t>
      </w:r>
    </w:p>
    <w:p>
      <w:pPr>
        <w:spacing w:after="0" w:line="93" w:lineRule="exact"/>
        <w:rPr>
          <w:rFonts w:ascii="Arial" w:cs="Arial" w:eastAsia="Arial" w:hAnsi="Arial"/>
          <w:sz w:val="17"/>
          <w:szCs w:val="17"/>
          <w:color w:val="0171B9"/>
        </w:rPr>
      </w:pPr>
    </w:p>
    <w:p>
      <w:pPr>
        <w:ind w:left="380" w:right="20" w:hanging="264"/>
        <w:spacing w:after="0" w:line="267" w:lineRule="auto"/>
        <w:tabs>
          <w:tab w:leader="none" w:pos="380" w:val="left"/>
        </w:tabs>
        <w:numPr>
          <w:ilvl w:val="0"/>
          <w:numId w:val="70"/>
        </w:numPr>
        <w:rPr>
          <w:rFonts w:ascii="Arial" w:cs="Arial" w:eastAsia="Arial" w:hAnsi="Arial"/>
          <w:sz w:val="17"/>
          <w:szCs w:val="17"/>
          <w:color w:val="0171B9"/>
        </w:rPr>
      </w:pPr>
      <w:r>
        <w:rPr>
          <w:rFonts w:ascii="Arial" w:cs="Arial" w:eastAsia="Arial" w:hAnsi="Arial"/>
          <w:sz w:val="17"/>
          <w:szCs w:val="17"/>
          <w:color w:val="auto"/>
        </w:rPr>
        <w:t xml:space="preserve">We launched </w:t>
      </w:r>
      <w:r>
        <w:rPr>
          <w:rFonts w:ascii="Arial" w:cs="Arial" w:eastAsia="Arial" w:hAnsi="Arial"/>
          <w:sz w:val="17"/>
          <w:szCs w:val="17"/>
          <w:b w:val="1"/>
          <w:bCs w:val="1"/>
          <w:color w:val="0171B9"/>
        </w:rPr>
        <w:t>Amjevita</w:t>
      </w:r>
      <w:r>
        <w:rPr>
          <w:rFonts w:ascii="Arial" w:cs="Arial" w:eastAsia="Arial" w:hAnsi="Arial"/>
          <w:sz w:val="17"/>
          <w:szCs w:val="17"/>
          <w:color w:val="auto"/>
        </w:rPr>
        <w:t xml:space="preserve"> (biosimilar to Humira (adalimumab)) in the U.S. in January 2023.</w:t>
      </w:r>
    </w:p>
    <w:p>
      <w:pPr>
        <w:spacing w:after="0" w:line="64" w:lineRule="exact"/>
        <w:rPr>
          <w:rFonts w:ascii="Arial" w:cs="Arial" w:eastAsia="Arial" w:hAnsi="Arial"/>
          <w:sz w:val="17"/>
          <w:szCs w:val="17"/>
          <w:color w:val="0171B9"/>
        </w:rPr>
      </w:pPr>
    </w:p>
    <w:p>
      <w:pPr>
        <w:jc w:val="both"/>
        <w:ind w:left="380" w:hanging="264"/>
        <w:spacing w:after="0" w:line="244" w:lineRule="auto"/>
        <w:tabs>
          <w:tab w:leader="none" w:pos="380" w:val="left"/>
        </w:tabs>
        <w:numPr>
          <w:ilvl w:val="0"/>
          <w:numId w:val="70"/>
        </w:numPr>
        <w:rPr>
          <w:rFonts w:ascii="Arial" w:cs="Arial" w:eastAsia="Arial" w:hAnsi="Arial"/>
          <w:sz w:val="17"/>
          <w:szCs w:val="17"/>
          <w:color w:val="0171B9"/>
        </w:rPr>
      </w:pPr>
      <w:r>
        <w:rPr>
          <w:rFonts w:ascii="Arial" w:cs="Arial" w:eastAsia="Arial" w:hAnsi="Arial"/>
          <w:sz w:val="17"/>
          <w:szCs w:val="17"/>
          <w:color w:val="auto"/>
        </w:rPr>
        <w:t xml:space="preserve">Our positive Phase 3 study for </w:t>
      </w:r>
      <w:r>
        <w:rPr>
          <w:rFonts w:ascii="Arial" w:cs="Arial" w:eastAsia="Arial" w:hAnsi="Arial"/>
          <w:sz w:val="17"/>
          <w:szCs w:val="17"/>
          <w:b w:val="1"/>
          <w:bCs w:val="1"/>
          <w:color w:val="0171B9"/>
        </w:rPr>
        <w:t>ABP 654</w:t>
      </w:r>
      <w:r>
        <w:rPr>
          <w:rFonts w:ascii="Arial" w:cs="Arial" w:eastAsia="Arial" w:hAnsi="Arial"/>
          <w:sz w:val="17"/>
          <w:szCs w:val="17"/>
          <w:color w:val="auto"/>
        </w:rPr>
        <w:t xml:space="preserve"> (biosimilar candidate to STELARA (ustekinumab) and a monoclonal antibody that inhibits IL-12 and IL-23) in patients with moderate to severe plaque psoriasis met its primary endpoint of biosimilarity.</w:t>
      </w:r>
    </w:p>
    <w:p>
      <w:pPr>
        <w:spacing w:after="0" w:line="82" w:lineRule="exact"/>
        <w:rPr>
          <w:rFonts w:ascii="Arial" w:cs="Arial" w:eastAsia="Arial" w:hAnsi="Arial"/>
          <w:sz w:val="17"/>
          <w:szCs w:val="17"/>
          <w:color w:val="0171B9"/>
        </w:rPr>
      </w:pPr>
    </w:p>
    <w:p>
      <w:pPr>
        <w:jc w:val="both"/>
        <w:ind w:left="380" w:right="20" w:hanging="264"/>
        <w:spacing w:after="0" w:line="241" w:lineRule="auto"/>
        <w:tabs>
          <w:tab w:leader="none" w:pos="380" w:val="left"/>
        </w:tabs>
        <w:numPr>
          <w:ilvl w:val="0"/>
          <w:numId w:val="70"/>
        </w:numPr>
        <w:rPr>
          <w:rFonts w:ascii="Arial" w:cs="Arial" w:eastAsia="Arial" w:hAnsi="Arial"/>
          <w:sz w:val="17"/>
          <w:szCs w:val="17"/>
          <w:color w:val="0171B9"/>
        </w:rPr>
      </w:pPr>
      <w:r>
        <w:rPr>
          <w:rFonts w:ascii="Arial" w:cs="Arial" w:eastAsia="Arial" w:hAnsi="Arial"/>
          <w:sz w:val="17"/>
          <w:szCs w:val="17"/>
          <w:color w:val="auto"/>
        </w:rPr>
        <w:t xml:space="preserve">Our positive Phase 3 study for </w:t>
      </w:r>
      <w:r>
        <w:rPr>
          <w:rFonts w:ascii="Arial" w:cs="Arial" w:eastAsia="Arial" w:hAnsi="Arial"/>
          <w:sz w:val="17"/>
          <w:szCs w:val="17"/>
          <w:b w:val="1"/>
          <w:bCs w:val="1"/>
          <w:color w:val="0171B9"/>
        </w:rPr>
        <w:t>ABP 938</w:t>
      </w:r>
      <w:r>
        <w:rPr>
          <w:rFonts w:ascii="Arial" w:cs="Arial" w:eastAsia="Arial" w:hAnsi="Arial"/>
          <w:sz w:val="17"/>
          <w:szCs w:val="17"/>
          <w:color w:val="auto"/>
        </w:rPr>
        <w:t xml:space="preserve"> (biosimilar candidate to EYLEA (aflibercept) and a vascular endothelial growth factor receptor (VEGFR) Fc fusion protein) in patients with neovascular age-related macular degeneration met its primary endpoint of biosimilarity.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68580</wp:posOffset>
            </wp:positionV>
            <wp:extent cx="3364230" cy="15214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4230" cy="1521460"/>
                    </a:xfrm>
                    <a:prstGeom prst="rect">
                      <a:avLst/>
                    </a:prstGeom>
                    <a:noFill/>
                  </pic:spPr>
                </pic:pic>
              </a:graphicData>
            </a:graphic>
          </wp:anchor>
        </w:drawing>
      </w:r>
    </w:p>
    <w:p>
      <w:pPr>
        <w:spacing w:after="0" w:line="139" w:lineRule="exact"/>
        <w:rPr>
          <w:sz w:val="20"/>
          <w:szCs w:val="20"/>
          <w:color w:val="auto"/>
        </w:rPr>
      </w:pPr>
    </w:p>
    <w:p>
      <w:pPr>
        <w:jc w:val="both"/>
        <w:ind w:left="220" w:right="100"/>
        <w:spacing w:after="0" w:line="233" w:lineRule="auto"/>
        <w:rPr>
          <w:sz w:val="20"/>
          <w:szCs w:val="20"/>
          <w:color w:val="auto"/>
        </w:rPr>
      </w:pPr>
      <w:r>
        <w:rPr>
          <w:rFonts w:ascii="Arial" w:cs="Arial" w:eastAsia="Arial" w:hAnsi="Arial"/>
          <w:sz w:val="17"/>
          <w:szCs w:val="17"/>
          <w:color w:val="auto"/>
        </w:rPr>
        <w:t xml:space="preserve">In addition to these key clinical studies and regulatory filings, in December 2022, we entered into an agreement to acquire </w:t>
      </w:r>
      <w:r>
        <w:rPr>
          <w:rFonts w:ascii="Arial" w:cs="Arial" w:eastAsia="Arial" w:hAnsi="Arial"/>
          <w:sz w:val="17"/>
          <w:szCs w:val="17"/>
          <w:b w:val="1"/>
          <w:bCs w:val="1"/>
          <w:color w:val="0171B9"/>
        </w:rPr>
        <w:t>Horizon</w:t>
      </w:r>
      <w:r>
        <w:rPr>
          <w:rFonts w:ascii="Arial" w:cs="Arial" w:eastAsia="Arial" w:hAnsi="Arial"/>
          <w:sz w:val="17"/>
          <w:szCs w:val="17"/>
          <w:color w:val="auto"/>
        </w:rPr>
        <w:t xml:space="preserve"> </w:t>
      </w:r>
      <w:r>
        <w:rPr>
          <w:rFonts w:ascii="Arial" w:cs="Arial" w:eastAsia="Arial" w:hAnsi="Arial"/>
          <w:sz w:val="17"/>
          <w:szCs w:val="17"/>
          <w:b w:val="1"/>
          <w:bCs w:val="1"/>
          <w:color w:val="0171B9"/>
        </w:rPr>
        <w:t>Therapeutics</w:t>
      </w:r>
      <w:r>
        <w:rPr>
          <w:rFonts w:ascii="Arial" w:cs="Arial" w:eastAsia="Arial" w:hAnsi="Arial"/>
          <w:sz w:val="17"/>
          <w:szCs w:val="17"/>
          <w:color w:val="000000"/>
        </w:rPr>
        <w:t>, a biotechnology company focused on first-in-class</w:t>
      </w:r>
      <w:r>
        <w:rPr>
          <w:rFonts w:ascii="Arial" w:cs="Arial" w:eastAsia="Arial" w:hAnsi="Arial"/>
          <w:sz w:val="17"/>
          <w:szCs w:val="17"/>
          <w:b w:val="1"/>
          <w:bCs w:val="1"/>
          <w:color w:val="0171B9"/>
        </w:rPr>
        <w:t xml:space="preserve"> </w:t>
      </w:r>
      <w:r>
        <w:rPr>
          <w:rFonts w:ascii="Arial" w:cs="Arial" w:eastAsia="Arial" w:hAnsi="Arial"/>
          <w:sz w:val="17"/>
          <w:szCs w:val="17"/>
          <w:color w:val="000000"/>
        </w:rPr>
        <w:t>or best-in-class innovative medicines that address rare autoimmune diseases, including TEPEZZA (for the treatment of patients with Thyroid Eye Disease), KRYSTEXXA (for the treatment of patients with uncontrolled gout), and UPLIZNA (for the treatment of patients with neuromyelitis optica spectrum disorder). We believe that this acquisition will strengthen our portfolio and leverage our decades of established leadership in inflammation and we have the global scale to capitalize on the growth potential of Horizon’s products.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86"/>
        <w:spacing w:after="0"/>
        <w:rPr>
          <w:sz w:val="20"/>
          <w:szCs w:val="20"/>
          <w:color w:val="auto"/>
        </w:rPr>
      </w:pPr>
      <w:r>
        <w:rPr>
          <w:rFonts w:ascii="Arial" w:cs="Arial" w:eastAsia="Arial" w:hAnsi="Arial"/>
          <w:sz w:val="20"/>
          <w:szCs w:val="20"/>
          <w:b w:val="1"/>
          <w:bCs w:val="1"/>
          <w:color w:val="0171B9"/>
        </w:rPr>
        <w:t>Cardiovascular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-144780</wp:posOffset>
            </wp:positionV>
            <wp:extent cx="3420110" cy="1714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0110" cy="171450"/>
                    </a:xfrm>
                    <a:prstGeom prst="rect">
                      <a:avLst/>
                    </a:prstGeom>
                    <a:noFill/>
                  </pic:spPr>
                </pic:pic>
              </a:graphicData>
            </a:graphic>
          </wp:anchor>
        </w:drawing>
      </w:r>
    </w:p>
    <w:p>
      <w:pPr>
        <w:spacing w:after="0" w:line="136" w:lineRule="exact"/>
        <w:rPr>
          <w:sz w:val="20"/>
          <w:szCs w:val="20"/>
          <w:color w:val="auto"/>
        </w:rPr>
      </w:pPr>
    </w:p>
    <w:p>
      <w:pPr>
        <w:jc w:val="both"/>
        <w:ind w:left="266" w:right="20" w:hanging="266"/>
        <w:spacing w:after="0" w:line="234" w:lineRule="auto"/>
        <w:tabs>
          <w:tab w:leader="none" w:pos="266" w:val="left"/>
        </w:tabs>
        <w:numPr>
          <w:ilvl w:val="0"/>
          <w:numId w:val="71"/>
        </w:numPr>
        <w:rPr>
          <w:rFonts w:ascii="Arial" w:cs="Arial" w:eastAsia="Arial" w:hAnsi="Arial"/>
          <w:sz w:val="17"/>
          <w:szCs w:val="17"/>
          <w:color w:val="0171B9"/>
        </w:rPr>
      </w:pPr>
      <w:r>
        <w:rPr>
          <w:rFonts w:ascii="Arial" w:cs="Arial" w:eastAsia="Arial" w:hAnsi="Arial"/>
          <w:sz w:val="17"/>
          <w:szCs w:val="17"/>
          <w:color w:val="auto"/>
        </w:rPr>
        <w:t xml:space="preserve">Open label extension (OLE) studies to our Phase 3 FOURIER cardiovascular outcomes trial of patients with ASCVD who were already receiving statin therapy showed that </w:t>
      </w:r>
      <w:r>
        <w:rPr>
          <w:rFonts w:ascii="Arial" w:cs="Arial" w:eastAsia="Arial" w:hAnsi="Arial"/>
          <w:sz w:val="17"/>
          <w:szCs w:val="17"/>
          <w:b w:val="1"/>
          <w:bCs w:val="1"/>
          <w:color w:val="0171B9"/>
        </w:rPr>
        <w:t>Repatha</w:t>
      </w:r>
      <w:r>
        <w:rPr>
          <w:rFonts w:ascii="Arial" w:cs="Arial" w:eastAsia="Arial" w:hAnsi="Arial"/>
          <w:sz w:val="17"/>
          <w:szCs w:val="17"/>
          <w:color w:val="auto"/>
        </w:rPr>
        <w:t xml:space="preserve"> was safe and well-tolerated for more than eight years and that, over the duration of follow-up, these patients had a reduction in adverse cardiovascular outcomes with earlier initiation of Repatha. Repatha is our human monoclonal antibody that inhibits PCSK9 that is approved to help patients lower low-density lipoprotein (bad) cholesterol and reduce their risks of heart attack and stroke.</w:t>
      </w:r>
    </w:p>
    <w:p>
      <w:pPr>
        <w:spacing w:after="0" w:line="87" w:lineRule="exact"/>
        <w:rPr>
          <w:rFonts w:ascii="Arial" w:cs="Arial" w:eastAsia="Arial" w:hAnsi="Arial"/>
          <w:sz w:val="17"/>
          <w:szCs w:val="17"/>
          <w:color w:val="0171B9"/>
        </w:rPr>
      </w:pPr>
    </w:p>
    <w:p>
      <w:pPr>
        <w:jc w:val="both"/>
        <w:ind w:left="266" w:right="20" w:hanging="266"/>
        <w:spacing w:after="0" w:line="238" w:lineRule="auto"/>
        <w:tabs>
          <w:tab w:leader="none" w:pos="266" w:val="left"/>
        </w:tabs>
        <w:numPr>
          <w:ilvl w:val="0"/>
          <w:numId w:val="71"/>
        </w:numPr>
        <w:rPr>
          <w:rFonts w:ascii="Arial" w:cs="Arial" w:eastAsia="Arial" w:hAnsi="Arial"/>
          <w:sz w:val="17"/>
          <w:szCs w:val="17"/>
          <w:color w:val="0171B9"/>
        </w:rPr>
      </w:pPr>
      <w:r>
        <w:rPr>
          <w:rFonts w:ascii="Arial" w:cs="Arial" w:eastAsia="Arial" w:hAnsi="Arial"/>
          <w:sz w:val="17"/>
          <w:szCs w:val="17"/>
          <w:color w:val="auto"/>
        </w:rPr>
        <w:t xml:space="preserve">Based on the positive results Phase 2 study results for </w:t>
      </w:r>
      <w:r>
        <w:rPr>
          <w:rFonts w:ascii="Arial" w:cs="Arial" w:eastAsia="Arial" w:hAnsi="Arial"/>
          <w:sz w:val="17"/>
          <w:szCs w:val="17"/>
          <w:b w:val="1"/>
          <w:bCs w:val="1"/>
          <w:color w:val="0171B9"/>
        </w:rPr>
        <w:t>Olpasiran</w:t>
      </w:r>
      <w:r>
        <w:rPr>
          <w:rFonts w:ascii="Arial" w:cs="Arial" w:eastAsia="Arial" w:hAnsi="Arial"/>
          <w:sz w:val="17"/>
          <w:szCs w:val="17"/>
          <w:color w:val="auto"/>
        </w:rPr>
        <w:t xml:space="preserve"> (a first-in-class small interfering RNA (siRNA) that lowers Lp(a)) evaluating olpasiran in patients with elevated Lp(a) that demonstrated rapid, significant, and sustained reduction in Lp(a), we initiated a Phase 3 cardiovascular outcomes trial to assess the impact of olpasiran treatment on major cardiovascular events in patients with ASCVD and elevated Lp(a).</w:t>
      </w:r>
    </w:p>
    <w:p>
      <w:pPr>
        <w:spacing w:after="0" w:line="87" w:lineRule="exact"/>
        <w:rPr>
          <w:rFonts w:ascii="Arial" w:cs="Arial" w:eastAsia="Arial" w:hAnsi="Arial"/>
          <w:sz w:val="17"/>
          <w:szCs w:val="17"/>
          <w:color w:val="0171B9"/>
        </w:rPr>
      </w:pPr>
    </w:p>
    <w:p>
      <w:pPr>
        <w:jc w:val="both"/>
        <w:ind w:left="266" w:right="20" w:hanging="266"/>
        <w:spacing w:after="0" w:line="237" w:lineRule="auto"/>
        <w:tabs>
          <w:tab w:leader="none" w:pos="266" w:val="left"/>
        </w:tabs>
        <w:numPr>
          <w:ilvl w:val="0"/>
          <w:numId w:val="71"/>
        </w:numPr>
        <w:rPr>
          <w:rFonts w:ascii="Arial" w:cs="Arial" w:eastAsia="Arial" w:hAnsi="Arial"/>
          <w:sz w:val="17"/>
          <w:szCs w:val="17"/>
          <w:color w:val="0171B9"/>
        </w:rPr>
      </w:pPr>
      <w:r>
        <w:rPr>
          <w:rFonts w:ascii="Arial" w:cs="Arial" w:eastAsia="Arial" w:hAnsi="Arial"/>
          <w:sz w:val="17"/>
          <w:szCs w:val="17"/>
          <w:color w:val="auto"/>
        </w:rPr>
        <w:t xml:space="preserve">Based on our positive Phase 1 study results evaluating </w:t>
      </w:r>
      <w:r>
        <w:rPr>
          <w:rFonts w:ascii="Arial" w:cs="Arial" w:eastAsia="Arial" w:hAnsi="Arial"/>
          <w:sz w:val="17"/>
          <w:szCs w:val="17"/>
          <w:b w:val="1"/>
          <w:bCs w:val="1"/>
          <w:color w:val="0171B9"/>
        </w:rPr>
        <w:t>AMG 133</w:t>
      </w:r>
      <w:r>
        <w:rPr>
          <w:rFonts w:ascii="Arial" w:cs="Arial" w:eastAsia="Arial" w:hAnsi="Arial"/>
          <w:sz w:val="17"/>
          <w:szCs w:val="17"/>
          <w:color w:val="auto"/>
        </w:rPr>
        <w:t xml:space="preserve"> (a first-in-class multispecific that inhibits the gastric inhibitory polypeptide receptor (GIPR) and activates the glucagon-like peptide 1 (GLP-1) receptor) that demonstrated significant dose-dependent weight-loss in obese patients, we initiated a Phase 2 study to further evaluate the efficacy, safety, and tolerability of AMG 133 in overweight or obese patients with or without type 2 diabetes mellitus.</w:t>
      </w:r>
    </w:p>
    <w:p>
      <w:pPr>
        <w:spacing w:after="0" w:line="236" w:lineRule="exact"/>
        <w:rPr>
          <w:sz w:val="20"/>
          <w:szCs w:val="20"/>
          <w:color w:val="auto"/>
        </w:rPr>
      </w:pPr>
    </w:p>
    <w:p>
      <w:pPr>
        <w:ind w:left="86"/>
        <w:spacing w:after="0"/>
        <w:rPr>
          <w:sz w:val="20"/>
          <w:szCs w:val="20"/>
          <w:color w:val="auto"/>
        </w:rPr>
      </w:pPr>
      <w:r>
        <w:rPr>
          <w:rFonts w:ascii="Arial" w:cs="Arial" w:eastAsia="Arial" w:hAnsi="Arial"/>
          <w:sz w:val="20"/>
          <w:szCs w:val="20"/>
          <w:b w:val="1"/>
          <w:bCs w:val="1"/>
          <w:color w:val="0171B9"/>
        </w:rPr>
        <w:t>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-144780</wp:posOffset>
            </wp:positionV>
            <wp:extent cx="3420110"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0110" cy="171450"/>
                    </a:xfrm>
                    <a:prstGeom prst="rect">
                      <a:avLst/>
                    </a:prstGeom>
                    <a:noFill/>
                  </pic:spPr>
                </pic:pic>
              </a:graphicData>
            </a:graphic>
          </wp:anchor>
        </w:drawing>
      </w:r>
    </w:p>
    <w:p>
      <w:pPr>
        <w:spacing w:after="0" w:line="136" w:lineRule="exact"/>
        <w:rPr>
          <w:sz w:val="20"/>
          <w:szCs w:val="20"/>
          <w:color w:val="auto"/>
        </w:rPr>
      </w:pPr>
    </w:p>
    <w:p>
      <w:pPr>
        <w:jc w:val="both"/>
        <w:ind w:left="266" w:right="20" w:hanging="266"/>
        <w:spacing w:after="0" w:line="234" w:lineRule="auto"/>
        <w:tabs>
          <w:tab w:leader="none" w:pos="266" w:val="left"/>
        </w:tabs>
        <w:numPr>
          <w:ilvl w:val="0"/>
          <w:numId w:val="72"/>
        </w:numPr>
        <w:rPr>
          <w:rFonts w:ascii="Arial" w:cs="Arial" w:eastAsia="Arial" w:hAnsi="Arial"/>
          <w:sz w:val="17"/>
          <w:szCs w:val="17"/>
          <w:color w:val="0171B9"/>
        </w:rPr>
      </w:pPr>
      <w:r>
        <w:rPr>
          <w:rFonts w:ascii="Arial" w:cs="Arial" w:eastAsia="Arial" w:hAnsi="Arial"/>
          <w:sz w:val="17"/>
          <w:szCs w:val="17"/>
          <w:color w:val="auto"/>
        </w:rPr>
        <w:t xml:space="preserve">Based on our positive Phase 2 study results evaluating </w:t>
      </w:r>
      <w:r>
        <w:rPr>
          <w:rFonts w:ascii="Arial" w:cs="Arial" w:eastAsia="Arial" w:hAnsi="Arial"/>
          <w:sz w:val="17"/>
          <w:szCs w:val="17"/>
          <w:b w:val="1"/>
          <w:bCs w:val="1"/>
          <w:color w:val="0171B9"/>
        </w:rPr>
        <w:t xml:space="preserve">bemarituzumab </w:t>
      </w:r>
      <w:r>
        <w:rPr>
          <w:rFonts w:ascii="Arial" w:cs="Arial" w:eastAsia="Arial" w:hAnsi="Arial"/>
          <w:sz w:val="17"/>
          <w:szCs w:val="17"/>
          <w:color w:val="000000"/>
        </w:rPr>
        <w:t>(a first-in-class monoclonal antibody that inhibits</w:t>
      </w:r>
      <w:r>
        <w:rPr>
          <w:rFonts w:ascii="Arial" w:cs="Arial" w:eastAsia="Arial" w:hAnsi="Arial"/>
          <w:sz w:val="17"/>
          <w:szCs w:val="17"/>
          <w:b w:val="1"/>
          <w:bCs w:val="1"/>
          <w:color w:val="0171B9"/>
        </w:rPr>
        <w:t xml:space="preserve"> </w:t>
      </w:r>
      <w:r>
        <w:rPr>
          <w:rFonts w:ascii="Arial" w:cs="Arial" w:eastAsia="Arial" w:hAnsi="Arial"/>
          <w:sz w:val="17"/>
          <w:szCs w:val="17"/>
          <w:color w:val="000000"/>
        </w:rPr>
        <w:t>fibroblast growth factor receptor 2b (FGFR2b)) for the treatment of patients with human epidermal growth factor receptor 2 negative FGFR2b-positive advanced gastric and gastroesophageal junction cancers, we initiated a Phase 3 study. We are investigating bemarituzumab as a treatment for other solid tumors that express FGFR2b, including squamous cell NSCLC.</w:t>
      </w:r>
    </w:p>
    <w:p>
      <w:pPr>
        <w:spacing w:after="0" w:line="88" w:lineRule="exact"/>
        <w:rPr>
          <w:rFonts w:ascii="Arial" w:cs="Arial" w:eastAsia="Arial" w:hAnsi="Arial"/>
          <w:sz w:val="17"/>
          <w:szCs w:val="17"/>
          <w:color w:val="0171B9"/>
        </w:rPr>
      </w:pPr>
    </w:p>
    <w:p>
      <w:pPr>
        <w:jc w:val="both"/>
        <w:ind w:left="266" w:right="20" w:hanging="266"/>
        <w:spacing w:after="0" w:line="236" w:lineRule="auto"/>
        <w:tabs>
          <w:tab w:leader="none" w:pos="266" w:val="left"/>
        </w:tabs>
        <w:numPr>
          <w:ilvl w:val="0"/>
          <w:numId w:val="72"/>
        </w:numPr>
        <w:rPr>
          <w:rFonts w:ascii="Arial" w:cs="Arial" w:eastAsia="Arial" w:hAnsi="Arial"/>
          <w:sz w:val="17"/>
          <w:szCs w:val="17"/>
          <w:color w:val="0171B9"/>
        </w:rPr>
      </w:pPr>
      <w:r>
        <w:rPr>
          <w:rFonts w:ascii="Arial" w:cs="Arial" w:eastAsia="Arial" w:hAnsi="Arial"/>
          <w:sz w:val="17"/>
          <w:szCs w:val="17"/>
          <w:color w:val="auto"/>
        </w:rPr>
        <w:t xml:space="preserve">Our positive Phase 1 study results for </w:t>
      </w:r>
      <w:r>
        <w:rPr>
          <w:rFonts w:ascii="Arial" w:cs="Arial" w:eastAsia="Arial" w:hAnsi="Arial"/>
          <w:sz w:val="17"/>
          <w:szCs w:val="17"/>
          <w:b w:val="1"/>
          <w:bCs w:val="1"/>
          <w:color w:val="0171B9"/>
        </w:rPr>
        <w:t>tarlatamab</w:t>
      </w:r>
      <w:r>
        <w:rPr>
          <w:rFonts w:ascii="Arial" w:cs="Arial" w:eastAsia="Arial" w:hAnsi="Arial"/>
          <w:sz w:val="17"/>
          <w:szCs w:val="17"/>
          <w:color w:val="auto"/>
        </w:rPr>
        <w:t xml:space="preserve"> (a half-life extended anti-delta-like ligand 3 (DLL3) x anti-CD3 bispecific T cell engager (BiTE</w:t>
      </w:r>
      <w:r>
        <w:rPr>
          <w:rFonts w:ascii="Arial" w:cs="Arial" w:eastAsia="Arial" w:hAnsi="Arial"/>
          <w:sz w:val="12"/>
          <w:szCs w:val="12"/>
          <w:color w:val="auto"/>
        </w:rPr>
        <w:t>®</w:t>
      </w:r>
      <w:r>
        <w:rPr>
          <w:rFonts w:ascii="Arial" w:cs="Arial" w:eastAsia="Arial" w:hAnsi="Arial"/>
          <w:sz w:val="17"/>
          <w:szCs w:val="17"/>
          <w:color w:val="auto"/>
        </w:rPr>
        <w:t>) molecule) demonstrated encouraging antitumor activity (with median duration of response of 13 months) in SCLC. Based on these results, we initiated a potentially registrational Phase 2 study of tarlatamab in third-line treatment of SCLC. We are also investigating tarlatamab in earlier lines of therapy, in patients with relapsed/refractory SCLC, and in neuroendocrine prostate cancer</w:t>
      </w:r>
    </w:p>
    <w:p>
      <w:pPr>
        <w:spacing w:after="0" w:line="92" w:lineRule="exact"/>
        <w:rPr>
          <w:rFonts w:ascii="Arial" w:cs="Arial" w:eastAsia="Arial" w:hAnsi="Arial"/>
          <w:sz w:val="17"/>
          <w:szCs w:val="17"/>
          <w:color w:val="0171B9"/>
        </w:rPr>
      </w:pPr>
    </w:p>
    <w:p>
      <w:pPr>
        <w:jc w:val="both"/>
        <w:ind w:left="266" w:right="20" w:hanging="266"/>
        <w:spacing w:after="0" w:line="238" w:lineRule="auto"/>
        <w:tabs>
          <w:tab w:leader="none" w:pos="266" w:val="left"/>
        </w:tabs>
        <w:numPr>
          <w:ilvl w:val="0"/>
          <w:numId w:val="72"/>
        </w:numPr>
        <w:rPr>
          <w:rFonts w:ascii="Arial" w:cs="Arial" w:eastAsia="Arial" w:hAnsi="Arial"/>
          <w:sz w:val="17"/>
          <w:szCs w:val="17"/>
          <w:color w:val="0171B9"/>
        </w:rPr>
      </w:pPr>
      <w:r>
        <w:rPr>
          <w:rFonts w:ascii="Arial" w:cs="Arial" w:eastAsia="Arial" w:hAnsi="Arial"/>
          <w:sz w:val="17"/>
          <w:szCs w:val="17"/>
          <w:color w:val="auto"/>
        </w:rPr>
        <w:t xml:space="preserve">A registration enabling study for </w:t>
      </w:r>
      <w:r>
        <w:rPr>
          <w:rFonts w:ascii="Arial" w:cs="Arial" w:eastAsia="Arial" w:hAnsi="Arial"/>
          <w:sz w:val="17"/>
          <w:szCs w:val="17"/>
          <w:b w:val="1"/>
          <w:bCs w:val="1"/>
          <w:color w:val="0171B9"/>
        </w:rPr>
        <w:t>Blincyto</w:t>
      </w:r>
      <w:r>
        <w:rPr>
          <w:rFonts w:ascii="Arial" w:cs="Arial" w:eastAsia="Arial" w:hAnsi="Arial"/>
          <w:sz w:val="17"/>
          <w:szCs w:val="17"/>
          <w:color w:val="auto"/>
        </w:rPr>
        <w:t xml:space="preserve"> (our anti-CD19 x anti-CD3 BiTE molecule) demonstrated superior overall survival with Blincyto treatment added to chemotherapy versus standard of care in newly diagnosed minimal residual disease (MRD)-negative patients with Philadelphia chromosome-negative B-ALL. We are continuing to investigate the subcutaneous route of administration in this setting and in earlier lines of treatment.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-162560</wp:posOffset>
            </wp:positionV>
            <wp:extent cx="582930"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2">
            <w:col w:w="5400" w:space="334"/>
            <w:col w:w="5406"/>
          </w:cols>
          <w:pgMar w:left="320" w:top="486" w:right="4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Compensation Discussion and Analysis</w:t>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both"/>
        <w:ind w:left="380" w:hanging="264"/>
        <w:spacing w:after="0"/>
        <w:tabs>
          <w:tab w:leader="none" w:pos="380" w:val="left"/>
        </w:tabs>
        <w:numPr>
          <w:ilvl w:val="0"/>
          <w:numId w:val="73"/>
        </w:numPr>
        <w:rPr>
          <w:rFonts w:ascii="Arial" w:cs="Arial" w:eastAsia="Arial" w:hAnsi="Arial"/>
          <w:sz w:val="17"/>
          <w:szCs w:val="17"/>
          <w:color w:val="0171B9"/>
        </w:rPr>
      </w:pPr>
      <w:r>
        <w:rPr>
          <w:rFonts w:ascii="Arial" w:cs="Arial" w:eastAsia="Arial" w:hAnsi="Arial"/>
          <w:sz w:val="17"/>
          <w:szCs w:val="17"/>
          <w:b w:val="1"/>
          <w:bCs w:val="1"/>
          <w:color w:val="0171B9"/>
        </w:rPr>
        <w:t xml:space="preserve">LUMAKRAS/LUMYKRAS </w:t>
      </w:r>
      <w:r>
        <w:rPr>
          <w:rFonts w:ascii="Arial" w:cs="Arial" w:eastAsia="Arial" w:hAnsi="Arial"/>
          <w:sz w:val="17"/>
          <w:szCs w:val="17"/>
          <w:color w:val="000000"/>
        </w:rPr>
        <w:t>(our treatment for patients with KRAS</w:t>
      </w:r>
      <w:r>
        <w:rPr>
          <w:rFonts w:ascii="Arial" w:cs="Arial" w:eastAsia="Arial" w:hAnsi="Arial"/>
          <w:sz w:val="17"/>
          <w:szCs w:val="17"/>
          <w:b w:val="1"/>
          <w:bCs w:val="1"/>
          <w:color w:val="0171B9"/>
        </w:rPr>
        <w:t xml:space="preserve"> </w:t>
      </w:r>
      <w:r>
        <w:rPr>
          <w:rFonts w:ascii="Arial" w:cs="Arial" w:eastAsia="Arial" w:hAnsi="Arial"/>
          <w:sz w:val="17"/>
          <w:szCs w:val="17"/>
          <w:color w:val="000000"/>
        </w:rPr>
        <w:t xml:space="preserve">G12C-mutated locally advanced or metastatic NSCLC) was approved by regulatory authorities in the European Union and Japan. The global Phase 3 CodeBreaK 200 trial demonstrated superior progression-free survival and a significantly higher objective response rate in patients with KRAS G12C-mutated NSCLC compared with standard of care. To further investigate Lumakras in combination with </w:t>
      </w:r>
      <w:r>
        <w:rPr>
          <w:rFonts w:ascii="Arial" w:cs="Arial" w:eastAsia="Arial" w:hAnsi="Arial"/>
          <w:sz w:val="17"/>
          <w:szCs w:val="17"/>
          <w:b w:val="1"/>
          <w:bCs w:val="1"/>
          <w:color w:val="0171B9"/>
        </w:rPr>
        <w:t>Vectibix</w:t>
      </w:r>
      <w:r>
        <w:rPr>
          <w:rFonts w:ascii="Arial" w:cs="Arial" w:eastAsia="Arial" w:hAnsi="Arial"/>
          <w:sz w:val="12"/>
          <w:szCs w:val="12"/>
          <w:b w:val="1"/>
          <w:bCs w:val="1"/>
          <w:color w:val="0171B9"/>
        </w:rPr>
        <w:t>®</w:t>
      </w:r>
      <w:r>
        <w:rPr>
          <w:rFonts w:ascii="Arial" w:cs="Arial" w:eastAsia="Arial" w:hAnsi="Arial"/>
          <w:sz w:val="17"/>
          <w:szCs w:val="17"/>
          <w:color w:val="000000"/>
        </w:rPr>
        <w:t xml:space="preserve"> versus standard of care in patients with third-line metastatic colorectal cancer (mCRC), we initiated a Phase 3 study. Additionally, we are continuing to explore novel combinations and advancing a comprehensive global clinical development program in NSCLC, colorectal cancer, and other solid tumors to further explore the potential of Lumakras.</w:t>
      </w:r>
    </w:p>
    <w:p>
      <w:pPr>
        <w:spacing w:after="0" w:line="226" w:lineRule="exact"/>
        <w:rPr>
          <w:rFonts w:ascii="Arial" w:cs="Arial" w:eastAsia="Arial" w:hAnsi="Arial"/>
          <w:sz w:val="17"/>
          <w:szCs w:val="17"/>
          <w:color w:val="0171B9"/>
        </w:rPr>
      </w:pPr>
    </w:p>
    <w:p>
      <w:pPr>
        <w:jc w:val="both"/>
        <w:ind w:left="380" w:right="20" w:hanging="264"/>
        <w:spacing w:after="0" w:line="249" w:lineRule="auto"/>
        <w:tabs>
          <w:tab w:leader="none" w:pos="380" w:val="left"/>
        </w:tabs>
        <w:numPr>
          <w:ilvl w:val="0"/>
          <w:numId w:val="73"/>
        </w:numPr>
        <w:rPr>
          <w:rFonts w:ascii="Arial" w:cs="Arial" w:eastAsia="Arial" w:hAnsi="Arial"/>
          <w:sz w:val="17"/>
          <w:szCs w:val="17"/>
          <w:color w:val="0171B9"/>
        </w:rPr>
      </w:pPr>
      <w:r>
        <w:rPr>
          <w:rFonts w:ascii="Arial" w:cs="Arial" w:eastAsia="Arial" w:hAnsi="Arial"/>
          <w:sz w:val="17"/>
          <w:szCs w:val="17"/>
          <w:b w:val="1"/>
          <w:bCs w:val="1"/>
          <w:color w:val="0171B9"/>
        </w:rPr>
        <w:t xml:space="preserve">ABP 959 </w:t>
      </w:r>
      <w:r>
        <w:rPr>
          <w:rFonts w:ascii="Arial" w:cs="Arial" w:eastAsia="Arial" w:hAnsi="Arial"/>
          <w:sz w:val="17"/>
          <w:szCs w:val="17"/>
          <w:color w:val="000000"/>
        </w:rPr>
        <w:t>(biosimilar candidate to Soliris (eculizumab))</w:t>
      </w:r>
      <w:r>
        <w:rPr>
          <w:rFonts w:ascii="Arial" w:cs="Arial" w:eastAsia="Arial" w:hAnsi="Arial"/>
          <w:sz w:val="17"/>
          <w:szCs w:val="17"/>
          <w:b w:val="1"/>
          <w:bCs w:val="1"/>
          <w:color w:val="0171B9"/>
        </w:rPr>
        <w:t xml:space="preserve"> </w:t>
      </w:r>
      <w:r>
        <w:rPr>
          <w:rFonts w:ascii="Arial" w:cs="Arial" w:eastAsia="Arial" w:hAnsi="Arial"/>
          <w:sz w:val="17"/>
          <w:szCs w:val="17"/>
          <w:color w:val="000000"/>
        </w:rPr>
        <w:t>demonstrated biosimilarity in adult patients with paroxysmal nocturnal hemoglobinuria.</w:t>
      </w:r>
    </w:p>
    <w:p>
      <w:pPr>
        <w:spacing w:after="0" w:line="173" w:lineRule="exact"/>
        <w:rPr>
          <w:sz w:val="20"/>
          <w:szCs w:val="20"/>
          <w:color w:val="auto"/>
        </w:rPr>
      </w:pPr>
    </w:p>
    <w:p>
      <w:pPr>
        <w:ind w:left="340" w:hanging="224"/>
        <w:spacing w:after="0"/>
        <w:tabs>
          <w:tab w:leader="none" w:pos="340" w:val="left"/>
        </w:tabs>
        <w:numPr>
          <w:ilvl w:val="0"/>
          <w:numId w:val="74"/>
        </w:numPr>
        <w:rPr>
          <w:rFonts w:ascii="Arial" w:cs="Arial" w:eastAsia="Arial" w:hAnsi="Arial"/>
          <w:sz w:val="20"/>
          <w:szCs w:val="20"/>
          <w:b w:val="1"/>
          <w:bCs w:val="1"/>
          <w:i w:val="1"/>
          <w:iCs w:val="1"/>
          <w:color w:val="0171B9"/>
        </w:rPr>
      </w:pPr>
      <w:r>
        <w:rPr>
          <w:rFonts w:ascii="Arial" w:cs="Arial" w:eastAsia="Arial" w:hAnsi="Arial"/>
          <w:sz w:val="20"/>
          <w:szCs w:val="20"/>
          <w:b w:val="1"/>
          <w:bCs w:val="1"/>
          <w:i w:val="1"/>
          <w:iCs w:val="1"/>
          <w:color w:val="0171B9"/>
        </w:rPr>
        <w:t>We delivered on our annual priorities.</w:t>
      </w:r>
    </w:p>
    <w:p>
      <w:pPr>
        <w:spacing w:after="0" w:line="243" w:lineRule="exact"/>
        <w:rPr>
          <w:rFonts w:ascii="Arial" w:cs="Arial" w:eastAsia="Arial" w:hAnsi="Arial"/>
          <w:sz w:val="20"/>
          <w:szCs w:val="20"/>
          <w:b w:val="1"/>
          <w:bCs w:val="1"/>
          <w:i w:val="1"/>
          <w:iCs w:val="1"/>
          <w:color w:val="0171B9"/>
        </w:rPr>
      </w:pPr>
    </w:p>
    <w:p>
      <w:pPr>
        <w:ind w:left="360" w:hanging="185"/>
        <w:spacing w:after="0"/>
        <w:tabs>
          <w:tab w:leader="none" w:pos="360" w:val="left"/>
        </w:tabs>
        <w:numPr>
          <w:ilvl w:val="1"/>
          <w:numId w:val="74"/>
        </w:numPr>
        <w:rPr>
          <w:rFonts w:ascii="Arial" w:cs="Arial" w:eastAsia="Arial" w:hAnsi="Arial"/>
          <w:sz w:val="17"/>
          <w:szCs w:val="17"/>
          <w:b w:val="1"/>
          <w:bCs w:val="1"/>
          <w:color w:val="FFFFFF"/>
        </w:rPr>
      </w:pPr>
      <w:r>
        <w:rPr>
          <w:rFonts w:ascii="Arial" w:cs="Arial" w:eastAsia="Arial" w:hAnsi="Arial"/>
          <w:sz w:val="17"/>
          <w:szCs w:val="17"/>
          <w:b w:val="1"/>
          <w:bCs w:val="1"/>
          <w:color w:val="FFFFFF"/>
        </w:rPr>
        <w:t>Environmental, social,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3351530" cy="1454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51530" cy="145415"/>
                    </a:xfrm>
                    <a:prstGeom prst="rect">
                      <a:avLst/>
                    </a:prstGeom>
                    <a:noFill/>
                  </pic:spPr>
                </pic:pic>
              </a:graphicData>
            </a:graphic>
          </wp:anchor>
        </w:drawing>
      </w:r>
    </w:p>
    <w:p>
      <w:pPr>
        <w:spacing w:after="0" w:line="142" w:lineRule="exact"/>
        <w:rPr>
          <w:sz w:val="20"/>
          <w:szCs w:val="20"/>
          <w:color w:val="auto"/>
        </w:rPr>
      </w:pPr>
    </w:p>
    <w:p>
      <w:pPr>
        <w:jc w:val="both"/>
        <w:ind w:left="380" w:hanging="264"/>
        <w:spacing w:after="0" w:line="236" w:lineRule="auto"/>
        <w:tabs>
          <w:tab w:leader="none" w:pos="380" w:val="left"/>
        </w:tabs>
        <w:numPr>
          <w:ilvl w:val="0"/>
          <w:numId w:val="75"/>
        </w:numPr>
        <w:rPr>
          <w:rFonts w:ascii="Arial" w:cs="Arial" w:eastAsia="Arial" w:hAnsi="Arial"/>
          <w:sz w:val="17"/>
          <w:szCs w:val="17"/>
          <w:color w:val="0171B9"/>
        </w:rPr>
      </w:pPr>
      <w:r>
        <w:rPr>
          <w:rFonts w:ascii="Arial" w:cs="Arial" w:eastAsia="Arial" w:hAnsi="Arial"/>
          <w:sz w:val="17"/>
          <w:szCs w:val="17"/>
          <w:color w:val="auto"/>
        </w:rPr>
        <w:t>To challenge our execution on our environmental sustainability 2027 goals, we established a Company environmental goal to develop processes and capabilities across the enterprise, with the following requirements:</w:t>
      </w:r>
    </w:p>
    <w:p>
      <w:pPr>
        <w:spacing w:after="0" w:line="108" w:lineRule="exact"/>
        <w:rPr>
          <w:rFonts w:ascii="Arial" w:cs="Arial" w:eastAsia="Arial" w:hAnsi="Arial"/>
          <w:sz w:val="17"/>
          <w:szCs w:val="17"/>
          <w:color w:val="0171B9"/>
        </w:rPr>
      </w:pPr>
    </w:p>
    <w:p>
      <w:pPr>
        <w:ind w:left="540" w:hanging="216"/>
        <w:spacing w:after="0" w:line="235" w:lineRule="auto"/>
        <w:rPr>
          <w:rFonts w:ascii="Arial" w:cs="Arial" w:eastAsia="Arial" w:hAnsi="Arial"/>
          <w:sz w:val="17"/>
          <w:szCs w:val="17"/>
          <w:color w:val="0171B9"/>
        </w:rPr>
      </w:pPr>
      <w:r>
        <w:rPr>
          <w:rFonts w:ascii="Arial" w:cs="Arial" w:eastAsia="Arial" w:hAnsi="Arial"/>
          <w:sz w:val="17"/>
          <w:szCs w:val="17"/>
          <w:color w:val="0171B9"/>
        </w:rPr>
        <w:t xml:space="preserve">– </w:t>
      </w:r>
      <w:r>
        <w:rPr>
          <w:rFonts w:ascii="Arial" w:cs="Arial" w:eastAsia="Arial" w:hAnsi="Arial"/>
          <w:sz w:val="17"/>
          <w:szCs w:val="17"/>
          <w:color w:val="000000"/>
        </w:rPr>
        <w:t>Achievement of conservation targets that meet specific</w:t>
      </w:r>
      <w:r>
        <w:rPr>
          <w:rFonts w:ascii="Arial" w:cs="Arial" w:eastAsia="Arial" w:hAnsi="Arial"/>
          <w:sz w:val="17"/>
          <w:szCs w:val="17"/>
          <w:color w:val="0171B9"/>
        </w:rPr>
        <w:t xml:space="preserve"> </w:t>
      </w:r>
      <w:r>
        <w:rPr>
          <w:rFonts w:ascii="Arial" w:cs="Arial" w:eastAsia="Arial" w:hAnsi="Arial"/>
          <w:sz w:val="17"/>
          <w:szCs w:val="17"/>
          <w:color w:val="000000"/>
        </w:rPr>
        <w:t>percentage reductions for each of the three goal components (total carbon reduction, total water reduction, and total waste reduction) in 2022 that advance towards our 2027 environmental sustainability goals; and</w:t>
      </w:r>
    </w:p>
    <w:p>
      <w:pPr>
        <w:spacing w:after="0" w:line="109" w:lineRule="exact"/>
        <w:rPr>
          <w:rFonts w:ascii="Arial" w:cs="Arial" w:eastAsia="Arial" w:hAnsi="Arial"/>
          <w:sz w:val="17"/>
          <w:szCs w:val="17"/>
          <w:color w:val="0171B9"/>
        </w:rPr>
      </w:pPr>
    </w:p>
    <w:p>
      <w:pPr>
        <w:ind w:left="540" w:hanging="216"/>
        <w:spacing w:after="0" w:line="238" w:lineRule="auto"/>
        <w:rPr>
          <w:rFonts w:ascii="Arial" w:cs="Arial" w:eastAsia="Arial" w:hAnsi="Arial"/>
          <w:sz w:val="17"/>
          <w:szCs w:val="17"/>
          <w:color w:val="0171B9"/>
        </w:rPr>
      </w:pPr>
      <w:r>
        <w:rPr>
          <w:rFonts w:ascii="Arial" w:cs="Arial" w:eastAsia="Arial" w:hAnsi="Arial"/>
          <w:sz w:val="17"/>
          <w:szCs w:val="17"/>
          <w:color w:val="0171B9"/>
        </w:rPr>
        <w:t xml:space="preserve">– </w:t>
      </w:r>
      <w:r>
        <w:rPr>
          <w:rFonts w:ascii="Arial" w:cs="Arial" w:eastAsia="Arial" w:hAnsi="Arial"/>
          <w:sz w:val="17"/>
          <w:szCs w:val="17"/>
          <w:color w:val="000000"/>
        </w:rPr>
        <w:t>Establishment of a Company approved strategy for engaging</w:t>
      </w:r>
      <w:r>
        <w:rPr>
          <w:rFonts w:ascii="Arial" w:cs="Arial" w:eastAsia="Arial" w:hAnsi="Arial"/>
          <w:sz w:val="17"/>
          <w:szCs w:val="17"/>
          <w:color w:val="0171B9"/>
        </w:rPr>
        <w:t xml:space="preserve"> </w:t>
      </w:r>
      <w:r>
        <w:rPr>
          <w:rFonts w:ascii="Arial" w:cs="Arial" w:eastAsia="Arial" w:hAnsi="Arial"/>
          <w:sz w:val="17"/>
          <w:szCs w:val="17"/>
          <w:color w:val="000000"/>
        </w:rPr>
        <w:t>certain key suppliers across the enterprise to improve their Scope 3 carbon emissions.</w:t>
      </w:r>
    </w:p>
    <w:p>
      <w:pPr>
        <w:spacing w:after="0" w:line="201" w:lineRule="exact"/>
        <w:rPr>
          <w:sz w:val="20"/>
          <w:szCs w:val="20"/>
          <w:color w:val="auto"/>
        </w:rPr>
      </w:pPr>
    </w:p>
    <w:p>
      <w:pPr>
        <w:jc w:val="both"/>
        <w:ind w:left="340"/>
        <w:spacing w:after="0" w:line="235" w:lineRule="auto"/>
        <w:rPr>
          <w:sz w:val="20"/>
          <w:szCs w:val="20"/>
          <w:color w:val="auto"/>
        </w:rPr>
      </w:pPr>
      <w:r>
        <w:rPr>
          <w:rFonts w:ascii="Arial" w:cs="Arial" w:eastAsia="Arial" w:hAnsi="Arial"/>
          <w:sz w:val="17"/>
          <w:szCs w:val="17"/>
          <w:color w:val="auto"/>
        </w:rPr>
        <w:t>Our early achievement of the pre-specified percentage reductions for each of the carbon, water, and waste components as well as accelerated establishment of a Company approved Scope 3 supplier engagement strategy resulted in maximum achievement of this goal.</w:t>
      </w:r>
    </w:p>
    <w:p>
      <w:pPr>
        <w:spacing w:after="0" w:line="96" w:lineRule="exact"/>
        <w:rPr>
          <w:sz w:val="20"/>
          <w:szCs w:val="20"/>
          <w:color w:val="auto"/>
        </w:rPr>
      </w:pPr>
    </w:p>
    <w:p>
      <w:pPr>
        <w:jc w:val="both"/>
        <w:ind w:left="340"/>
        <w:spacing w:after="0" w:line="236" w:lineRule="auto"/>
        <w:rPr>
          <w:sz w:val="20"/>
          <w:szCs w:val="20"/>
          <w:color w:val="auto"/>
        </w:rPr>
      </w:pPr>
      <w:r>
        <w:rPr>
          <w:rFonts w:ascii="Arial" w:cs="Arial" w:eastAsia="Arial" w:hAnsi="Arial"/>
          <w:sz w:val="17"/>
          <w:szCs w:val="17"/>
          <w:color w:val="auto"/>
        </w:rPr>
        <w:t>As part of our continuing work towards advancing our 2027 carbon neutrality</w:t>
      </w:r>
      <w:r>
        <w:rPr>
          <w:rFonts w:ascii="Arial" w:cs="Arial" w:eastAsia="Arial" w:hAnsi="Arial"/>
          <w:sz w:val="12"/>
          <w:szCs w:val="12"/>
          <w:color w:val="auto"/>
        </w:rPr>
        <w:t>(1)</w:t>
      </w:r>
      <w:r>
        <w:rPr>
          <w:rFonts w:ascii="Arial" w:cs="Arial" w:eastAsia="Arial" w:hAnsi="Arial"/>
          <w:sz w:val="17"/>
          <w:szCs w:val="17"/>
          <w:color w:val="auto"/>
        </w:rPr>
        <w:t xml:space="preserve"> target, our Scope 1 and 2 carbon emissions and Scope 3 supplier engagement targets were approved by the Science Based Targets initiative (SBTi).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149860</wp:posOffset>
            </wp:positionV>
            <wp:extent cx="3326130" cy="8572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26130" cy="857250"/>
                    </a:xfrm>
                    <a:prstGeom prst="rect">
                      <a:avLst/>
                    </a:prstGeom>
                    <a:noFill/>
                  </pic:spPr>
                </pic:pic>
              </a:graphicData>
            </a:graphic>
          </wp:anchor>
        </w:drawing>
      </w:r>
    </w:p>
    <w:p>
      <w:pPr>
        <w:spacing w:after="0" w:line="324"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0171B9"/>
        </w:rPr>
        <w:t>Our Environmental Sustainability 2027 Goals</w:t>
      </w:r>
      <w:r>
        <w:rPr>
          <w:rFonts w:ascii="Arial" w:cs="Arial" w:eastAsia="Arial" w:hAnsi="Arial"/>
          <w:sz w:val="29"/>
          <w:szCs w:val="29"/>
          <w:b w:val="1"/>
          <w:bCs w:val="1"/>
          <w:color w:val="0171B9"/>
          <w:vertAlign w:val="superscript"/>
        </w:rPr>
        <w:t>(1)</w:t>
      </w:r>
    </w:p>
    <w:p>
      <w:pPr>
        <w:spacing w:after="0" w:line="25" w:lineRule="exact"/>
        <w:rPr>
          <w:sz w:val="20"/>
          <w:szCs w:val="20"/>
          <w:color w:val="auto"/>
        </w:rPr>
      </w:pPr>
    </w:p>
    <w:p>
      <w:pPr>
        <w:ind w:left="520" w:right="1420"/>
        <w:spacing w:after="0" w:line="386"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Achieve carbon neutrality in our operations;</w:t>
      </w:r>
      <w:r>
        <w:rPr>
          <w:rFonts w:ascii="Arial" w:cs="Arial" w:eastAsia="Arial" w:hAnsi="Arial"/>
          <w:sz w:val="17"/>
          <w:szCs w:val="17"/>
          <w:color w:val="0171B9"/>
        </w:rPr>
        <w:t xml:space="preserve"> •</w:t>
      </w:r>
      <w:r>
        <w:rPr>
          <w:rFonts w:ascii="Arial" w:cs="Arial" w:eastAsia="Arial" w:hAnsi="Arial"/>
          <w:sz w:val="17"/>
          <w:szCs w:val="17"/>
          <w:color w:val="000000"/>
        </w:rPr>
        <w:t xml:space="preserve">   Reduce water consumed by 40%; and</w:t>
      </w:r>
      <w:r>
        <w:rPr>
          <w:rFonts w:ascii="Arial" w:cs="Arial" w:eastAsia="Arial" w:hAnsi="Arial"/>
          <w:sz w:val="17"/>
          <w:szCs w:val="17"/>
          <w:color w:val="0171B9"/>
        </w:rPr>
        <w:t xml:space="preserve"> •</w:t>
      </w:r>
      <w:r>
        <w:rPr>
          <w:rFonts w:ascii="Arial" w:cs="Arial" w:eastAsia="Arial" w:hAnsi="Arial"/>
          <w:sz w:val="17"/>
          <w:szCs w:val="17"/>
          <w:color w:val="000000"/>
        </w:rPr>
        <w:t xml:space="preserve">   Reduce waste disposed by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715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both"/>
        <w:ind w:left="266" w:right="20" w:hanging="266"/>
        <w:spacing w:after="0" w:line="234" w:lineRule="auto"/>
        <w:tabs>
          <w:tab w:leader="none" w:pos="266" w:val="left"/>
        </w:tabs>
        <w:numPr>
          <w:ilvl w:val="0"/>
          <w:numId w:val="76"/>
        </w:numPr>
        <w:rPr>
          <w:rFonts w:ascii="Arial" w:cs="Arial" w:eastAsia="Arial" w:hAnsi="Arial"/>
          <w:sz w:val="17"/>
          <w:szCs w:val="17"/>
          <w:color w:val="0171B9"/>
        </w:rPr>
      </w:pPr>
      <w:r>
        <w:rPr>
          <w:rFonts w:ascii="Arial" w:cs="Arial" w:eastAsia="Arial" w:hAnsi="Arial"/>
          <w:sz w:val="17"/>
          <w:szCs w:val="17"/>
          <w:color w:val="auto"/>
        </w:rPr>
        <w:t>To drive ownership and accountability deeper into the organization, our diversity, inclusion, and belonging goal expanded the number of leaders accountable for acting to actively communicate our culture of belonging to all staff. Leaders at the director and above levels were required to establish, document, and execute diversity, inclusion, and belonging action plans in 2022 with a target goal of 90% participation.</w:t>
      </w:r>
    </w:p>
    <w:p>
      <w:pPr>
        <w:spacing w:after="0" w:line="110" w:lineRule="exact"/>
        <w:rPr>
          <w:rFonts w:ascii="Arial" w:cs="Arial" w:eastAsia="Arial" w:hAnsi="Arial"/>
          <w:sz w:val="17"/>
          <w:szCs w:val="17"/>
          <w:color w:val="0171B9"/>
        </w:rPr>
      </w:pPr>
    </w:p>
    <w:p>
      <w:pPr>
        <w:jc w:val="both"/>
        <w:ind w:left="426" w:right="20" w:hanging="210"/>
        <w:spacing w:after="0" w:line="238" w:lineRule="auto"/>
        <w:tabs>
          <w:tab w:leader="none" w:pos="426" w:val="left"/>
        </w:tabs>
        <w:numPr>
          <w:ilvl w:val="1"/>
          <w:numId w:val="76"/>
        </w:numPr>
        <w:rPr>
          <w:rFonts w:ascii="Arial" w:cs="Arial" w:eastAsia="Arial" w:hAnsi="Arial"/>
          <w:sz w:val="17"/>
          <w:szCs w:val="17"/>
          <w:b w:val="1"/>
          <w:bCs w:val="1"/>
          <w:color w:val="auto"/>
        </w:rPr>
      </w:pPr>
      <w:r>
        <w:rPr>
          <w:rFonts w:ascii="Arial" w:cs="Arial" w:eastAsia="Arial" w:hAnsi="Arial"/>
          <w:sz w:val="17"/>
          <w:szCs w:val="17"/>
          <w:color w:val="auto"/>
        </w:rPr>
        <w:t>We achieved 97% participation with leaders establishing, documenting, and executing on their diversity, inclusion, and belonging action plans in 2022.</w:t>
      </w:r>
    </w:p>
    <w:p>
      <w:pPr>
        <w:spacing w:after="0" w:line="100" w:lineRule="exact"/>
        <w:rPr>
          <w:sz w:val="20"/>
          <w:szCs w:val="20"/>
          <w:color w:val="auto"/>
        </w:rPr>
      </w:pPr>
    </w:p>
    <w:p>
      <w:pPr>
        <w:ind w:left="66"/>
        <w:spacing w:after="0"/>
        <w:rPr>
          <w:sz w:val="20"/>
          <w:szCs w:val="20"/>
          <w:color w:val="auto"/>
        </w:rPr>
      </w:pPr>
      <w:r>
        <w:rPr>
          <w:rFonts w:ascii="Arial" w:cs="Arial" w:eastAsia="Arial" w:hAnsi="Arial"/>
          <w:sz w:val="17"/>
          <w:szCs w:val="17"/>
          <w:b w:val="1"/>
          <w:bCs w:val="1"/>
          <w:color w:val="FFFFFF"/>
        </w:rPr>
        <w:t>b. Simplification and automation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-115570</wp:posOffset>
            </wp:positionV>
            <wp:extent cx="3420110" cy="146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0110" cy="146050"/>
                    </a:xfrm>
                    <a:prstGeom prst="rect">
                      <a:avLst/>
                    </a:prstGeom>
                    <a:noFill/>
                  </pic:spPr>
                </pic:pic>
              </a:graphicData>
            </a:graphic>
          </wp:anchor>
        </w:drawing>
      </w:r>
    </w:p>
    <w:p>
      <w:pPr>
        <w:spacing w:after="0" w:line="129" w:lineRule="exact"/>
        <w:rPr>
          <w:sz w:val="20"/>
          <w:szCs w:val="20"/>
          <w:color w:val="auto"/>
        </w:rPr>
      </w:pPr>
    </w:p>
    <w:p>
      <w:pPr>
        <w:jc w:val="both"/>
        <w:ind w:left="6" w:right="20"/>
        <w:spacing w:after="0" w:line="234" w:lineRule="auto"/>
        <w:rPr>
          <w:sz w:val="20"/>
          <w:szCs w:val="20"/>
          <w:color w:val="auto"/>
        </w:rPr>
      </w:pPr>
      <w:r>
        <w:rPr>
          <w:rFonts w:ascii="Arial" w:cs="Arial" w:eastAsia="Arial" w:hAnsi="Arial"/>
          <w:sz w:val="17"/>
          <w:szCs w:val="17"/>
          <w:color w:val="auto"/>
        </w:rPr>
        <w:t>To drive further efficiencies and speed throughout our drug discovery, development, manufacturing, and marketing efforts, we established this goal to challenge our employees to drive end-to-end simplification of our processes and increase the appropriate use of automation technologies across our Company to accelerate the adoption of digital automation at all levels of the organization. We achieved five resourced and funded end-to-end process simplification initiatives and implemented 360 automations in 2022; the maximum of the targets set for this goal.</w:t>
      </w:r>
    </w:p>
    <w:p>
      <w:pPr>
        <w:spacing w:after="0" w:line="180"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0171B9"/>
        </w:rPr>
        <w:t>We delivered on additional strategic priorities.</w:t>
      </w:r>
    </w:p>
    <w:p>
      <w:pPr>
        <w:spacing w:after="0" w:line="250" w:lineRule="exact"/>
        <w:rPr>
          <w:sz w:val="20"/>
          <w:szCs w:val="20"/>
          <w:color w:val="auto"/>
        </w:rPr>
      </w:pPr>
    </w:p>
    <w:p>
      <w:pPr>
        <w:jc w:val="both"/>
        <w:ind w:left="1946" w:right="20" w:hanging="214"/>
        <w:spacing w:after="0" w:line="238"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Amgen</w:t>
      </w:r>
      <w:r>
        <w:rPr>
          <w:sz w:val="20"/>
          <w:szCs w:val="20"/>
          <w:color w:val="auto"/>
        </w:rPr>
        <w:t xml:space="preserve"> </w:t>
      </w:r>
      <w:r>
        <w:rPr>
          <w:rFonts w:ascii="Arial" w:cs="Arial" w:eastAsia="Arial" w:hAnsi="Arial"/>
          <w:sz w:val="17"/>
          <w:szCs w:val="17"/>
          <w:color w:val="auto"/>
        </w:rPr>
        <w:t>Ecovation is our proprietary biomanufacturing approach. Based on the successful operation of our innovative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-364490</wp:posOffset>
            </wp:positionV>
            <wp:extent cx="882650" cy="3860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2650" cy="386080"/>
                    </a:xfrm>
                    <a:prstGeom prst="rect">
                      <a:avLst/>
                    </a:prstGeom>
                    <a:noFill/>
                  </pic:spPr>
                </pic:pic>
              </a:graphicData>
            </a:graphic>
          </wp:anchor>
        </w:drawing>
      </w:r>
    </w:p>
    <w:p>
      <w:pPr>
        <w:spacing w:after="0" w:line="6" w:lineRule="exact"/>
        <w:rPr>
          <w:sz w:val="20"/>
          <w:szCs w:val="20"/>
          <w:color w:val="auto"/>
        </w:rPr>
      </w:pPr>
    </w:p>
    <w:p>
      <w:pPr>
        <w:jc w:val="both"/>
        <w:ind w:left="6"/>
        <w:spacing w:after="0" w:line="233" w:lineRule="auto"/>
        <w:rPr>
          <w:sz w:val="20"/>
          <w:szCs w:val="20"/>
          <w:color w:val="auto"/>
        </w:rPr>
      </w:pPr>
      <w:r>
        <w:rPr>
          <w:rFonts w:ascii="Arial" w:cs="Arial" w:eastAsia="Arial" w:hAnsi="Arial"/>
          <w:sz w:val="17"/>
          <w:szCs w:val="17"/>
          <w:color w:val="auto"/>
        </w:rPr>
        <w:t>manufacturing facility in Singapore licensed in 2017, we built and received regulatory approval of a second such plant in the U.S. in Rhode Island (licensed in January 2022). Our Rhode Island biomanufacturing plant expands our ability to manufacture protein-based medicines and also creates a substantial number of additional highly skilled manufacturing positions in the U.S. Both the Singapore and Rhode Island plants have a smaller manufacturing footprint than traditional plants and a reduced environmental impact, including reduced consumption of water and energy and lower levels of carbon emissions. They also are built in less time than traditional plants and have lower operating costs.</w:t>
      </w:r>
    </w:p>
    <w:p>
      <w:pPr>
        <w:spacing w:after="0" w:line="93" w:lineRule="exact"/>
        <w:rPr>
          <w:sz w:val="20"/>
          <w:szCs w:val="20"/>
          <w:color w:val="auto"/>
        </w:rPr>
      </w:pPr>
    </w:p>
    <w:p>
      <w:pPr>
        <w:jc w:val="both"/>
        <w:ind w:left="266" w:right="20" w:hanging="266"/>
        <w:spacing w:after="0" w:line="249" w:lineRule="auto"/>
        <w:tabs>
          <w:tab w:leader="none" w:pos="266" w:val="left"/>
        </w:tabs>
        <w:numPr>
          <w:ilvl w:val="0"/>
          <w:numId w:val="77"/>
        </w:numPr>
        <w:rPr>
          <w:rFonts w:ascii="Arial" w:cs="Arial" w:eastAsia="Arial" w:hAnsi="Arial"/>
          <w:sz w:val="17"/>
          <w:szCs w:val="17"/>
          <w:color w:val="0171B9"/>
        </w:rPr>
      </w:pPr>
      <w:r>
        <w:rPr>
          <w:rFonts w:ascii="Arial" w:cs="Arial" w:eastAsia="Arial" w:hAnsi="Arial"/>
          <w:sz w:val="17"/>
          <w:szCs w:val="17"/>
          <w:b w:val="1"/>
          <w:bCs w:val="1"/>
          <w:i w:val="1"/>
          <w:iCs w:val="1"/>
          <w:color w:val="auto"/>
        </w:rPr>
        <w:t xml:space="preserve">Investment in Two Additional U.S. Facilities. </w:t>
      </w:r>
      <w:r>
        <w:rPr>
          <w:rFonts w:ascii="Arial" w:cs="Arial" w:eastAsia="Arial" w:hAnsi="Arial"/>
          <w:sz w:val="17"/>
          <w:szCs w:val="17"/>
          <w:color w:val="auto"/>
        </w:rPr>
        <w:t>We are currently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building two new environmentally friendly U.S. facilities to meet the demands for our medicines.</w:t>
      </w:r>
    </w:p>
    <w:p>
      <w:pPr>
        <w:spacing w:after="0" w:line="80" w:lineRule="exact"/>
        <w:rPr>
          <w:rFonts w:ascii="Arial" w:cs="Arial" w:eastAsia="Arial" w:hAnsi="Arial"/>
          <w:sz w:val="17"/>
          <w:szCs w:val="17"/>
          <w:color w:val="0171B9"/>
        </w:rPr>
      </w:pPr>
    </w:p>
    <w:p>
      <w:pPr>
        <w:ind w:left="426" w:right="20" w:hanging="216"/>
        <w:spacing w:after="0" w:line="267" w:lineRule="auto"/>
        <w:rPr>
          <w:rFonts w:ascii="Arial" w:cs="Arial" w:eastAsia="Arial" w:hAnsi="Arial"/>
          <w:sz w:val="17"/>
          <w:szCs w:val="17"/>
          <w:color w:val="0171B9"/>
        </w:rPr>
      </w:pPr>
      <w:r>
        <w:rPr>
          <w:rFonts w:ascii="Arial" w:cs="Arial" w:eastAsia="Arial" w:hAnsi="Arial"/>
          <w:sz w:val="17"/>
          <w:szCs w:val="17"/>
          <w:b w:val="1"/>
          <w:bCs w:val="1"/>
          <w:color w:val="auto"/>
        </w:rPr>
        <w:t xml:space="preserve">– </w:t>
      </w:r>
      <w:r>
        <w:rPr>
          <w:rFonts w:ascii="Arial" w:cs="Arial" w:eastAsia="Arial" w:hAnsi="Arial"/>
          <w:sz w:val="17"/>
          <w:szCs w:val="17"/>
          <w:color w:val="auto"/>
        </w:rPr>
        <w:t>Product assembly and packaging plant in Ohio and multi-product</w:t>
      </w:r>
      <w:r>
        <w:rPr>
          <w:rFonts w:ascii="Arial" w:cs="Arial" w:eastAsia="Arial" w:hAnsi="Arial"/>
          <w:sz w:val="17"/>
          <w:szCs w:val="17"/>
          <w:b w:val="1"/>
          <w:bCs w:val="1"/>
          <w:color w:val="auto"/>
        </w:rPr>
        <w:t xml:space="preserve"> </w:t>
      </w:r>
      <w:r>
        <w:rPr>
          <w:rFonts w:ascii="Arial" w:cs="Arial" w:eastAsia="Arial" w:hAnsi="Arial"/>
          <w:sz w:val="17"/>
          <w:szCs w:val="17"/>
          <w:color w:val="auto"/>
        </w:rPr>
        <w:t>drug substance manufacturing plant in North Carolina.</w:t>
      </w:r>
    </w:p>
    <w:p>
      <w:pPr>
        <w:spacing w:after="0" w:line="84" w:lineRule="exact"/>
        <w:rPr>
          <w:rFonts w:ascii="Arial" w:cs="Arial" w:eastAsia="Arial" w:hAnsi="Arial"/>
          <w:sz w:val="17"/>
          <w:szCs w:val="17"/>
          <w:color w:val="0171B9"/>
        </w:rPr>
      </w:pPr>
    </w:p>
    <w:p>
      <w:pPr>
        <w:ind w:left="426" w:right="20" w:hanging="216"/>
        <w:spacing w:after="0" w:line="235" w:lineRule="auto"/>
        <w:rPr>
          <w:rFonts w:ascii="Arial" w:cs="Arial" w:eastAsia="Arial" w:hAnsi="Arial"/>
          <w:sz w:val="17"/>
          <w:szCs w:val="17"/>
          <w:color w:val="0171B9"/>
        </w:rPr>
      </w:pPr>
      <w:r>
        <w:rPr>
          <w:rFonts w:ascii="Arial" w:cs="Arial" w:eastAsia="Arial" w:hAnsi="Arial"/>
          <w:sz w:val="17"/>
          <w:szCs w:val="17"/>
          <w:color w:val="auto"/>
        </w:rPr>
        <w:t>– Both facilities will utilize cutting edge technologies to be much more efficient and environmentally friendly than traditional plants, supporting our 2027 carbon neutrality goal.</w:t>
      </w:r>
      <w:r>
        <w:rPr>
          <w:rFonts w:ascii="Arial" w:cs="Arial" w:eastAsia="Arial" w:hAnsi="Arial"/>
          <w:sz w:val="12"/>
          <w:szCs w:val="12"/>
          <w:color w:val="auto"/>
        </w:rPr>
        <w:t>(1)</w:t>
      </w:r>
      <w:r>
        <w:rPr>
          <w:rFonts w:ascii="Arial" w:cs="Arial" w:eastAsia="Arial" w:hAnsi="Arial"/>
          <w:sz w:val="17"/>
          <w:szCs w:val="17"/>
          <w:color w:val="auto"/>
        </w:rPr>
        <w:t xml:space="preserve"> We expect to bring hundreds of full-time jobs to these regions while expanding our access to diverse talent.</w:t>
      </w:r>
    </w:p>
    <w:p>
      <w:pPr>
        <w:spacing w:after="0" w:line="955" w:lineRule="exact"/>
        <w:rPr>
          <w:sz w:val="20"/>
          <w:szCs w:val="20"/>
          <w:color w:val="auto"/>
        </w:rPr>
      </w:pPr>
    </w:p>
    <w:p>
      <w:pPr>
        <w:sectPr>
          <w:pgSz w:w="11900" w:h="16838" w:orient="portrait"/>
          <w:cols w:equalWidth="0" w:num="2">
            <w:col w:w="5400" w:space="334"/>
            <w:col w:w="5406"/>
          </w:cols>
          <w:pgMar w:left="320" w:top="486" w:right="439" w:bottom="1440" w:gutter="0" w:footer="0" w:header="0"/>
          <w:type w:val="continuous"/>
        </w:sectPr>
      </w:pPr>
    </w:p>
    <w:p>
      <w:pPr>
        <w:spacing w:after="0" w:line="83" w:lineRule="exact"/>
        <w:rPr>
          <w:sz w:val="20"/>
          <w:szCs w:val="20"/>
          <w:color w:val="auto"/>
        </w:rPr>
      </w:pPr>
    </w:p>
    <w:p>
      <w:pPr>
        <w:ind w:left="540" w:right="20" w:hanging="424"/>
        <w:spacing w:after="0" w:line="193" w:lineRule="auto"/>
        <w:tabs>
          <w:tab w:leader="none" w:pos="54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Carbon neutrality goal refers to Scope 1 and 2 emissions. Reductions take into account only verified reduction projections, and do not take into account changes associated with the contraction or expansion of the Company and are measured against a 2019 baseline.</w:t>
      </w:r>
    </w:p>
    <w:p>
      <w:pPr>
        <w:spacing w:after="0" w:line="118"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50</w:t>
      </w:r>
      <w:r>
        <w:rPr>
          <w:sz w:val="20"/>
          <w:szCs w:val="20"/>
          <w:color w:val="auto"/>
        </w:rPr>
        <w:tab/>
      </w:r>
      <w:r>
        <w:rPr>
          <w:sz w:val="1"/>
          <w:szCs w:val="1"/>
          <w:color w:val="auto"/>
        </w:rPr>
        <w:drawing>
          <wp:inline distT="0" distB="0" distL="0" distR="0">
            <wp:extent cx="582930" cy="13716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Compensation Discussion and Analysis</w:t>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both"/>
        <w:ind w:left="1880" w:hanging="214"/>
        <w:spacing w:after="0" w:line="232"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Our high quality branded biosimilars provide</w:t>
      </w:r>
      <w:r>
        <w:rPr>
          <w:rFonts w:ascii="Arial" w:cs="Arial" w:eastAsia="Arial" w:hAnsi="Arial"/>
          <w:sz w:val="17"/>
          <w:szCs w:val="17"/>
          <w:color w:val="0171B9"/>
        </w:rPr>
        <w:t xml:space="preserve"> </w:t>
      </w:r>
      <w:r>
        <w:rPr>
          <w:rFonts w:ascii="Arial" w:cs="Arial" w:eastAsia="Arial" w:hAnsi="Arial"/>
          <w:sz w:val="17"/>
          <w:szCs w:val="17"/>
          <w:color w:val="000000"/>
        </w:rPr>
        <w:t>expanded access to important medicines for patients, offering more affordable options in our therapeutic areas. We have 11 biosimilars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-449580</wp:posOffset>
            </wp:positionV>
            <wp:extent cx="882650" cy="3860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2650" cy="386080"/>
                    </a:xfrm>
                    <a:prstGeom prst="rect">
                      <a:avLst/>
                    </a:prstGeom>
                    <a:noFill/>
                  </pic:spPr>
                </pic:pic>
              </a:graphicData>
            </a:graphic>
          </wp:anchor>
        </w:drawing>
      </w:r>
    </w:p>
    <w:p>
      <w:pPr>
        <w:ind w:left="120"/>
        <w:spacing w:after="0" w:line="243" w:lineRule="auto"/>
        <w:rPr>
          <w:sz w:val="20"/>
          <w:szCs w:val="20"/>
          <w:color w:val="auto"/>
        </w:rPr>
      </w:pPr>
      <w:r>
        <w:rPr>
          <w:rFonts w:ascii="Arial" w:cs="Arial" w:eastAsia="Arial" w:hAnsi="Arial"/>
          <w:sz w:val="17"/>
          <w:szCs w:val="17"/>
          <w:color w:val="auto"/>
        </w:rPr>
        <w:t>in our current portfolio, five that have been approved in the U.S., three in the EU, and three in Phase 3 development.</w:t>
      </w:r>
    </w:p>
    <w:p>
      <w:pPr>
        <w:spacing w:after="0" w:line="104" w:lineRule="exact"/>
        <w:rPr>
          <w:sz w:val="20"/>
          <w:szCs w:val="20"/>
          <w:color w:val="auto"/>
        </w:rPr>
      </w:pPr>
    </w:p>
    <w:p>
      <w:pPr>
        <w:jc w:val="both"/>
        <w:ind w:left="380" w:hanging="264"/>
        <w:spacing w:after="0" w:line="238" w:lineRule="auto"/>
        <w:tabs>
          <w:tab w:leader="none" w:pos="380" w:val="left"/>
        </w:tabs>
        <w:numPr>
          <w:ilvl w:val="0"/>
          <w:numId w:val="79"/>
        </w:numPr>
        <w:rPr>
          <w:rFonts w:ascii="Arial" w:cs="Arial" w:eastAsia="Arial" w:hAnsi="Arial"/>
          <w:sz w:val="17"/>
          <w:szCs w:val="17"/>
          <w:color w:val="0171B9"/>
        </w:rPr>
      </w:pPr>
      <w:r>
        <w:rPr>
          <w:rFonts w:ascii="Arial" w:cs="Arial" w:eastAsia="Arial" w:hAnsi="Arial"/>
          <w:sz w:val="17"/>
          <w:szCs w:val="17"/>
          <w:color w:val="auto"/>
        </w:rPr>
        <w:t>Our branded biosimilars are fully integrated with our biologic development, manufacturing, and global commercial operations capabilities:</w:t>
      </w:r>
    </w:p>
    <w:p>
      <w:pPr>
        <w:spacing w:after="0" w:line="86" w:lineRule="exact"/>
        <w:rPr>
          <w:rFonts w:ascii="Arial" w:cs="Arial" w:eastAsia="Arial" w:hAnsi="Arial"/>
          <w:sz w:val="17"/>
          <w:szCs w:val="17"/>
          <w:color w:val="0171B9"/>
        </w:rPr>
      </w:pPr>
    </w:p>
    <w:p>
      <w:pPr>
        <w:ind w:left="540" w:right="20" w:hanging="216"/>
        <w:spacing w:after="0" w:line="249" w:lineRule="auto"/>
        <w:rPr>
          <w:rFonts w:ascii="Arial" w:cs="Arial" w:eastAsia="Arial" w:hAnsi="Arial"/>
          <w:sz w:val="17"/>
          <w:szCs w:val="17"/>
          <w:color w:val="0171B9"/>
        </w:rPr>
      </w:pPr>
      <w:r>
        <w:rPr>
          <w:rFonts w:ascii="Arial" w:cs="Arial" w:eastAsia="Arial" w:hAnsi="Arial"/>
          <w:sz w:val="17"/>
          <w:szCs w:val="17"/>
          <w:b w:val="1"/>
          <w:bCs w:val="1"/>
          <w:color w:val="auto"/>
        </w:rPr>
        <w:t xml:space="preserve">– </w:t>
      </w:r>
      <w:r>
        <w:rPr>
          <w:rFonts w:ascii="Arial" w:cs="Arial" w:eastAsia="Arial" w:hAnsi="Arial"/>
          <w:sz w:val="17"/>
          <w:szCs w:val="17"/>
          <w:color w:val="auto"/>
        </w:rPr>
        <w:t>We use the same development and manufacturing processes,</w:t>
      </w:r>
      <w:r>
        <w:rPr>
          <w:rFonts w:ascii="Arial" w:cs="Arial" w:eastAsia="Arial" w:hAnsi="Arial"/>
          <w:sz w:val="17"/>
          <w:szCs w:val="17"/>
          <w:b w:val="1"/>
          <w:bCs w:val="1"/>
          <w:color w:val="auto"/>
        </w:rPr>
        <w:t xml:space="preserve"> </w:t>
      </w:r>
      <w:r>
        <w:rPr>
          <w:rFonts w:ascii="Arial" w:cs="Arial" w:eastAsia="Arial" w:hAnsi="Arial"/>
          <w:sz w:val="17"/>
          <w:szCs w:val="17"/>
          <w:color w:val="auto"/>
        </w:rPr>
        <w:t>scientific standards, quality systems, and supply chain for our biosimilars as we do for our innovative biologics; and</w:t>
      </w:r>
    </w:p>
    <w:p>
      <w:pPr>
        <w:spacing w:after="0" w:line="80" w:lineRule="exact"/>
        <w:rPr>
          <w:rFonts w:ascii="Arial" w:cs="Arial" w:eastAsia="Arial" w:hAnsi="Arial"/>
          <w:sz w:val="17"/>
          <w:szCs w:val="17"/>
          <w:color w:val="0171B9"/>
        </w:rPr>
      </w:pPr>
    </w:p>
    <w:p>
      <w:pPr>
        <w:ind w:left="540" w:hanging="216"/>
        <w:spacing w:after="0" w:line="241" w:lineRule="auto"/>
        <w:rPr>
          <w:rFonts w:ascii="Arial" w:cs="Arial" w:eastAsia="Arial" w:hAnsi="Arial"/>
          <w:sz w:val="17"/>
          <w:szCs w:val="17"/>
          <w:color w:val="0171B9"/>
        </w:rPr>
      </w:pPr>
      <w:r>
        <w:rPr>
          <w:rFonts w:ascii="Arial" w:cs="Arial" w:eastAsia="Arial" w:hAnsi="Arial"/>
          <w:sz w:val="17"/>
          <w:szCs w:val="17"/>
          <w:b w:val="1"/>
          <w:bCs w:val="1"/>
          <w:color w:val="auto"/>
        </w:rPr>
        <w:t xml:space="preserve">– </w:t>
      </w:r>
      <w:r>
        <w:rPr>
          <w:rFonts w:ascii="Arial" w:cs="Arial" w:eastAsia="Arial" w:hAnsi="Arial"/>
          <w:sz w:val="17"/>
          <w:szCs w:val="17"/>
          <w:color w:val="auto"/>
        </w:rPr>
        <w:t>The same global commercial team members who interact with</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providers on our proprietary branded portfolio also represent our branded biosimilars and are able to help providers and patients with the transition from a branded product to a biosimilar.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272415</wp:posOffset>
            </wp:positionV>
            <wp:extent cx="3360420" cy="1797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0420" cy="1797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left="120"/>
        <w:spacing w:after="0"/>
        <w:rPr>
          <w:sz w:val="20"/>
          <w:szCs w:val="20"/>
          <w:color w:val="auto"/>
        </w:rPr>
      </w:pPr>
      <w:r>
        <w:rPr>
          <w:rFonts w:ascii="Arial" w:cs="Arial" w:eastAsia="Arial" w:hAnsi="Arial"/>
          <w:sz w:val="17"/>
          <w:szCs w:val="17"/>
          <w:b w:val="1"/>
          <w:bCs w:val="1"/>
          <w:color w:val="FFFFFF"/>
        </w:rPr>
        <w:t>Performance Under Our Long-Term Incentive Program</w:t>
      </w:r>
    </w:p>
    <w:p>
      <w:pPr>
        <w:spacing w:after="0" w:line="154"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b w:val="1"/>
          <w:bCs w:val="1"/>
          <w:color w:val="0171B9"/>
        </w:rPr>
        <w:t>Our LTI compensation plan is tied directly to our stock performance and key annual operational metrics and aligns with long-term value creation for our stockholders.</w:t>
      </w:r>
    </w:p>
    <w:p>
      <w:pPr>
        <w:spacing w:after="0" w:line="85"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80% of our annual LTI equity award grants are performance-based, aligning compensation with long-term value creation for our stockholders. Performance units comprise 50% of our annual LTI equity award grants. The goal design and all measurement targets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 xml:space="preserve">established at the beginning of each three-year performance period and, for the 2020-2022 performance period, were earned based on our performance as measured against pre-established annual targets for the equally weighted non-GAAP operating measures of EPS growth and return on invested capital, or ROIC, with a three-year relative TSR modifier of </w:t>
      </w:r>
      <w:r>
        <w:rPr>
          <w:rFonts w:ascii="Arial" w:cs="Arial" w:eastAsia="Arial" w:hAnsi="Arial"/>
          <w:sz w:val="12"/>
          <w:szCs w:val="12"/>
          <w:color w:val="auto"/>
        </w:rPr>
        <w:t>+</w:t>
      </w:r>
      <w:r>
        <w:rPr>
          <w:rFonts w:ascii="Arial" w:cs="Arial" w:eastAsia="Arial" w:hAnsi="Arial"/>
          <w:sz w:val="17"/>
          <w:szCs w:val="17"/>
          <w:color w:val="auto"/>
        </w:rPr>
        <w:t>/-30 percentage points. ROIC was included as a measure and rigorous targets were set to reflect our ongoing focus on remaining operationally disciplined in our management of our capital. However, during the performance period, we took advantage of several important acquisition opportunities, including Five Prime Therapeutics, Teneobio, Inc., and ChemoCentryx, that we believed were important to support the Company’s business and longer-term performance, but that negatively impacted our ROIC for the performance period. For the 2020-2022 performance period, our ROIC operating measure performance was below target (94%). However, as we delivered strong three-year average EPS growth (126.9%) for the performance period, when both measures were averaged, our total operating measures score was 110.4%.</w:t>
      </w:r>
    </w:p>
    <w:p>
      <w:pPr>
        <w:spacing w:after="0" w:line="94" w:lineRule="exact"/>
        <w:rPr>
          <w:sz w:val="20"/>
          <w:szCs w:val="20"/>
          <w:color w:val="auto"/>
        </w:rPr>
      </w:pPr>
    </w:p>
    <w:p>
      <w:pPr>
        <w:jc w:val="both"/>
        <w:ind w:right="20"/>
        <w:spacing w:after="0"/>
        <w:rPr>
          <w:sz w:val="20"/>
          <w:szCs w:val="20"/>
          <w:color w:val="auto"/>
        </w:rPr>
      </w:pPr>
      <w:r>
        <w:rPr>
          <w:rFonts w:ascii="Arial" w:cs="Arial" w:eastAsia="Arial" w:hAnsi="Arial"/>
          <w:sz w:val="17"/>
          <w:szCs w:val="17"/>
          <w:color w:val="auto"/>
        </w:rPr>
        <w:t>Target TSR performance over the three-year performance period is set at the 50</w:t>
      </w:r>
      <w:r>
        <w:rPr>
          <w:rFonts w:ascii="Arial" w:cs="Arial" w:eastAsia="Arial" w:hAnsi="Arial"/>
          <w:sz w:val="12"/>
          <w:szCs w:val="12"/>
          <w:color w:val="auto"/>
        </w:rPr>
        <w:t>th</w:t>
      </w:r>
      <w:r>
        <w:rPr>
          <w:rFonts w:ascii="Arial" w:cs="Arial" w:eastAsia="Arial" w:hAnsi="Arial"/>
          <w:sz w:val="17"/>
          <w:szCs w:val="17"/>
          <w:color w:val="auto"/>
        </w:rPr>
        <w:t xml:space="preserve"> percentile relative to the TSRs of the companies in the S&amp;P 500. For relative TSR performance below the 50</w:t>
      </w:r>
      <w:r>
        <w:rPr>
          <w:rFonts w:ascii="Arial" w:cs="Arial" w:eastAsia="Arial" w:hAnsi="Arial"/>
          <w:sz w:val="12"/>
          <w:szCs w:val="12"/>
          <w:color w:val="auto"/>
        </w:rPr>
        <w:t>th</w:t>
      </w:r>
      <w:r>
        <w:rPr>
          <w:rFonts w:ascii="Arial" w:cs="Arial" w:eastAsia="Arial" w:hAnsi="Arial"/>
          <w:sz w:val="17"/>
          <w:szCs w:val="17"/>
          <w:color w:val="auto"/>
        </w:rPr>
        <w:t xml:space="preserve"> percentile, there is a reduction in the total percentage of performance units earned for the performance period. Our TSR performance ranking relative to the TSRs of the companies in the S&amp;P 500 for the three-year performance period ranked at the 32</w:t>
      </w:r>
      <w:r>
        <w:rPr>
          <w:rFonts w:ascii="Arial" w:cs="Arial" w:eastAsia="Arial" w:hAnsi="Arial"/>
          <w:sz w:val="12"/>
          <w:szCs w:val="12"/>
          <w:color w:val="auto"/>
        </w:rPr>
        <w:t>nd</w:t>
      </w:r>
      <w:r>
        <w:rPr>
          <w:rFonts w:ascii="Arial" w:cs="Arial" w:eastAsia="Arial" w:hAnsi="Arial"/>
          <w:sz w:val="17"/>
          <w:szCs w:val="17"/>
          <w:color w:val="auto"/>
        </w:rPr>
        <w:t xml:space="preserve"> percentile of S&amp;P 500 companies and resulted in a TSR modifier for the 2020-2022 performance period of -21.5 percentage points for a payout of 88.9% of performance units granted. A detailed depiction of our performance under these operating measures and the resulting calculation is on the next page.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1134745</wp:posOffset>
            </wp:positionH>
            <wp:positionV relativeFrom="paragraph">
              <wp:posOffset>-162560</wp:posOffset>
            </wp:positionV>
            <wp:extent cx="58293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2">
            <w:col w:w="5400" w:space="340"/>
            <w:col w:w="5400"/>
          </w:cols>
          <w:pgMar w:left="320" w:top="486" w:right="4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6960"/>
        <w:spacing w:after="0"/>
        <w:rPr>
          <w:sz w:val="20"/>
          <w:szCs w:val="20"/>
          <w:color w:val="auto"/>
        </w:rPr>
      </w:pPr>
      <w:r>
        <w:rPr>
          <w:rFonts w:ascii="Arial" w:cs="Arial" w:eastAsia="Arial" w:hAnsi="Arial"/>
          <w:sz w:val="21"/>
          <w:szCs w:val="21"/>
          <w:b w:val="1"/>
          <w:bCs w:val="1"/>
          <w:color w:val="FFFFFF"/>
          <w:shd w:val="clear" w:color="auto" w:fill="0171B9"/>
        </w:rPr>
        <w:t>Compensation Discussion and Analysis</w:t>
      </w:r>
    </w:p>
    <w:p>
      <w:pPr>
        <w:spacing w:after="0" w:line="35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2020-2022 Performance Period Goal Design and Award Calculation</w:t>
      </w:r>
    </w:p>
    <w:p>
      <w:pPr>
        <w:spacing w:after="0" w:line="94" w:lineRule="exact"/>
        <w:rPr>
          <w:sz w:val="20"/>
          <w:szCs w:val="20"/>
          <w:color w:val="auto"/>
        </w:rPr>
      </w:pPr>
    </w:p>
    <w:p>
      <w:pPr>
        <w:jc w:val="center"/>
        <w:ind w:left="460" w:right="700"/>
        <w:spacing w:after="0" w:line="241" w:lineRule="auto"/>
        <w:rPr>
          <w:sz w:val="20"/>
          <w:szCs w:val="20"/>
          <w:color w:val="auto"/>
        </w:rPr>
      </w:pPr>
      <w:r>
        <w:rPr>
          <w:rFonts w:ascii="Arial" w:cs="Arial" w:eastAsia="Arial" w:hAnsi="Arial"/>
          <w:sz w:val="20"/>
          <w:szCs w:val="20"/>
          <w:b w:val="1"/>
          <w:bCs w:val="1"/>
          <w:color w:val="0171B9"/>
        </w:rPr>
        <w:t>All operating measures and goals were established at the beginning of the three-year performance period and no alterations were made to respond to changing business conditions (i.e., the occurrence or challenges of the pandemic).</w:t>
      </w:r>
    </w:p>
    <w:p>
      <w:pPr>
        <w:spacing w:after="0" w:line="85"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The Compensation Committee constructed the 2020-2022 performance period (January 1, 2020 to December 31, 2022) design retaining the same two operating measures as the 2019-2021 performance period of non-GAAP EPS growth and ROIC weighted equally in each year (one-half per measure) and relative TSR modifier (</w:t>
      </w:r>
      <w:r>
        <w:rPr>
          <w:rFonts w:ascii="Arial" w:cs="Arial" w:eastAsia="Arial" w:hAnsi="Arial"/>
          <w:sz w:val="12"/>
          <w:szCs w:val="12"/>
          <w:color w:val="auto"/>
        </w:rPr>
        <w:t>+</w:t>
      </w:r>
      <w:r>
        <w:rPr>
          <w:rFonts w:ascii="Arial" w:cs="Arial" w:eastAsia="Arial" w:hAnsi="Arial"/>
          <w:sz w:val="17"/>
          <w:szCs w:val="17"/>
          <w:color w:val="auto"/>
        </w:rPr>
        <w:t>/-30 percentage points). The TSR modifier cannot exceed target (100%) regardless of our relative TSR performance if our absolute TSR over the performance period is less than zero.</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2022 Operating Measures and Performance for the 2020-2022 Performance Period</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Borders>
              <w:right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jc w:val="center"/>
              <w:spacing w:after="0" w:line="163" w:lineRule="exact"/>
              <w:rPr>
                <w:sz w:val="20"/>
                <w:szCs w:val="20"/>
                <w:color w:val="auto"/>
              </w:rPr>
            </w:pPr>
            <w:r>
              <w:rPr>
                <w:rFonts w:ascii="Arial" w:cs="Arial" w:eastAsia="Arial" w:hAnsi="Arial"/>
                <w:sz w:val="13"/>
                <w:szCs w:val="13"/>
                <w:b w:val="1"/>
                <w:bCs w:val="1"/>
                <w:color w:val="auto"/>
              </w:rPr>
              <w:t>Non-GAAP</w:t>
            </w:r>
            <w:r>
              <w:rPr>
                <w:rFonts w:ascii="Arial" w:cs="Arial" w:eastAsia="Arial" w:hAnsi="Arial"/>
                <w:sz w:val="18"/>
                <w:szCs w:val="18"/>
                <w:b w:val="1"/>
                <w:bCs w:val="1"/>
                <w:color w:val="auto"/>
                <w:vertAlign w:val="superscript"/>
              </w:rPr>
              <w:t>(1)</w:t>
            </w:r>
          </w:p>
        </w:tc>
        <w:tc>
          <w:tcPr>
            <w:tcW w:w="860" w:type="dxa"/>
            <w:vAlign w:val="bottom"/>
            <w:tcBorders>
              <w:top w:val="single" w:sz="8" w:color="auto"/>
              <w:righ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auto"/>
              <w:right w:val="single" w:sz="8" w:color="auto"/>
            </w:tcBorders>
          </w:tcPr>
          <w:p>
            <w:pPr>
              <w:spacing w:after="0"/>
              <w:rPr>
                <w:sz w:val="14"/>
                <w:szCs w:val="14"/>
                <w:color w:val="auto"/>
              </w:rPr>
            </w:pPr>
          </w:p>
        </w:tc>
        <w:tc>
          <w:tcPr>
            <w:tcW w:w="960" w:type="dxa"/>
            <w:vAlign w:val="bottom"/>
            <w:tcBorders>
              <w:top w:val="single" w:sz="8" w:color="auto"/>
              <w:right w:val="single" w:sz="8" w:color="auto"/>
            </w:tcBorders>
          </w:tcPr>
          <w:p>
            <w:pPr>
              <w:spacing w:after="0"/>
              <w:rPr>
                <w:sz w:val="14"/>
                <w:szCs w:val="14"/>
                <w:color w:val="auto"/>
              </w:rPr>
            </w:pPr>
          </w:p>
        </w:tc>
        <w:tc>
          <w:tcPr>
            <w:tcW w:w="980" w:type="dxa"/>
            <w:vAlign w:val="bottom"/>
            <w:tcBorders>
              <w:top w:val="single" w:sz="8" w:color="auto"/>
              <w:right w:val="single" w:sz="8" w:color="auto"/>
            </w:tcBorders>
          </w:tcPr>
          <w:p>
            <w:pPr>
              <w:spacing w:after="0"/>
              <w:rPr>
                <w:sz w:val="14"/>
                <w:szCs w:val="14"/>
                <w:color w:val="auto"/>
              </w:rPr>
            </w:pPr>
          </w:p>
        </w:tc>
        <w:tc>
          <w:tcPr>
            <w:tcW w:w="1260" w:type="dxa"/>
            <w:vAlign w:val="bottom"/>
            <w:tcBorders>
              <w:top w:val="single" w:sz="8" w:color="auto"/>
              <w:right w:val="single" w:sz="8" w:color="auto"/>
            </w:tcBorders>
            <w:shd w:val="clear" w:color="auto" w:fill="0171B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Operating</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Minimum</w:t>
            </w:r>
          </w:p>
        </w:tc>
        <w:tc>
          <w:tcPr>
            <w:tcW w:w="160" w:type="dxa"/>
            <w:vAlign w:val="bottom"/>
          </w:tcPr>
          <w:p>
            <w:pPr>
              <w:spacing w:after="0"/>
              <w:rPr>
                <w:sz w:val="14"/>
                <w:szCs w:val="14"/>
                <w:color w:val="auto"/>
              </w:rPr>
            </w:pPr>
          </w:p>
        </w:tc>
        <w:tc>
          <w:tcPr>
            <w:tcW w:w="760" w:type="dxa"/>
            <w:vAlign w:val="bottom"/>
            <w:tcBorders>
              <w:right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Low</w:t>
            </w:r>
          </w:p>
        </w:tc>
        <w:tc>
          <w:tcPr>
            <w:tcW w:w="140" w:type="dxa"/>
            <w:vAlign w:val="bottom"/>
            <w:gridSpan w:val="2"/>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rPr>
              <w:t>Target</w:t>
            </w:r>
          </w:p>
        </w:tc>
        <w:tc>
          <w:tcPr>
            <w:tcW w:w="14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ind w:left="320"/>
              <w:spacing w:after="0"/>
              <w:rPr>
                <w:sz w:val="20"/>
                <w:szCs w:val="20"/>
                <w:color w:val="auto"/>
              </w:rPr>
            </w:pPr>
            <w:r>
              <w:rPr>
                <w:rFonts w:ascii="Arial" w:cs="Arial" w:eastAsia="Arial" w:hAnsi="Arial"/>
                <w:sz w:val="14"/>
                <w:szCs w:val="14"/>
                <w:b w:val="1"/>
                <w:bCs w:val="1"/>
                <w:color w:val="auto"/>
              </w:rPr>
              <w:t>High</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260" w:type="dxa"/>
            <w:vAlign w:val="bottom"/>
            <w:tcBorders>
              <w:right w:val="single" w:sz="8" w:color="auto"/>
            </w:tcBorders>
            <w:shd w:val="clear" w:color="auto" w:fill="0171B9"/>
          </w:tcPr>
          <w:p>
            <w:pPr>
              <w:jc w:val="center"/>
              <w:spacing w:after="0"/>
              <w:rPr>
                <w:sz w:val="20"/>
                <w:szCs w:val="20"/>
                <w:color w:val="auto"/>
              </w:rPr>
            </w:pPr>
            <w:r>
              <w:rPr>
                <w:rFonts w:ascii="Arial" w:cs="Arial" w:eastAsia="Arial" w:hAnsi="Arial"/>
                <w:sz w:val="14"/>
                <w:szCs w:val="14"/>
                <w:b w:val="1"/>
                <w:bCs w:val="1"/>
                <w:color w:val="FFFFFF"/>
              </w:rPr>
              <w:t>2022</w:t>
            </w:r>
          </w:p>
        </w:tc>
        <w:tc>
          <w:tcPr>
            <w:tcW w:w="0" w:type="dxa"/>
            <w:vAlign w:val="bottom"/>
          </w:tcPr>
          <w:p>
            <w:pPr>
              <w:spacing w:after="0"/>
              <w:rPr>
                <w:sz w:val="1"/>
                <w:szCs w:val="1"/>
                <w:color w:val="auto"/>
              </w:rPr>
            </w:pPr>
          </w:p>
        </w:tc>
      </w:tr>
      <w:tr>
        <w:trPr>
          <w:trHeight w:val="189"/>
        </w:trPr>
        <w:tc>
          <w:tcPr>
            <w:tcW w:w="440" w:type="dxa"/>
            <w:vAlign w:val="bottom"/>
            <w:tcBorders>
              <w:bottom w:val="single" w:sz="8" w:color="31485D"/>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Measures</w:t>
            </w:r>
          </w:p>
        </w:tc>
        <w:tc>
          <w:tcPr>
            <w:tcW w:w="860" w:type="dxa"/>
            <w:vAlign w:val="bottom"/>
            <w:tcBorders>
              <w:bottom w:val="single" w:sz="8" w:color="auto"/>
              <w:right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(80%)</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(100%)</w:t>
            </w:r>
          </w:p>
        </w:tc>
        <w:tc>
          <w:tcPr>
            <w:tcW w:w="1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(120%)</w:t>
            </w:r>
          </w:p>
        </w:tc>
        <w:tc>
          <w:tcPr>
            <w:tcW w:w="98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(170%)</w:t>
            </w:r>
          </w:p>
        </w:tc>
        <w:tc>
          <w:tcPr>
            <w:tcW w:w="1260" w:type="dxa"/>
            <w:vAlign w:val="bottom"/>
            <w:tcBorders>
              <w:bottom w:val="single" w:sz="8" w:color="auto"/>
              <w:right w:val="single" w:sz="8" w:color="auto"/>
            </w:tcBorders>
            <w:shd w:val="clear" w:color="auto" w:fill="0171B9"/>
          </w:tcPr>
          <w:p>
            <w:pPr>
              <w:ind w:left="160"/>
              <w:spacing w:after="0"/>
              <w:rPr>
                <w:sz w:val="20"/>
                <w:szCs w:val="20"/>
                <w:color w:val="auto"/>
              </w:rPr>
            </w:pPr>
            <w:r>
              <w:rPr>
                <w:rFonts w:ascii="Arial" w:cs="Arial" w:eastAsia="Arial" w:hAnsi="Arial"/>
                <w:sz w:val="14"/>
                <w:szCs w:val="14"/>
                <w:b w:val="1"/>
                <w:bCs w:val="1"/>
                <w:color w:val="FFFFFF"/>
              </w:rPr>
              <w:t>Performance</w:t>
            </w:r>
          </w:p>
        </w:tc>
        <w:tc>
          <w:tcPr>
            <w:tcW w:w="0" w:type="dxa"/>
            <w:vAlign w:val="bottom"/>
          </w:tcPr>
          <w:p>
            <w:pPr>
              <w:spacing w:after="0"/>
              <w:rPr>
                <w:sz w:val="1"/>
                <w:szCs w:val="1"/>
                <w:color w:val="auto"/>
              </w:rPr>
            </w:pPr>
          </w:p>
        </w:tc>
      </w:tr>
      <w:tr>
        <w:trPr>
          <w:trHeight w:val="344"/>
        </w:trPr>
        <w:tc>
          <w:tcPr>
            <w:tcW w:w="440" w:type="dxa"/>
            <w:vAlign w:val="bottom"/>
            <w:tcBorders>
              <w:right w:val="single" w:sz="8" w:color="auto"/>
            </w:tcBorders>
            <w:shd w:val="clear" w:color="auto" w:fill="31485D"/>
          </w:tcPr>
          <w:p>
            <w:pPr>
              <w:spacing w:after="0"/>
              <w:rPr>
                <w:sz w:val="24"/>
                <w:szCs w:val="24"/>
                <w:color w:val="auto"/>
              </w:rPr>
            </w:pPr>
          </w:p>
        </w:tc>
        <w:tc>
          <w:tcPr>
            <w:tcW w:w="1200" w:type="dxa"/>
            <w:vAlign w:val="bottom"/>
            <w:tcBorders>
              <w:right w:val="single" w:sz="8" w:color="auto"/>
            </w:tcBorders>
            <w:shd w:val="clear" w:color="auto" w:fill="0171B9"/>
          </w:tcPr>
          <w:p>
            <w:pPr>
              <w:jc w:val="center"/>
              <w:spacing w:after="0"/>
              <w:rPr>
                <w:sz w:val="20"/>
                <w:szCs w:val="20"/>
                <w:color w:val="auto"/>
              </w:rPr>
            </w:pPr>
            <w:r>
              <w:rPr>
                <w:rFonts w:ascii="Arial" w:cs="Arial" w:eastAsia="Arial" w:hAnsi="Arial"/>
                <w:sz w:val="16"/>
                <w:szCs w:val="16"/>
                <w:b w:val="1"/>
                <w:bCs w:val="1"/>
                <w:color w:val="FFFFFF"/>
              </w:rPr>
              <w:t>EPS Growth</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≤$8.50</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8"/>
              </w:rPr>
              <w:t>$10.50</w:t>
            </w:r>
          </w:p>
        </w:tc>
        <w:tc>
          <w:tcPr>
            <w:tcW w:w="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rPr>
              <w:t>$17.31</w:t>
            </w:r>
          </w:p>
        </w:tc>
        <w:tc>
          <w:tcPr>
            <w:tcW w:w="14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right"/>
              <w:ind w:right="142"/>
              <w:spacing w:after="0"/>
              <w:rPr>
                <w:sz w:val="20"/>
                <w:szCs w:val="20"/>
                <w:color w:val="auto"/>
              </w:rPr>
            </w:pPr>
            <w:r>
              <w:rPr>
                <w:rFonts w:ascii="Arial" w:cs="Arial" w:eastAsia="Arial" w:hAnsi="Arial"/>
                <w:sz w:val="17"/>
                <w:szCs w:val="17"/>
                <w:color w:val="auto"/>
              </w:rPr>
              <w:t>$19.60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≥$21.60</w:t>
            </w:r>
          </w:p>
        </w:tc>
        <w:tc>
          <w:tcPr>
            <w:tcW w:w="1260" w:type="dxa"/>
            <w:vAlign w:val="bottom"/>
            <w:tcBorders>
              <w:right w:val="single" w:sz="8" w:color="auto"/>
            </w:tcBorders>
            <w:vMerge w:val="restart"/>
            <w:shd w:val="clear" w:color="auto" w:fill="D8E9F4"/>
          </w:tcPr>
          <w:p>
            <w:pPr>
              <w:jc w:val="center"/>
              <w:spacing w:after="0"/>
              <w:rPr>
                <w:sz w:val="20"/>
                <w:szCs w:val="20"/>
                <w:color w:val="auto"/>
              </w:rPr>
            </w:pPr>
            <w:r>
              <w:rPr>
                <w:rFonts w:ascii="Arial" w:cs="Arial" w:eastAsia="Arial" w:hAnsi="Arial"/>
                <w:sz w:val="16"/>
                <w:szCs w:val="16"/>
                <w:b w:val="1"/>
                <w:bCs w:val="1"/>
                <w:color w:val="auto"/>
              </w:rPr>
              <w:t>99.6%</w:t>
            </w:r>
          </w:p>
        </w:tc>
        <w:tc>
          <w:tcPr>
            <w:tcW w:w="0" w:type="dxa"/>
            <w:vAlign w:val="bottom"/>
          </w:tcPr>
          <w:p>
            <w:pPr>
              <w:spacing w:after="0"/>
              <w:rPr>
                <w:sz w:val="1"/>
                <w:szCs w:val="1"/>
                <w:color w:val="auto"/>
              </w:rPr>
            </w:pPr>
          </w:p>
        </w:tc>
      </w:tr>
      <w:tr>
        <w:trPr>
          <w:trHeight w:val="54"/>
        </w:trPr>
        <w:tc>
          <w:tcPr>
            <w:tcW w:w="440" w:type="dxa"/>
            <w:vAlign w:val="bottom"/>
            <w:tcBorders>
              <w:bottom w:val="single" w:sz="8" w:color="31485D"/>
              <w:right w:val="single" w:sz="8" w:color="auto"/>
            </w:tcBorders>
            <w:shd w:val="clear" w:color="auto" w:fill="31485D"/>
          </w:tcPr>
          <w:p>
            <w:pPr>
              <w:spacing w:after="0"/>
              <w:rPr>
                <w:sz w:val="4"/>
                <w:szCs w:val="4"/>
                <w:color w:val="auto"/>
              </w:rPr>
            </w:pPr>
          </w:p>
        </w:tc>
        <w:tc>
          <w:tcPr>
            <w:tcW w:w="1200" w:type="dxa"/>
            <w:vAlign w:val="bottom"/>
            <w:tcBorders>
              <w:bottom w:val="single" w:sz="8" w:color="0171B9"/>
              <w:right w:val="single" w:sz="8" w:color="auto"/>
            </w:tcBorders>
            <w:vMerge w:val="restart"/>
            <w:shd w:val="clear" w:color="auto" w:fill="0171B9"/>
          </w:tcPr>
          <w:p>
            <w:pPr>
              <w:jc w:val="right"/>
              <w:ind w:right="424"/>
              <w:spacing w:after="0"/>
              <w:rPr>
                <w:sz w:val="20"/>
                <w:szCs w:val="20"/>
                <w:color w:val="auto"/>
              </w:rPr>
            </w:pPr>
            <w:r>
              <w:rPr>
                <w:rFonts w:ascii="Arial" w:cs="Arial" w:eastAsia="Arial" w:hAnsi="Arial"/>
                <w:sz w:val="16"/>
                <w:szCs w:val="16"/>
                <w:color w:val="FFFFFF"/>
              </w:rPr>
              <w:t>($)</w:t>
            </w:r>
          </w:p>
        </w:tc>
        <w:tc>
          <w:tcPr>
            <w:tcW w:w="86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bottom w:val="single" w:sz="8" w:color="0171B9"/>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0171B9"/>
              <w:right w:val="single" w:sz="8" w:color="auto"/>
            </w:tcBorders>
          </w:tcPr>
          <w:p>
            <w:pPr>
              <w:spacing w:after="0"/>
              <w:rPr>
                <w:sz w:val="4"/>
                <w:szCs w:val="4"/>
                <w:color w:val="auto"/>
              </w:rPr>
            </w:pPr>
          </w:p>
        </w:tc>
        <w:tc>
          <w:tcPr>
            <w:tcW w:w="100" w:type="dxa"/>
            <w:vAlign w:val="bottom"/>
            <w:tcBorders>
              <w:bottom w:val="single" w:sz="8" w:color="0171B9"/>
            </w:tcBorders>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bottom w:val="single" w:sz="8" w:color="0171B9"/>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980" w:type="dxa"/>
            <w:vAlign w:val="bottom"/>
            <w:tcBorders>
              <w:right w:val="single" w:sz="8" w:color="auto"/>
            </w:tcBorders>
          </w:tcPr>
          <w:p>
            <w:pPr>
              <w:spacing w:after="0"/>
              <w:rPr>
                <w:sz w:val="4"/>
                <w:szCs w:val="4"/>
                <w:color w:val="auto"/>
              </w:rPr>
            </w:pPr>
          </w:p>
        </w:tc>
        <w:tc>
          <w:tcPr>
            <w:tcW w:w="1260" w:type="dxa"/>
            <w:vAlign w:val="bottom"/>
            <w:tcBorders>
              <w:bottom w:val="single" w:sz="8" w:color="D8E9F4"/>
              <w:right w:val="single" w:sz="8" w:color="auto"/>
            </w:tcBorders>
            <w:vMerge w:val="continue"/>
            <w:shd w:val="clear" w:color="auto" w:fill="D8E9F4"/>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440" w:type="dxa"/>
            <w:vAlign w:val="bottom"/>
            <w:tcBorders>
              <w:right w:val="single" w:sz="8" w:color="auto"/>
            </w:tcBorders>
            <w:shd w:val="clear" w:color="auto" w:fill="31485D"/>
          </w:tcPr>
          <w:p>
            <w:pPr>
              <w:spacing w:after="0"/>
              <w:rPr>
                <w:sz w:val="10"/>
                <w:szCs w:val="10"/>
                <w:color w:val="auto"/>
              </w:rPr>
            </w:pPr>
          </w:p>
        </w:tc>
        <w:tc>
          <w:tcPr>
            <w:tcW w:w="1200" w:type="dxa"/>
            <w:vAlign w:val="bottom"/>
            <w:tcBorders>
              <w:right w:val="single" w:sz="8" w:color="auto"/>
            </w:tcBorders>
            <w:vMerge w:val="continue"/>
            <w:shd w:val="clear" w:color="auto" w:fill="0171B9"/>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6"/>
            <w:vMerge w:val="restart"/>
          </w:tcPr>
          <w:p>
            <w:pPr>
              <w:ind w:left="220"/>
              <w:spacing w:after="0"/>
              <w:rPr>
                <w:sz w:val="20"/>
                <w:szCs w:val="20"/>
                <w:color w:val="auto"/>
              </w:rPr>
            </w:pPr>
            <w:r>
              <w:rPr>
                <w:rFonts w:ascii="Arial" w:cs="Arial" w:eastAsia="Arial" w:hAnsi="Arial"/>
                <w:sz w:val="16"/>
                <w:szCs w:val="16"/>
                <w:color w:val="0171B9"/>
              </w:rPr>
              <w:t>($17.18 actual)</w:t>
            </w:r>
          </w:p>
        </w:tc>
        <w:tc>
          <w:tcPr>
            <w:tcW w:w="1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shd w:val="clear" w:color="auto" w:fill="D8E9F4"/>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40" w:type="dxa"/>
            <w:vAlign w:val="bottom"/>
            <w:tcBorders>
              <w:bottom w:val="single" w:sz="8" w:color="31485D"/>
              <w:right w:val="single" w:sz="8" w:color="auto"/>
            </w:tcBorders>
            <w:shd w:val="clear" w:color="auto" w:fill="31485D"/>
          </w:tcPr>
          <w:p>
            <w:pPr>
              <w:spacing w:after="0"/>
              <w:rPr>
                <w:sz w:val="13"/>
                <w:szCs w:val="13"/>
                <w:color w:val="auto"/>
              </w:rPr>
            </w:pPr>
          </w:p>
        </w:tc>
        <w:tc>
          <w:tcPr>
            <w:tcW w:w="1200" w:type="dxa"/>
            <w:vAlign w:val="bottom"/>
            <w:tcBorders>
              <w:bottom w:val="single" w:sz="8" w:color="auto"/>
              <w:right w:val="single" w:sz="8" w:color="auto"/>
            </w:tcBorders>
            <w:shd w:val="clear" w:color="auto" w:fill="0171B9"/>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6"/>
            <w:vMerge w:val="continue"/>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shd w:val="clear" w:color="auto" w:fill="D8E9F4"/>
          </w:tcPr>
          <w:p>
            <w:pPr>
              <w:spacing w:after="0"/>
              <w:rPr>
                <w:sz w:val="13"/>
                <w:szCs w:val="13"/>
                <w:color w:val="auto"/>
              </w:rPr>
            </w:pPr>
          </w:p>
        </w:tc>
        <w:tc>
          <w:tcPr>
            <w:tcW w:w="0" w:type="dxa"/>
            <w:vAlign w:val="bottom"/>
          </w:tcPr>
          <w:p>
            <w:pPr>
              <w:spacing w:after="0"/>
              <w:rPr>
                <w:sz w:val="1"/>
                <w:szCs w:val="1"/>
                <w:color w:val="auto"/>
              </w:rPr>
            </w:pPr>
          </w:p>
        </w:tc>
      </w:tr>
      <w:tr>
        <w:trPr>
          <w:trHeight w:val="409"/>
        </w:trPr>
        <w:tc>
          <w:tcPr>
            <w:tcW w:w="440" w:type="dxa"/>
            <w:vAlign w:val="bottom"/>
            <w:tcBorders>
              <w:bottom w:val="single" w:sz="8" w:color="31485D"/>
              <w:right w:val="single" w:sz="8" w:color="auto"/>
            </w:tcBorders>
            <w:shd w:val="clear" w:color="auto" w:fill="31485D"/>
          </w:tcPr>
          <w:p>
            <w:pPr>
              <w:spacing w:after="0"/>
              <w:rPr>
                <w:sz w:val="24"/>
                <w:szCs w:val="24"/>
                <w:color w:val="auto"/>
              </w:rPr>
            </w:pPr>
          </w:p>
        </w:tc>
        <w:tc>
          <w:tcPr>
            <w:tcW w:w="1200" w:type="dxa"/>
            <w:vAlign w:val="bottom"/>
            <w:tcBorders>
              <w:bottom w:val="single" w:sz="8" w:color="80B8DC"/>
              <w:right w:val="single" w:sz="8" w:color="auto"/>
            </w:tcBorders>
            <w:shd w:val="clear" w:color="auto" w:fill="80B8DC"/>
          </w:tcPr>
          <w:p>
            <w:pPr>
              <w:jc w:val="center"/>
              <w:spacing w:after="0"/>
              <w:rPr>
                <w:sz w:val="20"/>
                <w:szCs w:val="20"/>
                <w:color w:val="auto"/>
              </w:rPr>
            </w:pPr>
            <w:r>
              <w:rPr>
                <w:rFonts w:ascii="Arial" w:cs="Arial" w:eastAsia="Arial" w:hAnsi="Arial"/>
                <w:sz w:val="16"/>
                <w:szCs w:val="16"/>
                <w:b w:val="1"/>
                <w:bCs w:val="1"/>
                <w:color w:val="FFFFFF"/>
                <w:w w:val="90"/>
              </w:rPr>
              <w:t>ROIC</w:t>
            </w:r>
            <w:r>
              <w:rPr>
                <w:rFonts w:ascii="Arial" w:cs="Arial" w:eastAsia="Arial" w:hAnsi="Arial"/>
                <w:sz w:val="24"/>
                <w:szCs w:val="24"/>
                <w:b w:val="1"/>
                <w:bCs w:val="1"/>
                <w:color w:val="FFFFFF"/>
                <w:w w:val="90"/>
                <w:vertAlign w:val="superscript"/>
              </w:rPr>
              <w:t>(2)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≤15%</w:t>
            </w:r>
          </w:p>
        </w:tc>
        <w:tc>
          <w:tcPr>
            <w:tcW w:w="160" w:type="dxa"/>
            <w:vAlign w:val="bottom"/>
          </w:tcPr>
          <w:p>
            <w:pPr>
              <w:spacing w:after="0"/>
              <w:rPr>
                <w:sz w:val="24"/>
                <w:szCs w:val="24"/>
                <w:color w:val="auto"/>
              </w:rPr>
            </w:pPr>
          </w:p>
        </w:tc>
        <w:tc>
          <w:tcPr>
            <w:tcW w:w="580" w:type="dxa"/>
            <w:vAlign w:val="bottom"/>
            <w:tcBorders>
              <w:bottom w:val="single" w:sz="8" w:color="0171B9"/>
            </w:tcBorders>
          </w:tcPr>
          <w:p>
            <w:pPr>
              <w:jc w:val="center"/>
              <w:spacing w:after="0"/>
              <w:rPr>
                <w:sz w:val="20"/>
                <w:szCs w:val="20"/>
                <w:color w:val="auto"/>
              </w:rPr>
            </w:pPr>
            <w:r>
              <w:rPr>
                <w:rFonts w:ascii="Arial" w:cs="Arial" w:eastAsia="Arial" w:hAnsi="Arial"/>
                <w:sz w:val="16"/>
                <w:szCs w:val="16"/>
                <w:color w:val="auto"/>
                <w:w w:val="99"/>
              </w:rPr>
              <w:t>17%</w:t>
            </w:r>
          </w:p>
        </w:tc>
        <w:tc>
          <w:tcPr>
            <w:tcW w:w="40" w:type="dxa"/>
            <w:vAlign w:val="bottom"/>
          </w:tcPr>
          <w:p>
            <w:pPr>
              <w:spacing w:after="0"/>
              <w:rPr>
                <w:sz w:val="24"/>
                <w:szCs w:val="24"/>
                <w:color w:val="auto"/>
              </w:rPr>
            </w:pPr>
          </w:p>
        </w:tc>
        <w:tc>
          <w:tcPr>
            <w:tcW w:w="140" w:type="dxa"/>
            <w:vAlign w:val="bottom"/>
            <w:tcBorders>
              <w:bottom w:val="single" w:sz="8" w:color="0171B9"/>
              <w:right w:val="single" w:sz="8" w:color="auto"/>
            </w:tcBorders>
          </w:tcPr>
          <w:p>
            <w:pPr>
              <w:spacing w:after="0"/>
              <w:rPr>
                <w:sz w:val="24"/>
                <w:szCs w:val="24"/>
                <w:color w:val="auto"/>
              </w:rPr>
            </w:pPr>
          </w:p>
        </w:tc>
        <w:tc>
          <w:tcPr>
            <w:tcW w:w="100" w:type="dxa"/>
            <w:vAlign w:val="bottom"/>
            <w:tcBorders>
              <w:bottom w:val="single" w:sz="8" w:color="0171B9"/>
            </w:tcBorders>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171B9"/>
            </w:tcBorders>
          </w:tcPr>
          <w:p>
            <w:pPr>
              <w:jc w:val="center"/>
              <w:spacing w:after="0"/>
              <w:rPr>
                <w:sz w:val="20"/>
                <w:szCs w:val="20"/>
                <w:color w:val="auto"/>
              </w:rPr>
            </w:pPr>
            <w:r>
              <w:rPr>
                <w:rFonts w:ascii="Arial" w:cs="Arial" w:eastAsia="Arial" w:hAnsi="Arial"/>
                <w:sz w:val="16"/>
                <w:szCs w:val="16"/>
                <w:color w:val="auto"/>
                <w:w w:val="99"/>
              </w:rPr>
              <w:t>25%</w:t>
            </w:r>
          </w:p>
        </w:tc>
        <w:tc>
          <w:tcPr>
            <w:tcW w:w="14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right"/>
              <w:ind w:right="242"/>
              <w:spacing w:after="0"/>
              <w:rPr>
                <w:sz w:val="20"/>
                <w:szCs w:val="20"/>
                <w:color w:val="auto"/>
              </w:rPr>
            </w:pPr>
            <w:r>
              <w:rPr>
                <w:rFonts w:ascii="Arial" w:cs="Arial" w:eastAsia="Arial" w:hAnsi="Arial"/>
                <w:sz w:val="16"/>
                <w:szCs w:val="16"/>
                <w:color w:val="auto"/>
              </w:rPr>
              <w:t>28%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≥30%</w:t>
            </w:r>
          </w:p>
        </w:tc>
        <w:tc>
          <w:tcPr>
            <w:tcW w:w="1260" w:type="dxa"/>
            <w:vAlign w:val="bottom"/>
            <w:tcBorders>
              <w:bottom w:val="single" w:sz="8" w:color="D8E9F4"/>
              <w:right w:val="single" w:sz="8" w:color="auto"/>
            </w:tcBorders>
            <w:shd w:val="clear" w:color="auto" w:fill="D8E9F4"/>
          </w:tcPr>
          <w:p>
            <w:pPr>
              <w:jc w:val="center"/>
              <w:spacing w:after="0"/>
              <w:rPr>
                <w:sz w:val="20"/>
                <w:szCs w:val="20"/>
                <w:color w:val="auto"/>
              </w:rPr>
            </w:pPr>
            <w:r>
              <w:rPr>
                <w:rFonts w:ascii="Arial" w:cs="Arial" w:eastAsia="Arial" w:hAnsi="Arial"/>
                <w:sz w:val="16"/>
                <w:szCs w:val="16"/>
                <w:b w:val="1"/>
                <w:bCs w:val="1"/>
                <w:color w:val="auto"/>
              </w:rPr>
              <w:t>95.2%</w:t>
            </w:r>
          </w:p>
        </w:tc>
        <w:tc>
          <w:tcPr>
            <w:tcW w:w="0" w:type="dxa"/>
            <w:vAlign w:val="bottom"/>
          </w:tcPr>
          <w:p>
            <w:pPr>
              <w:spacing w:after="0"/>
              <w:rPr>
                <w:sz w:val="1"/>
                <w:szCs w:val="1"/>
                <w:color w:val="auto"/>
              </w:rPr>
            </w:pPr>
          </w:p>
        </w:tc>
      </w:tr>
      <w:tr>
        <w:trPr>
          <w:trHeight w:val="168"/>
        </w:trPr>
        <w:tc>
          <w:tcPr>
            <w:tcW w:w="440" w:type="dxa"/>
            <w:vAlign w:val="bottom"/>
            <w:tcBorders>
              <w:right w:val="single" w:sz="8" w:color="auto"/>
            </w:tcBorders>
            <w:shd w:val="clear" w:color="auto" w:fill="31485D"/>
          </w:tcPr>
          <w:p>
            <w:pPr>
              <w:spacing w:after="0"/>
              <w:rPr>
                <w:sz w:val="14"/>
                <w:szCs w:val="14"/>
                <w:color w:val="auto"/>
              </w:rPr>
            </w:pPr>
          </w:p>
        </w:tc>
        <w:tc>
          <w:tcPr>
            <w:tcW w:w="1200" w:type="dxa"/>
            <w:vAlign w:val="bottom"/>
            <w:tcBorders>
              <w:right w:val="single" w:sz="8" w:color="auto"/>
            </w:tcBorders>
            <w:shd w:val="clear" w:color="auto" w:fill="80B8DC"/>
          </w:tcPr>
          <w:p>
            <w:pPr>
              <w:jc w:val="right"/>
              <w:ind w:right="384"/>
              <w:spacing w:after="0" w:line="168" w:lineRule="exact"/>
              <w:rPr>
                <w:sz w:val="20"/>
                <w:szCs w:val="20"/>
                <w:color w:val="auto"/>
              </w:rPr>
            </w:pPr>
            <w:r>
              <w:rPr>
                <w:rFonts w:ascii="Arial" w:cs="Arial" w:eastAsia="Arial" w:hAnsi="Arial"/>
                <w:sz w:val="16"/>
                <w:szCs w:val="16"/>
                <w:color w:val="FFFFFF"/>
              </w:rPr>
              <w:t>(%)</w:t>
            </w:r>
          </w:p>
        </w:tc>
        <w:tc>
          <w:tcPr>
            <w:tcW w:w="8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6"/>
            <w:vMerge w:val="restart"/>
          </w:tcPr>
          <w:p>
            <w:pPr>
              <w:ind w:left="220"/>
              <w:spacing w:after="0"/>
              <w:rPr>
                <w:sz w:val="20"/>
                <w:szCs w:val="20"/>
                <w:color w:val="auto"/>
              </w:rPr>
            </w:pPr>
            <w:r>
              <w:rPr>
                <w:rFonts w:ascii="Arial" w:cs="Arial" w:eastAsia="Arial" w:hAnsi="Arial"/>
                <w:sz w:val="16"/>
                <w:szCs w:val="16"/>
                <w:color w:val="0171B9"/>
              </w:rPr>
              <w:t>(23.1% actual)</w:t>
            </w:r>
          </w:p>
        </w:tc>
        <w:tc>
          <w:tcPr>
            <w:tcW w:w="14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shd w:val="clear" w:color="auto" w:fill="D8E9F4"/>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40" w:type="dxa"/>
            <w:vAlign w:val="bottom"/>
            <w:tcBorders>
              <w:bottom w:val="single" w:sz="8" w:color="31485D"/>
              <w:right w:val="single" w:sz="8" w:color="auto"/>
            </w:tcBorders>
            <w:shd w:val="clear" w:color="auto" w:fill="31485D"/>
          </w:tcPr>
          <w:p>
            <w:pPr>
              <w:spacing w:after="0"/>
              <w:rPr>
                <w:sz w:val="9"/>
                <w:szCs w:val="9"/>
                <w:color w:val="auto"/>
              </w:rPr>
            </w:pPr>
          </w:p>
        </w:tc>
        <w:tc>
          <w:tcPr>
            <w:tcW w:w="1200" w:type="dxa"/>
            <w:vAlign w:val="bottom"/>
            <w:tcBorders>
              <w:bottom w:val="single" w:sz="8" w:color="auto"/>
              <w:right w:val="single" w:sz="8" w:color="auto"/>
            </w:tcBorders>
            <w:shd w:val="clear" w:color="auto" w:fill="80B8DC"/>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6"/>
            <w:vMerge w:val="continue"/>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shd w:val="clear" w:color="auto" w:fill="D8E9F4"/>
          </w:tcPr>
          <w:p>
            <w:pPr>
              <w:spacing w:after="0"/>
              <w:rPr>
                <w:sz w:val="9"/>
                <w:szCs w:val="9"/>
                <w:color w:val="auto"/>
              </w:rPr>
            </w:pPr>
          </w:p>
        </w:tc>
        <w:tc>
          <w:tcPr>
            <w:tcW w:w="0" w:type="dxa"/>
            <w:vAlign w:val="bottom"/>
          </w:tcPr>
          <w:p>
            <w:pPr>
              <w:spacing w:after="0"/>
              <w:rPr>
                <w:sz w:val="1"/>
                <w:szCs w:val="1"/>
                <w:color w:val="auto"/>
              </w:rPr>
            </w:pPr>
          </w:p>
        </w:tc>
      </w:tr>
      <w:tr>
        <w:trPr>
          <w:trHeight w:val="396"/>
        </w:trPr>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shd w:val="clear" w:color="auto" w:fill="0171B9"/>
          </w:tcPr>
          <w:p>
            <w:pPr>
              <w:jc w:val="center"/>
              <w:spacing w:after="0"/>
              <w:rPr>
                <w:sz w:val="20"/>
                <w:szCs w:val="20"/>
                <w:color w:val="auto"/>
              </w:rPr>
            </w:pPr>
            <w:r>
              <w:rPr>
                <w:rFonts w:ascii="Arial" w:cs="Arial" w:eastAsia="Arial" w:hAnsi="Arial"/>
                <w:sz w:val="16"/>
                <w:szCs w:val="16"/>
                <w:b w:val="1"/>
                <w:bCs w:val="1"/>
                <w:color w:val="FFFFFF"/>
              </w:rPr>
              <w:t>97.4%</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shd w:val="clear" w:color="auto" w:fill="0171B9"/>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-719455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-702310</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-685165</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-668020</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-650875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-633730</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-616585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-599440</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-599440</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-599440</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-599440</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-719455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-702310</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-685165</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-668020</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-650875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-633730</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-616585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-599440</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-736600</wp:posOffset>
            </wp:positionV>
            <wp:extent cx="97726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7726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-1182370</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-1165225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-1148080</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-1130935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-1113790</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-1096645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-1079500</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-1062355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-1062355</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-1062355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-1062355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-1182370</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-1165225</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-1148080</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-1130935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-1113790</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-1096645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-1079500</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-1062355</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-1199515</wp:posOffset>
            </wp:positionV>
            <wp:extent cx="9772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-856615</wp:posOffset>
            </wp:positionV>
            <wp:extent cx="5983605" cy="4106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983605" cy="4106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-856615</wp:posOffset>
            </wp:positionV>
            <wp:extent cx="5983605" cy="4106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983605" cy="410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540" w:hanging="424"/>
        <w:spacing w:after="0" w:line="217" w:lineRule="auto"/>
        <w:tabs>
          <w:tab w:leader="none" w:pos="540" w:val="left"/>
        </w:tabs>
        <w:numPr>
          <w:ilvl w:val="0"/>
          <w:numId w:val="80"/>
        </w:numPr>
        <w:rPr>
          <w:rFonts w:ascii="Arial" w:cs="Arial" w:eastAsia="Arial" w:hAnsi="Arial"/>
          <w:sz w:val="22"/>
          <w:szCs w:val="22"/>
          <w:color w:val="auto"/>
          <w:vertAlign w:val="superscript"/>
        </w:rPr>
      </w:pPr>
      <w:r>
        <w:rPr>
          <w:rFonts w:ascii="Arial" w:cs="Arial" w:eastAsia="Arial" w:hAnsi="Arial"/>
          <w:sz w:val="14"/>
          <w:szCs w:val="14"/>
          <w:color w:val="auto"/>
        </w:rPr>
        <w:t xml:space="preserve">The non-GAAP operating measures (EPS growth and ROIC) with respect to the 2020–2022 performance period are as reported and reconciled in </w:t>
      </w:r>
      <w:r>
        <w:rPr>
          <w:rFonts w:ascii="Arial" w:cs="Arial" w:eastAsia="Arial" w:hAnsi="Arial"/>
          <w:sz w:val="14"/>
          <w:szCs w:val="14"/>
          <w:b w:val="1"/>
          <w:bCs w:val="1"/>
          <w:color w:val="auto"/>
        </w:rPr>
        <w:t>Appendix B</w:t>
      </w:r>
      <w:r>
        <w:rPr>
          <w:rFonts w:ascii="Arial" w:cs="Arial" w:eastAsia="Arial" w:hAnsi="Arial"/>
          <w:sz w:val="14"/>
          <w:szCs w:val="14"/>
          <w:color w:val="auto"/>
        </w:rPr>
        <w:t>, except that operating measures for 2022 performance were further adjusted to include the impacts of losses on equity investments as prescribed by the 2020-2022 performance goals document when it was established in March 2020. For this purpose, 2022 non-GAAP net income was decreased by $274 million, or $0.51 per share, and the tax rate used to calculate ROIC was adjusted accordingly to approximately 13.4%, resulting in a 0.1% increase in ROIC.</w:t>
      </w:r>
    </w:p>
    <w:p>
      <w:pPr>
        <w:jc w:val="both"/>
        <w:ind w:left="540" w:hanging="424"/>
        <w:spacing w:after="0" w:line="202" w:lineRule="auto"/>
        <w:tabs>
          <w:tab w:leader="none" w:pos="540" w:val="left"/>
        </w:tabs>
        <w:numPr>
          <w:ilvl w:val="0"/>
          <w:numId w:val="80"/>
        </w:numPr>
        <w:rPr>
          <w:rFonts w:ascii="Arial" w:cs="Arial" w:eastAsia="Arial" w:hAnsi="Arial"/>
          <w:sz w:val="22"/>
          <w:szCs w:val="22"/>
          <w:color w:val="auto"/>
          <w:vertAlign w:val="superscript"/>
        </w:rPr>
      </w:pPr>
      <w:r>
        <w:rPr>
          <w:rFonts w:ascii="Arial" w:cs="Arial" w:eastAsia="Arial" w:hAnsi="Arial"/>
          <w:sz w:val="14"/>
          <w:szCs w:val="14"/>
          <w:color w:val="auto"/>
        </w:rPr>
        <w:t>For the 2020-2022 performance period, ROIC includes cash in invested capital to better align with our strategic priority of “Innovative Medicines” (which contemplates pursuit of innovation both internally and externally) by removing certain potential disincentives for acquisitions that could yield innovative medicines and drive shareholder value.</w:t>
      </w:r>
    </w:p>
    <w:p>
      <w:pPr>
        <w:spacing w:after="0" w:line="2" w:lineRule="exact"/>
        <w:rPr>
          <w:rFonts w:ascii="Arial" w:cs="Arial" w:eastAsia="Arial" w:hAnsi="Arial"/>
          <w:sz w:val="22"/>
          <w:szCs w:val="22"/>
          <w:color w:val="auto"/>
          <w:vertAlign w:val="superscript"/>
        </w:rPr>
      </w:pPr>
    </w:p>
    <w:p>
      <w:pPr>
        <w:ind w:left="540" w:hanging="424"/>
        <w:spacing w:after="0" w:line="187" w:lineRule="auto"/>
        <w:tabs>
          <w:tab w:leader="none" w:pos="540" w:val="left"/>
        </w:tabs>
        <w:numPr>
          <w:ilvl w:val="0"/>
          <w:numId w:val="80"/>
        </w:numPr>
        <w:rPr>
          <w:rFonts w:ascii="Arial" w:cs="Arial" w:eastAsia="Arial" w:hAnsi="Arial"/>
          <w:sz w:val="22"/>
          <w:szCs w:val="22"/>
          <w:color w:val="auto"/>
          <w:vertAlign w:val="superscript"/>
        </w:rPr>
      </w:pPr>
      <w:r>
        <w:rPr>
          <w:rFonts w:ascii="Arial" w:cs="Arial" w:eastAsia="Arial" w:hAnsi="Arial"/>
          <w:sz w:val="14"/>
          <w:szCs w:val="14"/>
          <w:color w:val="auto"/>
        </w:rPr>
        <w:t>Our targets for our 2020 and 2021 performance were disclosed under the 2020-2022 Performance Goals in our 2021 Proxy Statement filed with the SEC on April 6, 2021 and our 2022 Proxy Statement filed with the SEC on April 5, 2022, respectively.</w:t>
      </w:r>
    </w:p>
    <w:p>
      <w:pPr>
        <w:spacing w:after="0" w:line="1" w:lineRule="exact"/>
        <w:rPr>
          <w:rFonts w:ascii="Arial" w:cs="Arial" w:eastAsia="Arial" w:hAnsi="Arial"/>
          <w:sz w:val="22"/>
          <w:szCs w:val="22"/>
          <w:color w:val="auto"/>
          <w:vertAlign w:val="superscript"/>
        </w:rPr>
      </w:pPr>
    </w:p>
    <w:p>
      <w:pPr>
        <w:ind w:left="540" w:hanging="424"/>
        <w:spacing w:after="0" w:line="193" w:lineRule="auto"/>
        <w:tabs>
          <w:tab w:leader="none" w:pos="540" w:val="left"/>
        </w:tabs>
        <w:numPr>
          <w:ilvl w:val="0"/>
          <w:numId w:val="80"/>
        </w:numPr>
        <w:rPr>
          <w:rFonts w:ascii="Arial" w:cs="Arial" w:eastAsia="Arial" w:hAnsi="Arial"/>
          <w:sz w:val="22"/>
          <w:szCs w:val="22"/>
          <w:color w:val="auto"/>
          <w:vertAlign w:val="superscript"/>
        </w:rPr>
      </w:pPr>
      <w:r>
        <w:rPr>
          <w:rFonts w:ascii="Arial" w:cs="Arial" w:eastAsia="Arial" w:hAnsi="Arial"/>
          <w:sz w:val="14"/>
          <w:szCs w:val="14"/>
          <w:color w:val="auto"/>
        </w:rPr>
        <w:t>TSR Measurement Points = average daily closing price of stock for the first 20 trading days beginning on the grant date and the last 20 trading days of the performance period.</w:t>
      </w:r>
    </w:p>
    <w:p>
      <w:pPr>
        <w:sectPr>
          <w:pgSz w:w="11900" w:h="16838" w:orient="portrait"/>
          <w:cols w:equalWidth="0" w:num="1">
            <w:col w:w="11120"/>
          </w:cols>
          <w:pgMar w:left="320" w:top="486" w:right="459" w:bottom="1440" w:gutter="0" w:footer="0" w:header="0"/>
        </w:sectPr>
      </w:pPr>
    </w:p>
    <w:p>
      <w:pPr>
        <w:spacing w:after="0" w:line="118"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52</w:t>
      </w:r>
      <w:r>
        <w:rPr>
          <w:sz w:val="20"/>
          <w:szCs w:val="20"/>
          <w:color w:val="auto"/>
        </w:rPr>
        <w:tab/>
      </w:r>
      <w:r>
        <w:rPr>
          <w:sz w:val="1"/>
          <w:szCs w:val="1"/>
          <w:color w:val="auto"/>
        </w:rPr>
        <w:drawing>
          <wp:inline distT="0" distB="0" distL="0" distR="0">
            <wp:extent cx="582930" cy="13716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20"/>
          </w:cols>
          <w:pgMar w:left="320" w:top="486" w:right="45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Compensation Discussion and Analysis</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Long-Term Incentive Equity Award Design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196"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In December 2021 and March 2022, the Compensation Committee reviewed, evaluated, and established a performance award goal design for the 2022-2024 performance period (January 1, 2022 to December 31, 2024) with input from management and FW Cook, to reflect stockholder discussions and continue to drive operating performance and financial discipline. For the 2022-2024 performance period, the Compensation Committee retained the same performance award goal design as that of the 2021-2023 performance period with the non-GAAP operating measures of EPS and ROIC weighted equally in each year measured against targets and goals pre-established at the beginning of the three-year performance period for each year of the performance period. The Compensation Committee selected non-GAAP</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 xml:space="preserve">EPS to drive delivery of value to stockholders and ROIC to reflect our ongoing focus on remaining operationally disciplined in our management of our capital. The Compensation Committee also retained the TSR modifier of </w:t>
      </w:r>
      <w:r>
        <w:rPr>
          <w:rFonts w:ascii="Arial" w:cs="Arial" w:eastAsia="Arial" w:hAnsi="Arial"/>
          <w:sz w:val="12"/>
          <w:szCs w:val="12"/>
          <w:b w:val="1"/>
          <w:bCs w:val="1"/>
          <w:color w:val="auto"/>
        </w:rPr>
        <w:t>+</w:t>
      </w:r>
      <w:r>
        <w:rPr>
          <w:rFonts w:ascii="Arial" w:cs="Arial" w:eastAsia="Arial" w:hAnsi="Arial"/>
          <w:sz w:val="17"/>
          <w:szCs w:val="17"/>
          <w:color w:val="auto"/>
        </w:rPr>
        <w:t>/-30 percentage points and the requirement that the TSR modifier cannot exceed target (100%) regardless of our relative TSR performance if our absolute TSR over the performance period is less than zero. This requirement ensures a stronger tie to stockholders’ interests and investment experience in a challenging market. A detailed depiction of the 2022-2024 performance period goal design can be found in “Elements of Compensation and Specific Compensation Decisions—</w:t>
      </w:r>
      <w:r>
        <w:rPr>
          <w:rFonts w:ascii="Arial" w:cs="Arial" w:eastAsia="Arial" w:hAnsi="Arial"/>
          <w:sz w:val="17"/>
          <w:szCs w:val="17"/>
          <w:i w:val="1"/>
          <w:iCs w:val="1"/>
          <w:color w:val="auto"/>
        </w:rPr>
        <w:t>2022-2024 Performance Period</w:t>
      </w:r>
      <w:r>
        <w:rPr>
          <w:rFonts w:ascii="Arial" w:cs="Arial" w:eastAsia="Arial" w:hAnsi="Arial"/>
          <w:sz w:val="17"/>
          <w:szCs w:val="17"/>
          <w:color w:val="auto"/>
        </w:rPr>
        <w:t xml:space="preserve"> </w:t>
      </w:r>
      <w:r>
        <w:rPr>
          <w:rFonts w:ascii="Arial" w:cs="Arial" w:eastAsia="Arial" w:hAnsi="Arial"/>
          <w:sz w:val="17"/>
          <w:szCs w:val="17"/>
          <w:i w:val="1"/>
          <w:iCs w:val="1"/>
          <w:color w:val="auto"/>
        </w:rPr>
        <w:t>Goal Design and Award Calculation.</w:t>
      </w:r>
      <w:r>
        <w:rPr>
          <w:rFonts w:ascii="Arial" w:cs="Arial" w:eastAsia="Arial" w:hAnsi="Arial"/>
          <w:sz w:val="17"/>
          <w:szCs w:val="17"/>
          <w:color w:val="auto"/>
        </w:rPr>
        <w:t>”</w:t>
      </w:r>
    </w:p>
    <w:p>
      <w:pPr>
        <w:spacing w:after="0" w:line="389"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157" w:lineRule="exact"/>
        <w:rPr>
          <w:sz w:val="20"/>
          <w:szCs w:val="20"/>
          <w:color w:val="auto"/>
        </w:rPr>
      </w:pPr>
    </w:p>
    <w:p>
      <w:pPr>
        <w:ind w:left="120" w:right="300"/>
        <w:spacing w:after="0" w:line="288" w:lineRule="auto"/>
        <w:rPr>
          <w:sz w:val="20"/>
          <w:szCs w:val="20"/>
          <w:color w:val="auto"/>
        </w:rPr>
      </w:pPr>
      <w:r>
        <w:rPr>
          <w:rFonts w:ascii="Arial" w:cs="Arial" w:eastAsia="Arial" w:hAnsi="Arial"/>
          <w:sz w:val="25"/>
          <w:szCs w:val="25"/>
          <w:b w:val="1"/>
          <w:bCs w:val="1"/>
          <w:color w:val="0171B9"/>
        </w:rPr>
        <w:t>Positive 2022 Say on Pay Vote Outcome and Compensation Design Changes in Response to 2022 Stockholder Input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p>
      <w:pPr>
        <w:spacing w:after="0" w:line="198"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In 2022, we received 89% stockholder support on our say on pay advisory vote. Our directors and management recognize the benefits of robust dialogue with our stockholders and we have engaged consistently in broad, direct, governance-focused stockholder outreach since 2011. Consistent with prior years’ practices, since our 2022 annual meeting of stockholders, we have engaged in governance-focused outreach activities and discussions with stockholders comprising approximately 51% of our outstanding shares. In addition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2532380</wp:posOffset>
            </wp:positionV>
            <wp:extent cx="7715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these governance-focused outreach activities, we have increased our participation in investor events and engagement sessions by 40% over the past five years.</w:t>
      </w:r>
    </w:p>
    <w:p>
      <w:pPr>
        <w:spacing w:after="0" w:line="9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will continue to solicit the perspectives of our investors and share such perspectives with our Board. Among other topics, we invite dialogue with our stockholders regarding compensation best practices and policies to help inform our compensation program review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-2884805</wp:posOffset>
            </wp:positionH>
            <wp:positionV relativeFrom="paragraph">
              <wp:posOffset>415925</wp:posOffset>
            </wp:positionV>
            <wp:extent cx="5631815" cy="21945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631815" cy="2194560"/>
                    </a:xfrm>
                    <a:prstGeom prst="rect">
                      <a:avLst/>
                    </a:prstGeom>
                    <a:noFill/>
                  </pic:spPr>
                </pic:pic>
              </a:graphicData>
            </a:graphic>
          </wp:anchor>
        </w:drawing>
      </w:r>
    </w:p>
    <w:p>
      <w:pPr>
        <w:spacing w:after="0" w:line="471"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Reference to our website is not intended to function as a hyperlink and the information contained on our website is not intended to be part of this proxy statement.</w:t>
      </w:r>
    </w:p>
    <w:p>
      <w:pPr>
        <w:spacing w:after="0" w:line="117"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Compensation Discussion and Analysis</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Feedback From Our Stockholders and Responsive Actions Taken by Our Board</w:t>
      </w:r>
    </w:p>
    <w:p>
      <w:pPr>
        <w:sectPr>
          <w:pgSz w:w="11900" w:h="16838" w:orient="portrait"/>
          <w:cols w:equalWidth="0" w:num="1">
            <w:col w:w="11140"/>
          </w:cols>
          <w:pgMar w:left="320" w:top="486" w:right="439" w:bottom="1440" w:gutter="0" w:footer="0" w:header="0"/>
        </w:sectPr>
      </w:pPr>
    </w:p>
    <w:p>
      <w:pPr>
        <w:spacing w:after="0" w:line="183"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In 2022, stockholder engagement included discussion of questions related to our political engagement and ESG activities. The predominant feedback from investors with respect to our compensation and governance practices was that they are satisfied with our compensation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program and governance practices. Stockholder feedback is shared with our Board. We will continue to engage with our stockholders to be sure we understand and address any concerns.</w:t>
      </w:r>
    </w:p>
    <w:p>
      <w:pPr>
        <w:spacing w:after="0" w:line="575"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172" w:lineRule="exact"/>
        <w:rPr>
          <w:sz w:val="20"/>
          <w:szCs w:val="20"/>
          <w:color w:val="auto"/>
        </w:rPr>
      </w:pPr>
    </w:p>
    <w:p>
      <w:pPr>
        <w:ind w:left="1940"/>
        <w:spacing w:after="0"/>
        <w:rPr>
          <w:sz w:val="20"/>
          <w:szCs w:val="20"/>
          <w:color w:val="auto"/>
        </w:rPr>
      </w:pPr>
      <w:r>
        <w:rPr>
          <w:rFonts w:ascii="Arial" w:cs="Arial" w:eastAsia="Arial" w:hAnsi="Arial"/>
          <w:sz w:val="19"/>
          <w:szCs w:val="19"/>
          <w:b w:val="1"/>
          <w:bCs w:val="1"/>
          <w:color w:val="0171B9"/>
        </w:rPr>
        <w:t>Examples of Actions Taken By the Board in Response to Stockholder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-128905</wp:posOffset>
            </wp:positionV>
            <wp:extent cx="6926580" cy="11055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26580" cy="110553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p>
      <w:pPr>
        <w:spacing w:after="0" w:line="14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Expanded and enhanced a number of our disclosures, including our: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0171B9"/>
        </w:rPr>
        <w:t xml:space="preserve">–  </w:t>
      </w:r>
      <w:r>
        <w:rPr>
          <w:rFonts w:ascii="Arial" w:cs="Arial" w:eastAsia="Arial" w:hAnsi="Arial"/>
          <w:sz w:val="17"/>
          <w:szCs w:val="17"/>
          <w:color w:val="000000"/>
        </w:rPr>
        <w:t>Board gender and racial/ethnic diversity;</w:t>
      </w:r>
    </w:p>
    <w:p>
      <w:pPr>
        <w:spacing w:after="0" w:line="13" w:lineRule="exact"/>
        <w:rPr>
          <w:sz w:val="20"/>
          <w:szCs w:val="20"/>
          <w:color w:val="auto"/>
        </w:rPr>
      </w:pPr>
    </w:p>
    <w:p>
      <w:pPr>
        <w:ind w:left="340"/>
        <w:spacing w:after="0" w:line="232" w:lineRule="auto"/>
        <w:rPr>
          <w:sz w:val="20"/>
          <w:szCs w:val="20"/>
          <w:color w:val="auto"/>
        </w:rPr>
      </w:pPr>
      <w:r>
        <w:rPr>
          <w:rFonts w:ascii="Arial" w:cs="Arial" w:eastAsia="Arial" w:hAnsi="Arial"/>
          <w:sz w:val="17"/>
          <w:szCs w:val="17"/>
          <w:b w:val="1"/>
          <w:bCs w:val="1"/>
          <w:color w:val="0171B9"/>
        </w:rPr>
        <w:t xml:space="preserve">–  </w:t>
      </w:r>
      <w:r>
        <w:rPr>
          <w:rFonts w:ascii="Arial" w:cs="Arial" w:eastAsia="Arial" w:hAnsi="Arial"/>
          <w:sz w:val="17"/>
          <w:szCs w:val="17"/>
          <w:color w:val="000000"/>
        </w:rPr>
        <w:t>Data from our annual Consolidated EEO-1 Report;</w:t>
      </w:r>
      <w:r>
        <w:rPr>
          <w:rFonts w:ascii="Arial" w:cs="Arial" w:eastAsia="Arial" w:hAnsi="Arial"/>
          <w:sz w:val="12"/>
          <w:szCs w:val="12"/>
          <w:color w:val="000000"/>
        </w:rPr>
        <w:t>(1)</w:t>
      </w:r>
    </w:p>
    <w:p>
      <w:pPr>
        <w:ind w:left="620" w:right="240" w:hanging="288"/>
        <w:spacing w:after="0" w:line="232" w:lineRule="auto"/>
        <w:rPr>
          <w:sz w:val="20"/>
          <w:szCs w:val="20"/>
          <w:color w:val="auto"/>
        </w:rPr>
      </w:pPr>
      <w:r>
        <w:rPr>
          <w:rFonts w:ascii="Arial" w:cs="Arial" w:eastAsia="Arial" w:hAnsi="Arial"/>
          <w:sz w:val="17"/>
          <w:szCs w:val="17"/>
          <w:b w:val="1"/>
          <w:bCs w:val="1"/>
          <w:color w:val="0171B9"/>
        </w:rPr>
        <w:t xml:space="preserve">– </w:t>
      </w:r>
      <w:r>
        <w:rPr>
          <w:rFonts w:ascii="Arial" w:cs="Arial" w:eastAsia="Arial" w:hAnsi="Arial"/>
          <w:sz w:val="17"/>
          <w:szCs w:val="17"/>
          <w:color w:val="000000"/>
        </w:rPr>
        <w:t>Reporting to several environmental standards and guidelines,</w:t>
      </w:r>
      <w:r>
        <w:rPr>
          <w:rFonts w:ascii="Arial" w:cs="Arial" w:eastAsia="Arial" w:hAnsi="Arial"/>
          <w:sz w:val="17"/>
          <w:szCs w:val="17"/>
          <w:b w:val="1"/>
          <w:bCs w:val="1"/>
          <w:color w:val="0171B9"/>
        </w:rPr>
        <w:t xml:space="preserve"> </w:t>
      </w:r>
      <w:r>
        <w:rPr>
          <w:rFonts w:ascii="Arial" w:cs="Arial" w:eastAsia="Arial" w:hAnsi="Arial"/>
          <w:sz w:val="17"/>
          <w:szCs w:val="17"/>
          <w:color w:val="000000"/>
        </w:rPr>
        <w:t>including the SASB</w:t>
      </w:r>
      <w:r>
        <w:rPr>
          <w:rFonts w:ascii="Arial" w:cs="Arial" w:eastAsia="Arial" w:hAnsi="Arial"/>
          <w:sz w:val="12"/>
          <w:szCs w:val="12"/>
          <w:color w:val="000000"/>
        </w:rPr>
        <w:t>(2)</w:t>
      </w:r>
      <w:r>
        <w:rPr>
          <w:rFonts w:ascii="Arial" w:cs="Arial" w:eastAsia="Arial" w:hAnsi="Arial"/>
          <w:sz w:val="17"/>
          <w:szCs w:val="17"/>
          <w:color w:val="000000"/>
        </w:rPr>
        <w:t xml:space="preserve"> standards for our industry;</w:t>
      </w:r>
    </w:p>
    <w:p>
      <w:pPr>
        <w:ind w:left="340"/>
        <w:spacing w:after="0"/>
        <w:rPr>
          <w:sz w:val="20"/>
          <w:szCs w:val="20"/>
          <w:color w:val="auto"/>
        </w:rPr>
      </w:pPr>
      <w:r>
        <w:rPr>
          <w:rFonts w:ascii="Arial" w:cs="Arial" w:eastAsia="Arial" w:hAnsi="Arial"/>
          <w:sz w:val="17"/>
          <w:szCs w:val="17"/>
          <w:b w:val="1"/>
          <w:bCs w:val="1"/>
          <w:color w:val="0171B9"/>
        </w:rPr>
        <w:t xml:space="preserve">–  </w:t>
      </w:r>
      <w:r>
        <w:rPr>
          <w:rFonts w:ascii="Arial" w:cs="Arial" w:eastAsia="Arial" w:hAnsi="Arial"/>
          <w:sz w:val="17"/>
          <w:szCs w:val="17"/>
          <w:color w:val="000000"/>
        </w:rPr>
        <w:t>Drug pricing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5074920</wp:posOffset>
            </wp:positionV>
            <wp:extent cx="7715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171B9"/>
        </w:rPr>
        <w:t xml:space="preserve">– </w:t>
      </w:r>
      <w:r>
        <w:rPr>
          <w:rFonts w:ascii="Arial" w:cs="Arial" w:eastAsia="Arial" w:hAnsi="Arial"/>
          <w:sz w:val="17"/>
          <w:szCs w:val="17"/>
          <w:color w:val="000000"/>
        </w:rPr>
        <w:t>Alignment of compensation program with strategic priorities;</w:t>
      </w:r>
    </w:p>
    <w:p>
      <w:pPr>
        <w:spacing w:after="0" w:line="27" w:lineRule="exact"/>
        <w:rPr>
          <w:sz w:val="20"/>
          <w:szCs w:val="20"/>
          <w:color w:val="auto"/>
        </w:rPr>
      </w:pPr>
    </w:p>
    <w:p>
      <w:pPr>
        <w:ind w:left="200" w:right="1180" w:hanging="216"/>
        <w:spacing w:after="0" w:line="232" w:lineRule="auto"/>
        <w:rPr>
          <w:sz w:val="20"/>
          <w:szCs w:val="20"/>
          <w:color w:val="auto"/>
        </w:rPr>
      </w:pPr>
      <w:r>
        <w:rPr>
          <w:rFonts w:ascii="Arial" w:cs="Arial" w:eastAsia="Arial" w:hAnsi="Arial"/>
          <w:sz w:val="17"/>
          <w:szCs w:val="17"/>
          <w:b w:val="1"/>
          <w:bCs w:val="1"/>
          <w:color w:val="0171B9"/>
        </w:rPr>
        <w:t xml:space="preserve">– </w:t>
      </w:r>
      <w:r>
        <w:rPr>
          <w:rFonts w:ascii="Arial" w:cs="Arial" w:eastAsia="Arial" w:hAnsi="Arial"/>
          <w:sz w:val="17"/>
          <w:szCs w:val="17"/>
          <w:color w:val="000000"/>
        </w:rPr>
        <w:t>Antitrust and competition oversight by our Corporate</w:t>
      </w:r>
      <w:r>
        <w:rPr>
          <w:rFonts w:ascii="Arial" w:cs="Arial" w:eastAsia="Arial" w:hAnsi="Arial"/>
          <w:sz w:val="17"/>
          <w:szCs w:val="17"/>
          <w:b w:val="1"/>
          <w:bCs w:val="1"/>
          <w:color w:val="0171B9"/>
        </w:rPr>
        <w:t xml:space="preserve"> </w:t>
      </w:r>
      <w:r>
        <w:rPr>
          <w:rFonts w:ascii="Arial" w:cs="Arial" w:eastAsia="Arial" w:hAnsi="Arial"/>
          <w:sz w:val="17"/>
          <w:szCs w:val="17"/>
          <w:color w:val="000000"/>
        </w:rPr>
        <w:t>Responsibility and Compliance Committee; and</w:t>
      </w:r>
    </w:p>
    <w:p>
      <w:pPr>
        <w:ind w:left="200" w:right="200" w:hanging="216"/>
        <w:spacing w:after="0" w:line="243" w:lineRule="auto"/>
        <w:rPr>
          <w:sz w:val="20"/>
          <w:szCs w:val="20"/>
          <w:color w:val="auto"/>
        </w:rPr>
      </w:pPr>
      <w:r>
        <w:rPr>
          <w:rFonts w:ascii="Arial" w:cs="Arial" w:eastAsia="Arial" w:hAnsi="Arial"/>
          <w:sz w:val="17"/>
          <w:szCs w:val="17"/>
          <w:b w:val="1"/>
          <w:bCs w:val="1"/>
          <w:color w:val="0171B9"/>
        </w:rPr>
        <w:t xml:space="preserve">– </w:t>
      </w:r>
      <w:r>
        <w:rPr>
          <w:rFonts w:ascii="Arial" w:cs="Arial" w:eastAsia="Arial" w:hAnsi="Arial"/>
          <w:sz w:val="17"/>
          <w:szCs w:val="17"/>
          <w:color w:val="000000"/>
        </w:rPr>
        <w:t>Oversight of political contributions, memberships in trade and</w:t>
      </w:r>
      <w:r>
        <w:rPr>
          <w:rFonts w:ascii="Arial" w:cs="Arial" w:eastAsia="Arial" w:hAnsi="Arial"/>
          <w:sz w:val="17"/>
          <w:szCs w:val="17"/>
          <w:b w:val="1"/>
          <w:bCs w:val="1"/>
          <w:color w:val="0171B9"/>
        </w:rPr>
        <w:t xml:space="preserve"> </w:t>
      </w:r>
      <w:r>
        <w:rPr>
          <w:rFonts w:ascii="Arial" w:cs="Arial" w:eastAsia="Arial" w:hAnsi="Arial"/>
          <w:sz w:val="17"/>
          <w:szCs w:val="17"/>
          <w:color w:val="000000"/>
        </w:rPr>
        <w:t>industry associations, and lobbying.</w:t>
      </w:r>
    </w:p>
    <w:p>
      <w:pPr>
        <w:spacing w:after="0" w:line="200" w:lineRule="exact"/>
        <w:rPr>
          <w:sz w:val="20"/>
          <w:szCs w:val="20"/>
          <w:color w:val="auto"/>
        </w:rPr>
      </w:pPr>
    </w:p>
    <w:p>
      <w:pPr>
        <w:sectPr>
          <w:pgSz w:w="11900" w:h="16838" w:orient="portrait"/>
          <w:cols w:equalWidth="0" w:num="2">
            <w:col w:w="5500" w:space="300"/>
            <w:col w:w="5340"/>
          </w:cols>
          <w:pgMar w:left="320" w:top="48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0" w:hanging="424"/>
        <w:spacing w:after="0"/>
        <w:tabs>
          <w:tab w:leader="none" w:pos="540" w:val="left"/>
        </w:tabs>
        <w:numPr>
          <w:ilvl w:val="0"/>
          <w:numId w:val="84"/>
        </w:numPr>
        <w:rPr>
          <w:rFonts w:ascii="Arial" w:cs="Arial" w:eastAsia="Arial" w:hAnsi="Arial"/>
          <w:sz w:val="22"/>
          <w:szCs w:val="22"/>
          <w:color w:val="auto"/>
          <w:vertAlign w:val="superscript"/>
        </w:rPr>
      </w:pPr>
      <w:r>
        <w:rPr>
          <w:rFonts w:ascii="Arial" w:cs="Arial" w:eastAsia="Arial" w:hAnsi="Arial"/>
          <w:sz w:val="14"/>
          <w:szCs w:val="14"/>
          <w:color w:val="auto"/>
        </w:rPr>
        <w:t>Beginning with our Consolidated EEO-1 Report filed in 2021.</w:t>
      </w:r>
    </w:p>
    <w:p>
      <w:pPr>
        <w:ind w:left="540" w:hanging="424"/>
        <w:spacing w:after="0" w:line="189" w:lineRule="auto"/>
        <w:tabs>
          <w:tab w:leader="none" w:pos="540" w:val="left"/>
        </w:tabs>
        <w:numPr>
          <w:ilvl w:val="0"/>
          <w:numId w:val="84"/>
        </w:numPr>
        <w:rPr>
          <w:rFonts w:ascii="Arial" w:cs="Arial" w:eastAsia="Arial" w:hAnsi="Arial"/>
          <w:sz w:val="19"/>
          <w:szCs w:val="19"/>
          <w:color w:val="auto"/>
          <w:vertAlign w:val="superscript"/>
        </w:rPr>
      </w:pPr>
      <w:r>
        <w:rPr>
          <w:rFonts w:ascii="Arial" w:cs="Arial" w:eastAsia="Arial" w:hAnsi="Arial"/>
          <w:sz w:val="13"/>
          <w:szCs w:val="13"/>
          <w:color w:val="auto"/>
        </w:rPr>
        <w:t>Sustainability Accounting Standards Board.</w:t>
      </w:r>
    </w:p>
    <w:p>
      <w:pPr>
        <w:sectPr>
          <w:pgSz w:w="11900" w:h="16838" w:orient="portrait"/>
          <w:cols w:equalWidth="0" w:num="1">
            <w:col w:w="11140"/>
          </w:cols>
          <w:pgMar w:left="320" w:top="486" w:right="439" w:bottom="1440" w:gutter="0" w:footer="0" w:header="0"/>
          <w:type w:val="continuous"/>
        </w:sectPr>
      </w:pPr>
    </w:p>
    <w:p>
      <w:pPr>
        <w:spacing w:after="0" w:line="117"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54</w:t>
      </w:r>
      <w:r>
        <w:rPr>
          <w:sz w:val="20"/>
          <w:szCs w:val="20"/>
          <w:color w:val="auto"/>
        </w:rPr>
        <w:tab/>
      </w:r>
      <w:r>
        <w:rPr>
          <w:sz w:val="1"/>
          <w:szCs w:val="1"/>
          <w:color w:val="auto"/>
        </w:rPr>
        <w:drawing>
          <wp:inline distT="0" distB="0" distL="0" distR="0">
            <wp:extent cx="582930" cy="13716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6960"/>
        <w:spacing w:after="0"/>
        <w:rPr>
          <w:sz w:val="20"/>
          <w:szCs w:val="20"/>
          <w:color w:val="auto"/>
        </w:rPr>
      </w:pPr>
      <w:r>
        <w:rPr>
          <w:rFonts w:ascii="Arial" w:cs="Arial" w:eastAsia="Arial" w:hAnsi="Arial"/>
          <w:sz w:val="21"/>
          <w:szCs w:val="21"/>
          <w:b w:val="1"/>
          <w:bCs w:val="1"/>
          <w:color w:val="FFFFFF"/>
          <w:shd w:val="clear" w:color="auto" w:fill="0171B9"/>
        </w:rPr>
        <w:t>Compensation Discussion and Analysis</w:t>
      </w:r>
    </w:p>
    <w:p>
      <w:pPr>
        <w:spacing w:after="0" w:line="35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Our 2022 Compensation Program Highlights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171450</wp:posOffset>
            </wp:positionV>
            <wp:extent cx="6926580" cy="3086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26580" cy="308610"/>
                    </a:xfrm>
                    <a:prstGeom prst="rect">
                      <a:avLst/>
                    </a:prstGeom>
                    <a:noFill/>
                  </pic:spPr>
                </pic:pic>
              </a:graphicData>
            </a:graphic>
          </wp:anchor>
        </w:drawing>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Total Target Direct Compensation Focuses on At Risk Compensation</w:t>
      </w:r>
    </w:p>
    <w:p>
      <w:pPr>
        <w:jc w:val="center"/>
        <w:spacing w:after="0"/>
        <w:rPr>
          <w:sz w:val="20"/>
          <w:szCs w:val="20"/>
          <w:color w:val="auto"/>
        </w:rPr>
      </w:pPr>
      <w:r>
        <w:rPr>
          <w:rFonts w:ascii="Arial" w:cs="Arial" w:eastAsia="Arial" w:hAnsi="Arial"/>
          <w:sz w:val="18"/>
          <w:szCs w:val="18"/>
          <w:color w:val="FFFFFF"/>
        </w:rPr>
        <w:t>(91% for our CEO and 84% for our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186055</wp:posOffset>
            </wp:positionV>
            <wp:extent cx="5932170" cy="60521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32170" cy="6052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shd w:val="clear" w:color="auto" w:fill="0171B9"/>
        </w:rPr>
        <w:t>Compensation Discussion and Analysis</w:t>
      </w:r>
    </w:p>
    <w:p>
      <w:pPr>
        <w:spacing w:after="0" w:line="200" w:lineRule="exact"/>
        <w:rPr>
          <w:sz w:val="20"/>
          <w:szCs w:val="20"/>
          <w:color w:val="auto"/>
        </w:rPr>
      </w:pPr>
    </w:p>
    <w:p>
      <w:pPr>
        <w:spacing w:after="0" w:line="35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How Compensation Decisions Are Made For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248285</wp:posOffset>
            </wp:positionV>
            <wp:extent cx="7029450" cy="16116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02945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0171B9"/>
        </w:rPr>
        <w:t>Roles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6926580" cy="3511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26580" cy="351155"/>
                    </a:xfrm>
                    <a:prstGeom prst="rect">
                      <a:avLst/>
                    </a:prstGeom>
                    <a:noFill/>
                  </pic:spPr>
                </pic:pic>
              </a:graphicData>
            </a:graphic>
          </wp:anchor>
        </w:drawing>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FFFFFF"/>
        </w:rPr>
        <w:t>Compensation Committee</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FFFFFF"/>
        </w:rPr>
        <w:t>Board Committee composed solely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6926580" cy="1054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26580" cy="1054100"/>
                    </a:xfrm>
                    <a:prstGeom prst="rect">
                      <a:avLst/>
                    </a:prstGeom>
                    <a:noFill/>
                  </pic:spPr>
                </pic:pic>
              </a:graphicData>
            </a:graphic>
          </wp:anchor>
        </w:drawing>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Oversees the development and effective succession planning of our CEO and other members of Senior Management.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Evaluates the performance of our CEO within the context of the financial and operational performance of the Company.</w:t>
      </w:r>
    </w:p>
    <w:p>
      <w:pPr>
        <w:ind w:left="480" w:right="80" w:hanging="214"/>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Determines and approves compensation packages for our CEO, other NEOs, Executive Vice Presidents, Senior Vice Presidents,</w:t>
      </w:r>
      <w:r>
        <w:rPr>
          <w:rFonts w:ascii="Arial" w:cs="Arial" w:eastAsia="Arial" w:hAnsi="Arial"/>
          <w:sz w:val="17"/>
          <w:szCs w:val="17"/>
          <w:color w:val="0171B9"/>
        </w:rPr>
        <w:t xml:space="preserve"> </w:t>
      </w:r>
      <w:r>
        <w:rPr>
          <w:rFonts w:ascii="Arial" w:cs="Arial" w:eastAsia="Arial" w:hAnsi="Arial"/>
          <w:sz w:val="17"/>
          <w:szCs w:val="17"/>
          <w:color w:val="000000"/>
        </w:rPr>
        <w:t>Section 16 officers, and the Chief Audit Executive (collectively, “Senior Management”).</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Reviews and approves compensation programs in which our NEOs participate.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Oversees the Board’s relationship with, and response to, stockholders on executive compensation matters.</w:t>
      </w:r>
    </w:p>
    <w:p>
      <w:pPr>
        <w:ind w:left="480" w:right="80" w:hanging="214"/>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Exercises the sole authority to select, retain, replace, and/or obtain advice from independent compensation consultants, legal counsel, and</w:t>
      </w:r>
      <w:r>
        <w:rPr>
          <w:rFonts w:ascii="Arial" w:cs="Arial" w:eastAsia="Arial" w:hAnsi="Arial"/>
          <w:sz w:val="17"/>
          <w:szCs w:val="17"/>
          <w:color w:val="0171B9"/>
        </w:rPr>
        <w:t xml:space="preserve"> </w:t>
      </w:r>
      <w:r>
        <w:rPr>
          <w:rFonts w:ascii="Arial" w:cs="Arial" w:eastAsia="Arial" w:hAnsi="Arial"/>
          <w:sz w:val="17"/>
          <w:szCs w:val="17"/>
          <w:color w:val="000000"/>
        </w:rPr>
        <w:t>other outside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172720</wp:posOffset>
            </wp:positionV>
            <wp:extent cx="6926580" cy="3511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26580" cy="351155"/>
                    </a:xfrm>
                    <a:prstGeom prst="rect">
                      <a:avLst/>
                    </a:prstGeom>
                    <a:noFill/>
                  </pic:spPr>
                </pic:pic>
              </a:graphicData>
            </a:graphic>
          </wp:anchor>
        </w:drawing>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FFFFFF"/>
        </w:rPr>
        <w:t>Consultant to the Compensation Committee</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FFFFFF"/>
        </w:rPr>
        <w:t>Frederic W. Cook &amp; Co., Inc., Independent consultant to, and retained directly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6926580" cy="12941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26580" cy="1294130"/>
                    </a:xfrm>
                    <a:prstGeom prst="rect">
                      <a:avLst/>
                    </a:prstGeom>
                    <a:noFill/>
                  </pic:spPr>
                </pic:pic>
              </a:graphicData>
            </a:graphic>
          </wp:anchor>
        </w:drawing>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Regularly attends Compensation Committee meetings, including meeting in executive session with the Compensation Committee.</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Provides advice and studies on the appropriateness and competitiveness of:</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0171B9"/>
        </w:rPr>
        <w:t>–</w:t>
      </w:r>
      <w:r>
        <w:rPr>
          <w:rFonts w:ascii="Arial" w:cs="Arial" w:eastAsia="Arial" w:hAnsi="Arial"/>
          <w:sz w:val="17"/>
          <w:szCs w:val="17"/>
          <w:color w:val="000000"/>
        </w:rPr>
        <w:t xml:space="preserve">   our compensation program relative to market practice for our NEO compensation;</w:t>
      </w:r>
    </w:p>
    <w:p>
      <w:pPr>
        <w:ind w:left="500"/>
        <w:spacing w:after="0" w:line="232" w:lineRule="auto"/>
        <w:rPr>
          <w:sz w:val="20"/>
          <w:szCs w:val="20"/>
          <w:color w:val="auto"/>
        </w:rPr>
      </w:pPr>
      <w:r>
        <w:rPr>
          <w:rFonts w:ascii="Arial" w:cs="Arial" w:eastAsia="Arial" w:hAnsi="Arial"/>
          <w:sz w:val="17"/>
          <w:szCs w:val="17"/>
          <w:b w:val="1"/>
          <w:bCs w:val="1"/>
          <w:color w:val="0171B9"/>
        </w:rPr>
        <w:t>–</w:t>
      </w:r>
      <w:r>
        <w:rPr>
          <w:rFonts w:ascii="Arial" w:cs="Arial" w:eastAsia="Arial" w:hAnsi="Arial"/>
          <w:sz w:val="17"/>
          <w:szCs w:val="17"/>
          <w:color w:val="000000"/>
        </w:rPr>
        <w:t xml:space="preserve">   our equity programs; and</w:t>
      </w:r>
    </w:p>
    <w:p>
      <w:pPr>
        <w:ind w:left="500"/>
        <w:spacing w:after="0" w:line="232" w:lineRule="auto"/>
        <w:rPr>
          <w:sz w:val="20"/>
          <w:szCs w:val="20"/>
          <w:color w:val="auto"/>
        </w:rPr>
      </w:pPr>
      <w:r>
        <w:rPr>
          <w:rFonts w:ascii="Arial" w:cs="Arial" w:eastAsia="Arial" w:hAnsi="Arial"/>
          <w:sz w:val="17"/>
          <w:szCs w:val="17"/>
          <w:b w:val="1"/>
          <w:bCs w:val="1"/>
          <w:color w:val="0171B9"/>
        </w:rPr>
        <w:t>–</w:t>
      </w:r>
      <w:r>
        <w:rPr>
          <w:rFonts w:ascii="Arial" w:cs="Arial" w:eastAsia="Arial" w:hAnsi="Arial"/>
          <w:sz w:val="17"/>
          <w:szCs w:val="17"/>
          <w:color w:val="000000"/>
        </w:rPr>
        <w:t xml:space="preserve">   the selection of our peer group.</w:t>
      </w:r>
    </w:p>
    <w:p>
      <w:pPr>
        <w:ind w:left="480" w:right="100" w:hanging="214"/>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Consults, advises, and makes recommendations, when requested, on executive compensation trends and developments, various</w:t>
      </w:r>
      <w:r>
        <w:rPr>
          <w:rFonts w:ascii="Arial" w:cs="Arial" w:eastAsia="Arial" w:hAnsi="Arial"/>
          <w:sz w:val="17"/>
          <w:szCs w:val="17"/>
          <w:color w:val="0171B9"/>
        </w:rPr>
        <w:t xml:space="preserve"> </w:t>
      </w:r>
      <w:r>
        <w:rPr>
          <w:rFonts w:ascii="Arial" w:cs="Arial" w:eastAsia="Arial" w:hAnsi="Arial"/>
          <w:sz w:val="17"/>
          <w:szCs w:val="17"/>
          <w:color w:val="000000"/>
        </w:rPr>
        <w:t>compensation matters and compensation program designs and practices to support our business strategy and objectives.</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Coordinates and reviews the appropriateness of market data compiled by management.</w:t>
      </w:r>
    </w:p>
    <w:p>
      <w:pPr>
        <w:ind w:left="480" w:right="100" w:hanging="214"/>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At the direction of the Compensation Committee, works with management to assess the potential risks arising from our compensation</w:t>
      </w:r>
      <w:r>
        <w:rPr>
          <w:rFonts w:ascii="Arial" w:cs="Arial" w:eastAsia="Arial" w:hAnsi="Arial"/>
          <w:sz w:val="17"/>
          <w:szCs w:val="17"/>
          <w:color w:val="0171B9"/>
        </w:rPr>
        <w:t xml:space="preserve"> </w:t>
      </w:r>
      <w:r>
        <w:rPr>
          <w:rFonts w:ascii="Arial" w:cs="Arial" w:eastAsia="Arial" w:hAnsi="Arial"/>
          <w:sz w:val="17"/>
          <w:szCs w:val="17"/>
          <w:color w:val="000000"/>
        </w:rPr>
        <w:t>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172720</wp:posOffset>
            </wp:positionV>
            <wp:extent cx="6926580" cy="3943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26580" cy="394335"/>
                    </a:xfrm>
                    <a:prstGeom prst="rect">
                      <a:avLst/>
                    </a:prstGeom>
                    <a:noFill/>
                  </pic:spPr>
                </pic:pic>
              </a:graphicData>
            </a:graphic>
          </wp:anchor>
        </w:drawing>
      </w:r>
    </w:p>
    <w:p>
      <w:pPr>
        <w:spacing w:after="0" w:line="37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FFFFFF"/>
        </w:rPr>
        <w:t>CEO</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FFFFFF"/>
        </w:rPr>
        <w:t>Assisted by the Senior Vice President, Human Resources and other Company staff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26580" cy="4114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26580" cy="411480"/>
                    </a:xfrm>
                    <a:prstGeom prst="rect">
                      <a:avLst/>
                    </a:prstGeom>
                    <a:noFill/>
                  </pic:spPr>
                </pic:pic>
              </a:graphicData>
            </a:graphic>
          </wp:anchor>
        </w:drawing>
      </w:r>
    </w:p>
    <w:p>
      <w:pPr>
        <w:spacing w:after="0" w:line="95" w:lineRule="exact"/>
        <w:rPr>
          <w:sz w:val="20"/>
          <w:szCs w:val="20"/>
          <w:color w:val="auto"/>
        </w:rPr>
      </w:pPr>
    </w:p>
    <w:p>
      <w:pPr>
        <w:ind w:left="480" w:right="100" w:hanging="214"/>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Conducts performance reviews of the other NEOs and makes recommendations to the Compensation Committee with respect to</w:t>
      </w:r>
      <w:r>
        <w:rPr>
          <w:rFonts w:ascii="Arial" w:cs="Arial" w:eastAsia="Arial" w:hAnsi="Arial"/>
          <w:sz w:val="17"/>
          <w:szCs w:val="17"/>
          <w:color w:val="0171B9"/>
        </w:rPr>
        <w:t xml:space="preserve"> </w:t>
      </w:r>
      <w:r>
        <w:rPr>
          <w:rFonts w:ascii="Arial" w:cs="Arial" w:eastAsia="Arial" w:hAnsi="Arial"/>
          <w:sz w:val="17"/>
          <w:szCs w:val="17"/>
          <w:color w:val="000000"/>
        </w:rPr>
        <w:t>compensation of other members of Senior Management.</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Provides recommendations on the development of and succession planning for the members of Senior Management.</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0171B9"/>
        </w:rPr>
        <w:t>Our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6926580" cy="11658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26580" cy="1165860"/>
                    </a:xfrm>
                    <a:prstGeom prst="rect">
                      <a:avLst/>
                    </a:prstGeom>
                    <a:noFill/>
                  </pic:spPr>
                </pic:pic>
              </a:graphicData>
            </a:graphic>
          </wp:anchor>
        </w:drawing>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Amgen Values, formalized in 1996, guide how we execute on our strategy, conduct our business, and what we reward.</w:t>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50"/>
        </w:trPr>
        <w:tc>
          <w:tcPr>
            <w:tcW w:w="5380" w:type="dxa"/>
            <w:vAlign w:val="bottom"/>
            <w:tcBorders>
              <w:top w:val="single" w:sz="8" w:color="0171B9"/>
            </w:tcBorders>
            <w:shd w:val="clear" w:color="auto" w:fill="E5F0F8"/>
          </w:tcPr>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Be science-based;</w:t>
            </w:r>
          </w:p>
        </w:tc>
        <w:tc>
          <w:tcPr>
            <w:tcW w:w="5080" w:type="dxa"/>
            <w:vAlign w:val="bottom"/>
            <w:tcBorders>
              <w:top w:val="single" w:sz="8" w:color="0171B9"/>
            </w:tcBorders>
            <w:shd w:val="clear" w:color="auto" w:fill="E5F0F8"/>
          </w:tcPr>
          <w:p>
            <w:pPr>
              <w:ind w:left="1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Trust and respect each other;</w:t>
            </w:r>
          </w:p>
        </w:tc>
      </w:tr>
      <w:tr>
        <w:trPr>
          <w:trHeight w:val="189"/>
        </w:trPr>
        <w:tc>
          <w:tcPr>
            <w:tcW w:w="5380" w:type="dxa"/>
            <w:vAlign w:val="bottom"/>
            <w:shd w:val="clear" w:color="auto" w:fill="E5F0F8"/>
          </w:tcPr>
          <w:p>
            <w:pPr>
              <w:ind w:left="200"/>
              <w:spacing w:after="0" w:line="189" w:lineRule="exact"/>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Compete intensely and win;</w:t>
            </w:r>
          </w:p>
        </w:tc>
        <w:tc>
          <w:tcPr>
            <w:tcW w:w="5080" w:type="dxa"/>
            <w:vAlign w:val="bottom"/>
            <w:shd w:val="clear" w:color="auto" w:fill="E5F0F8"/>
          </w:tcPr>
          <w:p>
            <w:pPr>
              <w:ind w:left="100"/>
              <w:spacing w:after="0" w:line="189" w:lineRule="exact"/>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Ensure quality;</w:t>
            </w:r>
          </w:p>
        </w:tc>
      </w:tr>
      <w:tr>
        <w:trPr>
          <w:trHeight w:val="189"/>
        </w:trPr>
        <w:tc>
          <w:tcPr>
            <w:tcW w:w="5380" w:type="dxa"/>
            <w:vAlign w:val="bottom"/>
            <w:shd w:val="clear" w:color="auto" w:fill="E5F0F8"/>
          </w:tcPr>
          <w:p>
            <w:pPr>
              <w:ind w:left="200"/>
              <w:spacing w:after="0" w:line="189" w:lineRule="exact"/>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Create value for patients, staff, and stockholders;</w:t>
            </w:r>
          </w:p>
        </w:tc>
        <w:tc>
          <w:tcPr>
            <w:tcW w:w="5080" w:type="dxa"/>
            <w:vAlign w:val="bottom"/>
            <w:shd w:val="clear" w:color="auto" w:fill="E5F0F8"/>
          </w:tcPr>
          <w:p>
            <w:pPr>
              <w:ind w:left="100"/>
              <w:spacing w:after="0" w:line="189" w:lineRule="exact"/>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Work in teams; and</w:t>
            </w:r>
          </w:p>
        </w:tc>
      </w:tr>
      <w:tr>
        <w:trPr>
          <w:trHeight w:val="222"/>
        </w:trPr>
        <w:tc>
          <w:tcPr>
            <w:tcW w:w="5380" w:type="dxa"/>
            <w:vAlign w:val="bottom"/>
            <w:shd w:val="clear" w:color="auto" w:fill="E5F0F8"/>
          </w:tcPr>
          <w:p>
            <w:pPr>
              <w:ind w:left="2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Be ethical;</w:t>
            </w:r>
          </w:p>
        </w:tc>
        <w:tc>
          <w:tcPr>
            <w:tcW w:w="5080" w:type="dxa"/>
            <w:vAlign w:val="bottom"/>
            <w:shd w:val="clear" w:color="auto" w:fill="E5F0F8"/>
          </w:tcPr>
          <w:p>
            <w:pPr>
              <w:ind w:left="10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Collaborate, communicate, and be accountable.</w:t>
            </w:r>
          </w:p>
        </w:tc>
      </w:tr>
    </w:tbl>
    <w:p>
      <w:pPr>
        <w:spacing w:after="0" w:line="4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FFFFFF"/>
        </w:rPr>
        <w:t>Annual performance reviews for all staff members are designed to weight equally what was accomplished</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FFFFFF"/>
        </w:rPr>
        <w:t>as well as how it was accomplished in accordance with the Amgen Values</w:t>
      </w:r>
    </w:p>
    <w:p>
      <w:pPr>
        <w:sectPr>
          <w:pgSz w:w="11900" w:h="16838" w:orient="portrait"/>
          <w:cols w:equalWidth="0" w:num="1">
            <w:col w:w="11060"/>
          </w:cols>
          <w:pgMar w:left="320" w:top="486" w:right="519" w:bottom="1440" w:gutter="0" w:footer="0" w:header="0"/>
        </w:sectPr>
      </w:pPr>
    </w:p>
    <w:p>
      <w:pPr>
        <w:spacing w:after="0" w:line="347"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56</w:t>
      </w:r>
      <w:r>
        <w:rPr>
          <w:sz w:val="20"/>
          <w:szCs w:val="20"/>
          <w:color w:val="auto"/>
        </w:rPr>
        <w:tab/>
      </w:r>
      <w:r>
        <w:rPr>
          <w:sz w:val="1"/>
          <w:szCs w:val="1"/>
          <w:color w:val="auto"/>
        </w:rPr>
        <w:drawing>
          <wp:inline distT="0" distB="0" distL="0" distR="0">
            <wp:extent cx="582930" cy="13716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060"/>
          </w:cols>
          <w:pgMar w:left="320" w:top="486" w:right="51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Compensation Discussion and Analysis</w:t>
      </w:r>
    </w:p>
    <w:p>
      <w:pPr>
        <w:sectPr>
          <w:pgSz w:w="11900" w:h="16838" w:orient="portrait"/>
          <w:cols w:equalWidth="0" w:num="1">
            <w:col w:w="11140"/>
          </w:cols>
          <w:pgMar w:left="320" w:top="486" w:right="439" w:bottom="1440" w:gutter="0" w:footer="0" w:header="0"/>
        </w:sectPr>
      </w:pPr>
    </w:p>
    <w:p>
      <w:pPr>
        <w:spacing w:after="0" w:line="3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Retaining and Attracting Executive Talent</w:t>
      </w:r>
    </w:p>
    <w:p>
      <w:pPr>
        <w:spacing w:after="0" w:line="124"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The Compensation Committee recognizes the unique demands of our industry, including its complex regulatory and reimbursement environment, and the challenges of running an enterprise focused on the discovery, development, manufacture, and commercialization of biologic medicines to address serious illness. The Compensation Committee believes that these unique demands require executive talent that has significant industry experience as well as, for certain key functions, specific scientific expertise to oversee research and development activities and the complex manufacturing requirements of biologic products. Further, the Compensation Committee believes that these very particular skills and capabilities limit the pool of talent from which we can recruit and also cause our employees to be highly valued and sought after in our industry. These factors inform the compensation decisions of the Compensation Committee.</w:t>
      </w:r>
    </w:p>
    <w:p>
      <w:pPr>
        <w:spacing w:after="0" w:line="179" w:lineRule="exact"/>
        <w:rPr>
          <w:sz w:val="20"/>
          <w:szCs w:val="20"/>
          <w:color w:val="auto"/>
        </w:rPr>
      </w:pPr>
    </w:p>
    <w:p>
      <w:pPr>
        <w:ind w:left="120" w:right="540"/>
        <w:spacing w:after="0" w:line="261" w:lineRule="auto"/>
        <w:rPr>
          <w:sz w:val="20"/>
          <w:szCs w:val="20"/>
          <w:color w:val="auto"/>
        </w:rPr>
      </w:pPr>
      <w:r>
        <w:rPr>
          <w:rFonts w:ascii="Arial" w:cs="Arial" w:eastAsia="Arial" w:hAnsi="Arial"/>
          <w:sz w:val="22"/>
          <w:szCs w:val="22"/>
          <w:b w:val="1"/>
          <w:bCs w:val="1"/>
          <w:color w:val="auto"/>
        </w:rPr>
        <w:t>Use of Independent Compensation Committee Consultant</w:t>
      </w:r>
    </w:p>
    <w:p>
      <w:pPr>
        <w:spacing w:after="0" w:line="70"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For 2022, to assist the Compensation Committee in its review and determination of executive compensation, the Compensation Committee retained and directed the nature of the activity between FW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Cook, an independent consultant, and management. Cimi Silverberg, Managing Director of FW Cook, worked directly with the Compensation Committee in the role of its independent consultant, undertaking the responsibilities previously described in “How Compensation Decisions Are Made For Our Named Executive Officers” and, in 2022, including providing advice and consultation regarding regulatory updates, selection of our peer group, and market competitiveness of our executive compensation programs. The Company did not engage FW Cook for any other services at the Company in 2022.</w:t>
      </w:r>
    </w:p>
    <w:p>
      <w:pPr>
        <w:spacing w:after="0" w:line="94"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On an annual basis, FW Cook reviews our peer group with the Compensation Committee to determine whether the peer group remains appropriate. In July 2022, FW Cook recommended the continued use of the objective criteria previously established and to make no changes to the peer group and that the non-U.S. peer group companies be given a lower weighting than U.S. peer group companies to recognize that the non-U.S. peers reflect differences in law, stockholder influences, and governance practices. Based, in part, on these recommendations from FW Cook, as well as a review of the objective criteria, the Compensation Committee determined that this peer group, composed of 14 companies (nine of which are based in the U.S.) remains appropriate.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1134745</wp:posOffset>
            </wp:positionH>
            <wp:positionV relativeFrom="paragraph">
              <wp:posOffset>-162560</wp:posOffset>
            </wp:positionV>
            <wp:extent cx="582930" cy="1371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2">
            <w:col w:w="5400" w:space="340"/>
            <w:col w:w="5400"/>
          </w:cols>
          <w:pgMar w:left="320" w:top="486" w:right="4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Compensation Discussion and Analysis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How We Establish Our Peer Group</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FFFFFF"/>
        </w:rPr>
        <w:t>2022 Peer Group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-113030</wp:posOffset>
            </wp:positionV>
            <wp:extent cx="6995160" cy="2571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pacing w:after="0" w:line="5"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FFFFFF"/>
        </w:rPr>
        <w:t>We focus on biotechnology and pharmaceutical companies with which we compete for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wp:posOffset>
            </wp:positionV>
            <wp:extent cx="6995160" cy="2743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15"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auto"/>
        </w:rPr>
        <w:t>Objective Criteria Considered</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GICS codes of biotechnology (352010) and pharmaceuticals (352020);</w:t>
      </w:r>
    </w:p>
    <w:p>
      <w:pPr>
        <w:spacing w:after="0" w:line="7" w:lineRule="exact"/>
        <w:rPr>
          <w:sz w:val="20"/>
          <w:szCs w:val="20"/>
          <w:color w:val="auto"/>
        </w:rPr>
      </w:pPr>
    </w:p>
    <w:p>
      <w:pPr>
        <w:ind w:left="480" w:hanging="214"/>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12-month average market capitalization between 0.25 and 4.0x that of Amgen’s average</w:t>
      </w:r>
      <w:r>
        <w:rPr>
          <w:rFonts w:ascii="Arial" w:cs="Arial" w:eastAsia="Arial" w:hAnsi="Arial"/>
          <w:sz w:val="17"/>
          <w:szCs w:val="17"/>
          <w:color w:val="0171B9"/>
        </w:rPr>
        <w:t xml:space="preserve"> </w:t>
      </w:r>
      <w:r>
        <w:rPr>
          <w:rFonts w:ascii="Arial" w:cs="Arial" w:eastAsia="Arial" w:hAnsi="Arial"/>
          <w:sz w:val="17"/>
          <w:szCs w:val="17"/>
          <w:color w:val="000000"/>
        </w:rPr>
        <w:t>market capitalization for the same period;</w:t>
      </w:r>
      <w:r>
        <w:rPr>
          <w:rFonts w:ascii="Arial" w:cs="Arial" w:eastAsia="Arial" w:hAnsi="Arial"/>
          <w:sz w:val="12"/>
          <w:szCs w:val="12"/>
          <w:color w:val="000000"/>
        </w:rPr>
        <w:t>(1)</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Trailing four-quarter revenues between 0.25 and 4.0x that of Amgen’s revenues;</w:t>
      </w:r>
      <w:r>
        <w:rPr>
          <w:rFonts w:ascii="Arial" w:cs="Arial" w:eastAsia="Arial" w:hAnsi="Arial"/>
          <w:sz w:val="12"/>
          <w:szCs w:val="12"/>
          <w:color w:val="000000"/>
        </w:rPr>
        <w:t>(1)</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Non-U.S. peers limited to those commonly identified as a “peer of peers”;</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Competitors for executive talent;</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Companies of comparable scope and complexity;</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Competitors for equity investor capital;</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Companies that identify us as their direct peer; and</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Companies with similar pay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531495</wp:posOffset>
            </wp:positionV>
            <wp:extent cx="6995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2022 Peer Group</w:t>
      </w:r>
    </w:p>
    <w:p>
      <w:pPr>
        <w:spacing w:after="0" w:line="25"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 xml:space="preserve">(Companies in </w:t>
      </w:r>
      <w:r>
        <w:rPr>
          <w:rFonts w:ascii="Arial" w:cs="Arial" w:eastAsia="Arial" w:hAnsi="Arial"/>
          <w:sz w:val="16"/>
          <w:szCs w:val="16"/>
          <w:b w:val="1"/>
          <w:bCs w:val="1"/>
          <w:color w:val="0171B9"/>
        </w:rPr>
        <w:t>blue</w:t>
      </w:r>
      <w:r>
        <w:rPr>
          <w:rFonts w:ascii="Arial" w:cs="Arial" w:eastAsia="Arial" w:hAnsi="Arial"/>
          <w:sz w:val="16"/>
          <w:szCs w:val="16"/>
          <w:b w:val="1"/>
          <w:bCs w:val="1"/>
          <w:color w:val="auto"/>
        </w:rPr>
        <w:t xml:space="preserve"> also list Amgen as a peer)</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0171B9"/>
        </w:rPr>
        <w:t>•    AbbVie Inc.</w:t>
      </w:r>
      <w:r>
        <w:rPr>
          <w:rFonts w:ascii="Arial" w:cs="Arial" w:eastAsia="Arial" w:hAnsi="Arial"/>
          <w:sz w:val="17"/>
          <w:szCs w:val="17"/>
          <w:color w:val="000000"/>
        </w:rPr>
        <w: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0171B9"/>
        </w:rPr>
        <w:t>•    AstraZeneca plc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0171B9"/>
        </w:rPr>
        <w:t>•    Biogen Inc.</w:t>
      </w:r>
      <w:r>
        <w:rPr>
          <w:rFonts w:ascii="Arial" w:cs="Arial" w:eastAsia="Arial" w:hAnsi="Arial"/>
          <w:sz w:val="17"/>
          <w:szCs w:val="17"/>
          <w:color w:val="000000"/>
        </w:rPr>
        <w:t>*</w:t>
      </w:r>
    </w:p>
    <w:p>
      <w:pPr>
        <w:spacing w:after="0" w:line="7" w:lineRule="exact"/>
        <w:rPr>
          <w:sz w:val="20"/>
          <w:szCs w:val="20"/>
          <w:color w:val="auto"/>
        </w:rPr>
      </w:pPr>
    </w:p>
    <w:p>
      <w:pPr>
        <w:ind w:right="1120"/>
        <w:spacing w:after="0" w:line="264" w:lineRule="auto"/>
        <w:rPr>
          <w:sz w:val="20"/>
          <w:szCs w:val="20"/>
          <w:color w:val="auto"/>
        </w:rPr>
      </w:pPr>
      <w:r>
        <w:rPr>
          <w:rFonts w:ascii="Arial" w:cs="Arial" w:eastAsia="Arial" w:hAnsi="Arial"/>
          <w:sz w:val="16"/>
          <w:szCs w:val="16"/>
          <w:color w:val="0171B9"/>
        </w:rPr>
        <w:t>•    Bristol-Myers Squibb Company</w:t>
      </w:r>
      <w:r>
        <w:rPr>
          <w:rFonts w:ascii="Arial" w:cs="Arial" w:eastAsia="Arial" w:hAnsi="Arial"/>
          <w:sz w:val="16"/>
          <w:szCs w:val="16"/>
          <w:color w:val="000000"/>
        </w:rPr>
        <w:t>*</w:t>
      </w:r>
      <w:r>
        <w:rPr>
          <w:rFonts w:ascii="Arial" w:cs="Arial" w:eastAsia="Arial" w:hAnsi="Arial"/>
          <w:sz w:val="16"/>
          <w:szCs w:val="16"/>
          <w:color w:val="0171B9"/>
        </w:rPr>
        <w:t xml:space="preserve"> •    Eli Lilly and Company</w:t>
      </w:r>
      <w:r>
        <w:rPr>
          <w:rFonts w:ascii="Arial" w:cs="Arial" w:eastAsia="Arial" w:hAnsi="Arial"/>
          <w:sz w:val="16"/>
          <w:szCs w:val="16"/>
          <w:color w:val="000000"/>
        </w:rPr>
        <w:t>*</w:t>
      </w:r>
      <w:r>
        <w:rPr>
          <w:rFonts w:ascii="Arial" w:cs="Arial" w:eastAsia="Arial" w:hAnsi="Arial"/>
          <w:sz w:val="16"/>
          <w:szCs w:val="16"/>
          <w:color w:val="0171B9"/>
        </w:rPr>
        <w:t xml:space="preserve"> •    Gilead Sciences, Inc.</w:t>
      </w:r>
      <w:r>
        <w:rPr>
          <w:rFonts w:ascii="Arial" w:cs="Arial" w:eastAsia="Arial" w:hAnsi="Arial"/>
          <w:sz w:val="16"/>
          <w:szCs w:val="16"/>
          <w:color w:val="000000"/>
        </w:rPr>
        <w:t>*</w:t>
      </w:r>
    </w:p>
    <w:p>
      <w:pPr>
        <w:spacing w:after="0"/>
        <w:rPr>
          <w:sz w:val="20"/>
          <w:szCs w:val="20"/>
          <w:color w:val="auto"/>
        </w:rPr>
      </w:pPr>
      <w:r>
        <w:rPr>
          <w:rFonts w:ascii="Arial" w:cs="Arial" w:eastAsia="Arial" w:hAnsi="Arial"/>
          <w:sz w:val="17"/>
          <w:szCs w:val="17"/>
          <w:color w:val="0171B9"/>
        </w:rPr>
        <w:t>•    GlaxoSmithKline plc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Johnson &amp; Johnson*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0171B9"/>
        </w:rPr>
        <w:t>•    Merck &amp; Co., Inc.</w:t>
      </w:r>
      <w:r>
        <w:rPr>
          <w:rFonts w:ascii="Arial" w:cs="Arial" w:eastAsia="Arial" w:hAnsi="Arial"/>
          <w:sz w:val="17"/>
          <w:szCs w:val="17"/>
          <w:color w:val="000000"/>
        </w:rPr>
        <w: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0171B9"/>
        </w:rPr>
        <w:t>•    Novartis AG</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0171B9"/>
        </w:rPr>
        <w:t>•    Pfizer Inc.</w:t>
      </w:r>
      <w:r>
        <w:rPr>
          <w:rFonts w:ascii="Arial" w:cs="Arial" w:eastAsia="Arial" w:hAnsi="Arial"/>
          <w:sz w:val="17"/>
          <w:szCs w:val="17"/>
          <w:color w:val="000000"/>
        </w:rPr>
        <w:t>*</w:t>
      </w:r>
    </w:p>
    <w:p>
      <w:pPr>
        <w:spacing w:after="0" w:line="7" w:lineRule="exact"/>
        <w:rPr>
          <w:sz w:val="20"/>
          <w:szCs w:val="20"/>
          <w:color w:val="auto"/>
        </w:rPr>
      </w:pPr>
    </w:p>
    <w:p>
      <w:pPr>
        <w:ind w:right="940"/>
        <w:spacing w:after="0" w:line="254" w:lineRule="auto"/>
        <w:rPr>
          <w:sz w:val="20"/>
          <w:szCs w:val="20"/>
          <w:color w:val="auto"/>
        </w:rPr>
      </w:pPr>
      <w:r>
        <w:rPr>
          <w:rFonts w:ascii="Arial" w:cs="Arial" w:eastAsia="Arial" w:hAnsi="Arial"/>
          <w:sz w:val="17"/>
          <w:szCs w:val="17"/>
          <w:color w:val="0171B9"/>
        </w:rPr>
        <w:t>•    Regeneron Pharmaceuticals, Inc.</w:t>
      </w:r>
      <w:r>
        <w:rPr>
          <w:rFonts w:ascii="Arial" w:cs="Arial" w:eastAsia="Arial" w:hAnsi="Arial"/>
          <w:sz w:val="17"/>
          <w:szCs w:val="17"/>
          <w:color w:val="000000"/>
        </w:rPr>
        <w:t>*</w:t>
      </w:r>
      <w:r>
        <w:rPr>
          <w:rFonts w:ascii="Arial" w:cs="Arial" w:eastAsia="Arial" w:hAnsi="Arial"/>
          <w:sz w:val="17"/>
          <w:szCs w:val="17"/>
          <w:color w:val="0171B9"/>
        </w:rPr>
        <w:t xml:space="preserve"> •    Roche Holding AG •    Sanofi S.A.</w:t>
      </w:r>
    </w:p>
    <w:p>
      <w:pPr>
        <w:spacing w:after="0" w:line="126" w:lineRule="exact"/>
        <w:rPr>
          <w:sz w:val="20"/>
          <w:szCs w:val="20"/>
          <w:color w:val="auto"/>
        </w:rPr>
      </w:pPr>
    </w:p>
    <w:p>
      <w:pPr>
        <w:sectPr>
          <w:pgSz w:w="11900" w:h="16838" w:orient="portrait"/>
          <w:cols w:equalWidth="0" w:num="2">
            <w:col w:w="7280" w:space="120"/>
            <w:col w:w="3740"/>
          </w:cols>
          <w:pgMar w:left="320" w:top="486" w:right="439" w:bottom="1440" w:gutter="0" w:footer="0" w:header="0"/>
          <w:type w:val="continuous"/>
        </w:sectPr>
      </w:pPr>
    </w:p>
    <w:p>
      <w:pPr>
        <w:ind w:left="540" w:hanging="424"/>
        <w:spacing w:after="0"/>
        <w:tabs>
          <w:tab w:leader="none" w:pos="5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U.S.-based</w:t>
      </w:r>
    </w:p>
    <w:p>
      <w:pPr>
        <w:ind w:left="540" w:hanging="424"/>
        <w:spacing w:after="0" w:line="188" w:lineRule="auto"/>
        <w:tabs>
          <w:tab w:leader="none" w:pos="540" w:val="left"/>
        </w:tabs>
        <w:numPr>
          <w:ilvl w:val="0"/>
          <w:numId w:val="86"/>
        </w:numPr>
        <w:rPr>
          <w:rFonts w:ascii="Arial" w:cs="Arial" w:eastAsia="Arial" w:hAnsi="Arial"/>
          <w:sz w:val="20"/>
          <w:szCs w:val="20"/>
          <w:color w:val="auto"/>
          <w:vertAlign w:val="superscript"/>
        </w:rPr>
      </w:pPr>
      <w:r>
        <w:rPr>
          <w:rFonts w:ascii="Arial" w:cs="Arial" w:eastAsia="Arial" w:hAnsi="Arial"/>
          <w:sz w:val="14"/>
          <w:szCs w:val="14"/>
          <w:color w:val="auto"/>
        </w:rPr>
        <w:t>For purposes of the 2022 peer group analyses:</w:t>
      </w:r>
    </w:p>
    <w:p>
      <w:pPr>
        <w:spacing w:after="0" w:line="209" w:lineRule="exact"/>
        <w:rPr>
          <w:sz w:val="20"/>
          <w:szCs w:val="20"/>
          <w:color w:val="auto"/>
        </w:rPr>
      </w:pPr>
    </w:p>
    <w:tbl>
      <w:tblPr>
        <w:tblLayout w:type="fixed"/>
        <w:tblInd w:w="1120" w:type="dxa"/>
        <w:tblCellMar>
          <w:top w:w="0" w:type="dxa"/>
          <w:left w:w="0" w:type="dxa"/>
          <w:bottom w:w="0" w:type="dxa"/>
          <w:right w:w="0" w:type="dxa"/>
        </w:tblCellMar>
      </w:tblPr>
      <w:tr>
        <w:trPr>
          <w:trHeight w:val="276"/>
        </w:trPr>
        <w:tc>
          <w:tcPr>
            <w:tcW w:w="5780" w:type="dxa"/>
            <w:vAlign w:val="bottom"/>
            <w:shd w:val="clear" w:color="auto" w:fill="0171B9"/>
          </w:tcPr>
          <w:p>
            <w:pPr>
              <w:spacing w:after="0"/>
              <w:rPr>
                <w:sz w:val="23"/>
                <w:szCs w:val="23"/>
                <w:color w:val="auto"/>
              </w:rPr>
            </w:pPr>
          </w:p>
        </w:tc>
        <w:tc>
          <w:tcPr>
            <w:tcW w:w="2140" w:type="dxa"/>
            <w:vAlign w:val="bottom"/>
            <w:shd w:val="clear" w:color="auto" w:fill="0171B9"/>
          </w:tcPr>
          <w:p>
            <w:pPr>
              <w:ind w:left="260"/>
              <w:spacing w:after="0"/>
              <w:rPr>
                <w:sz w:val="20"/>
                <w:szCs w:val="20"/>
                <w:color w:val="auto"/>
              </w:rPr>
            </w:pPr>
            <w:r>
              <w:rPr>
                <w:rFonts w:ascii="Arial" w:cs="Arial" w:eastAsia="Arial" w:hAnsi="Arial"/>
                <w:sz w:val="16"/>
                <w:szCs w:val="16"/>
                <w:b w:val="1"/>
                <w:bCs w:val="1"/>
                <w:color w:val="FFFFFF"/>
                <w:shd w:val="clear" w:color="auto" w:fill="0171B9"/>
              </w:rPr>
              <w:t>Market Capitalization</w:t>
            </w:r>
            <w:r>
              <w:rPr>
                <w:rFonts w:ascii="Arial" w:cs="Arial" w:eastAsia="Arial" w:hAnsi="Arial"/>
                <w:sz w:val="24"/>
                <w:szCs w:val="24"/>
                <w:b w:val="1"/>
                <w:bCs w:val="1"/>
                <w:color w:val="FFFFFF"/>
                <w:vertAlign w:val="superscript"/>
                <w:shd w:val="clear" w:color="auto" w:fill="0171B9"/>
              </w:rPr>
              <w:t>(a)</w:t>
            </w:r>
          </w:p>
        </w:tc>
        <w:tc>
          <w:tcPr>
            <w:tcW w:w="1100" w:type="dxa"/>
            <w:vAlign w:val="bottom"/>
            <w:shd w:val="clear" w:color="auto" w:fill="0171B9"/>
          </w:tcPr>
          <w:p>
            <w:pPr>
              <w:jc w:val="right"/>
              <w:spacing w:after="0"/>
              <w:rPr>
                <w:sz w:val="20"/>
                <w:szCs w:val="20"/>
                <w:color w:val="auto"/>
              </w:rPr>
            </w:pPr>
            <w:r>
              <w:rPr>
                <w:rFonts w:ascii="Arial" w:cs="Arial" w:eastAsia="Arial" w:hAnsi="Arial"/>
                <w:sz w:val="16"/>
                <w:szCs w:val="16"/>
                <w:b w:val="1"/>
                <w:bCs w:val="1"/>
                <w:color w:val="FFFFFF"/>
                <w:shd w:val="clear" w:color="auto" w:fill="0171B9"/>
              </w:rPr>
              <w:t>Revenues</w:t>
            </w:r>
            <w:r>
              <w:rPr>
                <w:rFonts w:ascii="Arial" w:cs="Arial" w:eastAsia="Arial" w:hAnsi="Arial"/>
                <w:sz w:val="24"/>
                <w:szCs w:val="24"/>
                <w:b w:val="1"/>
                <w:bCs w:val="1"/>
                <w:color w:val="FFFFFF"/>
                <w:vertAlign w:val="superscript"/>
                <w:shd w:val="clear" w:color="auto" w:fill="0171B9"/>
              </w:rPr>
              <w:t>(b)</w:t>
            </w:r>
          </w:p>
        </w:tc>
      </w:tr>
      <w:tr>
        <w:trPr>
          <w:trHeight w:val="250"/>
        </w:trPr>
        <w:tc>
          <w:tcPr>
            <w:tcW w:w="5780" w:type="dxa"/>
            <w:vAlign w:val="bottom"/>
            <w:tcBorders>
              <w:bottom w:val="single" w:sz="8" w:color="CCE2F1"/>
            </w:tcBorders>
            <w:shd w:val="clear" w:color="auto" w:fill="CCE2F1"/>
          </w:tcPr>
          <w:p>
            <w:pPr>
              <w:ind w:left="60"/>
              <w:spacing w:after="0"/>
              <w:rPr>
                <w:sz w:val="20"/>
                <w:szCs w:val="20"/>
                <w:color w:val="auto"/>
              </w:rPr>
            </w:pPr>
            <w:r>
              <w:rPr>
                <w:rFonts w:ascii="Arial" w:cs="Arial" w:eastAsia="Arial" w:hAnsi="Arial"/>
                <w:sz w:val="16"/>
                <w:szCs w:val="16"/>
                <w:color w:val="auto"/>
              </w:rPr>
              <w:t>Amgen</w:t>
            </w:r>
          </w:p>
        </w:tc>
        <w:tc>
          <w:tcPr>
            <w:tcW w:w="2140" w:type="dxa"/>
            <w:vAlign w:val="bottom"/>
            <w:tcBorders>
              <w:bottom w:val="single" w:sz="8" w:color="CCE2F1"/>
            </w:tcBorders>
            <w:shd w:val="clear" w:color="auto" w:fill="CCE2F1"/>
          </w:tcPr>
          <w:p>
            <w:pPr>
              <w:ind w:left="260"/>
              <w:spacing w:after="0"/>
              <w:rPr>
                <w:sz w:val="20"/>
                <w:szCs w:val="20"/>
                <w:color w:val="auto"/>
              </w:rPr>
            </w:pPr>
            <w:r>
              <w:rPr>
                <w:rFonts w:ascii="Arial" w:cs="Arial" w:eastAsia="Arial" w:hAnsi="Arial"/>
                <w:sz w:val="16"/>
                <w:szCs w:val="16"/>
                <w:color w:val="auto"/>
              </w:rPr>
              <w:t>$137 billion</w:t>
            </w:r>
          </w:p>
        </w:tc>
        <w:tc>
          <w:tcPr>
            <w:tcW w:w="1100" w:type="dxa"/>
            <w:vAlign w:val="bottom"/>
            <w:tcBorders>
              <w:bottom w:val="single" w:sz="8" w:color="CCE2F1"/>
            </w:tcBorders>
            <w:shd w:val="clear" w:color="auto" w:fill="CCE2F1"/>
          </w:tcPr>
          <w:p>
            <w:pPr>
              <w:jc w:val="right"/>
              <w:spacing w:after="0"/>
              <w:rPr>
                <w:sz w:val="20"/>
                <w:szCs w:val="20"/>
                <w:color w:val="auto"/>
              </w:rPr>
            </w:pPr>
            <w:r>
              <w:rPr>
                <w:rFonts w:ascii="Arial" w:cs="Arial" w:eastAsia="Arial" w:hAnsi="Arial"/>
                <w:sz w:val="16"/>
                <w:szCs w:val="16"/>
                <w:color w:val="auto"/>
              </w:rPr>
              <w:t>$26 billion</w:t>
            </w:r>
          </w:p>
        </w:tc>
      </w:tr>
      <w:tr>
        <w:trPr>
          <w:trHeight w:val="257"/>
        </w:trPr>
        <w:tc>
          <w:tcPr>
            <w:tcW w:w="5780" w:type="dxa"/>
            <w:vAlign w:val="bottom"/>
            <w:tcBorders>
              <w:bottom w:val="single" w:sz="8" w:color="0171B9"/>
            </w:tcBorders>
          </w:tcPr>
          <w:p>
            <w:pPr>
              <w:ind w:left="80"/>
              <w:spacing w:after="0"/>
              <w:rPr>
                <w:sz w:val="20"/>
                <w:szCs w:val="20"/>
                <w:color w:val="auto"/>
              </w:rPr>
            </w:pPr>
            <w:r>
              <w:rPr>
                <w:rFonts w:ascii="Arial" w:cs="Arial" w:eastAsia="Arial" w:hAnsi="Arial"/>
                <w:sz w:val="16"/>
                <w:szCs w:val="16"/>
                <w:color w:val="auto"/>
              </w:rPr>
              <w:t>Relative Peer Group Position</w:t>
            </w:r>
          </w:p>
        </w:tc>
        <w:tc>
          <w:tcPr>
            <w:tcW w:w="2140" w:type="dxa"/>
            <w:vAlign w:val="bottom"/>
            <w:tcBorders>
              <w:bottom w:val="single" w:sz="8" w:color="0171B9"/>
            </w:tcBorders>
          </w:tcPr>
          <w:p>
            <w:pPr>
              <w:ind w:left="260"/>
              <w:spacing w:after="0" w:line="257" w:lineRule="exact"/>
              <w:rPr>
                <w:sz w:val="20"/>
                <w:szCs w:val="20"/>
                <w:color w:val="auto"/>
              </w:rPr>
            </w:pPr>
            <w:r>
              <w:rPr>
                <w:rFonts w:ascii="Arial" w:cs="Arial" w:eastAsia="Arial" w:hAnsi="Arial"/>
                <w:sz w:val="16"/>
                <w:szCs w:val="16"/>
                <w:color w:val="auto"/>
              </w:rPr>
              <w:t>2</w:t>
            </w:r>
            <w:r>
              <w:rPr>
                <w:rFonts w:ascii="Arial" w:cs="Arial" w:eastAsia="Arial" w:hAnsi="Arial"/>
                <w:sz w:val="24"/>
                <w:szCs w:val="24"/>
                <w:color w:val="auto"/>
                <w:vertAlign w:val="superscript"/>
              </w:rPr>
              <w:t>nd</w:t>
            </w:r>
            <w:r>
              <w:rPr>
                <w:rFonts w:ascii="Arial" w:cs="Arial" w:eastAsia="Arial" w:hAnsi="Arial"/>
                <w:sz w:val="16"/>
                <w:szCs w:val="16"/>
                <w:color w:val="auto"/>
              </w:rPr>
              <w:t xml:space="preserve"> quartile</w:t>
            </w:r>
          </w:p>
        </w:tc>
        <w:tc>
          <w:tcPr>
            <w:tcW w:w="1100" w:type="dxa"/>
            <w:vAlign w:val="bottom"/>
            <w:tcBorders>
              <w:bottom w:val="single" w:sz="8" w:color="0171B9"/>
            </w:tcBorders>
          </w:tcPr>
          <w:p>
            <w:pPr>
              <w:jc w:val="right"/>
              <w:spacing w:after="0" w:line="257" w:lineRule="exact"/>
              <w:rPr>
                <w:sz w:val="20"/>
                <w:szCs w:val="20"/>
                <w:color w:val="auto"/>
              </w:rPr>
            </w:pPr>
            <w:r>
              <w:rPr>
                <w:rFonts w:ascii="Arial" w:cs="Arial" w:eastAsia="Arial" w:hAnsi="Arial"/>
                <w:sz w:val="16"/>
                <w:szCs w:val="16"/>
                <w:color w:val="auto"/>
              </w:rPr>
              <w:t>1</w:t>
            </w:r>
            <w:r>
              <w:rPr>
                <w:rFonts w:ascii="Arial" w:cs="Arial" w:eastAsia="Arial" w:hAnsi="Arial"/>
                <w:sz w:val="24"/>
                <w:szCs w:val="24"/>
                <w:color w:val="auto"/>
                <w:vertAlign w:val="superscript"/>
              </w:rPr>
              <w:t>st</w:t>
            </w:r>
            <w:r>
              <w:rPr>
                <w:rFonts w:ascii="Arial" w:cs="Arial" w:eastAsia="Arial" w:hAnsi="Arial"/>
                <w:sz w:val="16"/>
                <w:szCs w:val="16"/>
                <w:color w:val="auto"/>
              </w:rPr>
              <w:t xml:space="preserve"> quartile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-342265</wp:posOffset>
            </wp:positionV>
            <wp:extent cx="573468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734685" cy="8890"/>
                    </a:xfrm>
                    <a:prstGeom prst="rect">
                      <a:avLst/>
                    </a:prstGeom>
                    <a:noFill/>
                  </pic:spPr>
                </pic:pic>
              </a:graphicData>
            </a:graphic>
          </wp:anchor>
        </w:drawing>
      </w:r>
    </w:p>
    <w:p>
      <w:pPr>
        <w:spacing w:after="0" w:line="15" w:lineRule="exact"/>
        <w:rPr>
          <w:sz w:val="20"/>
          <w:szCs w:val="20"/>
          <w:color w:val="auto"/>
        </w:rPr>
      </w:pPr>
    </w:p>
    <w:p>
      <w:pPr>
        <w:ind w:left="1420" w:hanging="319"/>
        <w:spacing w:after="0"/>
        <w:tabs>
          <w:tab w:leader="none" w:pos="1420" w:val="left"/>
        </w:tabs>
        <w:numPr>
          <w:ilvl w:val="0"/>
          <w:numId w:val="87"/>
        </w:numPr>
        <w:rPr>
          <w:rFonts w:ascii="Arial" w:cs="Arial" w:eastAsia="Arial" w:hAnsi="Arial"/>
          <w:sz w:val="22"/>
          <w:szCs w:val="22"/>
          <w:color w:val="auto"/>
          <w:vertAlign w:val="superscript"/>
        </w:rPr>
      </w:pPr>
      <w:r>
        <w:rPr>
          <w:rFonts w:ascii="Arial" w:cs="Arial" w:eastAsia="Arial" w:hAnsi="Arial"/>
          <w:sz w:val="14"/>
          <w:szCs w:val="14"/>
          <w:color w:val="auto"/>
        </w:rPr>
        <w:t>Represents the 12-month average market capitalization as of May 31, 2022.</w:t>
      </w:r>
    </w:p>
    <w:p>
      <w:pPr>
        <w:ind w:left="1420" w:right="1000" w:hanging="319"/>
        <w:spacing w:after="0" w:line="193" w:lineRule="auto"/>
        <w:tabs>
          <w:tab w:leader="none" w:pos="1420" w:val="left"/>
        </w:tabs>
        <w:numPr>
          <w:ilvl w:val="0"/>
          <w:numId w:val="87"/>
        </w:numPr>
        <w:rPr>
          <w:rFonts w:ascii="Arial" w:cs="Arial" w:eastAsia="Arial" w:hAnsi="Arial"/>
          <w:sz w:val="22"/>
          <w:szCs w:val="22"/>
          <w:color w:val="auto"/>
          <w:vertAlign w:val="superscript"/>
        </w:rPr>
      </w:pPr>
      <w:r>
        <w:rPr>
          <w:rFonts w:ascii="Arial" w:cs="Arial" w:eastAsia="Arial" w:hAnsi="Arial"/>
          <w:sz w:val="14"/>
          <w:szCs w:val="14"/>
          <w:color w:val="auto"/>
        </w:rPr>
        <w:t>Represents revenues for the trailing four quarters ended March 31, 2022. Revenues for GlaxoSmithKline plc, Roche Holding AG, and Sanofi S.A. were converted into U.S. dollars using Standard &amp; Poor’s Capital IQ.</w:t>
      </w:r>
    </w:p>
    <w:p>
      <w:pPr>
        <w:sectPr>
          <w:pgSz w:w="11900" w:h="16838" w:orient="portrait"/>
          <w:cols w:equalWidth="0" w:num="1">
            <w:col w:w="11140"/>
          </w:cols>
          <w:pgMar w:left="320" w:top="486" w:right="439" w:bottom="1440" w:gutter="0" w:footer="0" w:header="0"/>
          <w:type w:val="continuous"/>
        </w:sectPr>
      </w:pP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Peer Group Data Sources</w:t>
      </w:r>
    </w:p>
    <w:p>
      <w:pPr>
        <w:spacing w:after="0" w:line="124"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Our primary data sources for evaluating all elements of compensation for our CEO is data compiled by FW Cook from SEC filings of our peer group, including for the 25</w:t>
      </w:r>
      <w:r>
        <w:rPr>
          <w:rFonts w:ascii="Arial" w:cs="Arial" w:eastAsia="Arial" w:hAnsi="Arial"/>
          <w:sz w:val="12"/>
          <w:szCs w:val="12"/>
          <w:color w:val="auto"/>
        </w:rPr>
        <w:t>th</w:t>
      </w:r>
      <w:r>
        <w:rPr>
          <w:rFonts w:ascii="Arial" w:cs="Arial" w:eastAsia="Arial" w:hAnsi="Arial"/>
          <w:sz w:val="17"/>
          <w:szCs w:val="17"/>
          <w:color w:val="auto"/>
        </w:rPr>
        <w:t>, 50</w:t>
      </w:r>
      <w:r>
        <w:rPr>
          <w:rFonts w:ascii="Arial" w:cs="Arial" w:eastAsia="Arial" w:hAnsi="Arial"/>
          <w:sz w:val="12"/>
          <w:szCs w:val="12"/>
          <w:color w:val="auto"/>
        </w:rPr>
        <w:t>th</w:t>
      </w:r>
      <w:r>
        <w:rPr>
          <w:rFonts w:ascii="Arial" w:cs="Arial" w:eastAsia="Arial" w:hAnsi="Arial"/>
          <w:sz w:val="17"/>
          <w:szCs w:val="17"/>
          <w:color w:val="auto"/>
        </w:rPr>
        <w:t>, and 75</w:t>
      </w:r>
      <w:r>
        <w:rPr>
          <w:rFonts w:ascii="Arial" w:cs="Arial" w:eastAsia="Arial" w:hAnsi="Arial"/>
          <w:sz w:val="12"/>
          <w:szCs w:val="12"/>
          <w:color w:val="auto"/>
        </w:rPr>
        <w:t>th</w:t>
      </w:r>
      <w:r>
        <w:rPr>
          <w:rFonts w:ascii="Arial" w:cs="Arial" w:eastAsia="Arial" w:hAnsi="Arial"/>
          <w:sz w:val="17"/>
          <w:szCs w:val="17"/>
          <w:color w:val="auto"/>
        </w:rPr>
        <w:t xml:space="preserve"> percentiles of the specific compensation elements paid to CEOs in our peer group. For our other NEOs, our primary data sources for evaluating all elements of compensation are the Willis Towers Watson Pharmaceutical Human Resources Association Executive Compensation Survey, or PHS Survey, which provides peer company data, augmented by available data from proxy statements filed with the SEC for companies in our peer group. Our Executive Vice President, Global Commercial Operations role held by Mr. Gordon is well-matched in the PHS Survey. However, this role is not consistently well-represented in the peer group proxy statements and, as a result, to reflect the scope and criticality of the role, is instead benchmarked to the second highest paid named executive officer in such filings. Further, as a result of our single business unit structure,</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our Executive Vice President, Operations role held by Mr. Santos is not well-matched in either the PHS Survey or the peer group proxy statements as this role at our Company oversees a significantly broader scope of responsibilities. Due to this lack of comparability, the compensation for our Executive Vice President, Operations is determined in relation to the compensation decisions made for our other Executive Vice President roles. Based on this data (to the extent applicable), the Compensation Committee is presented with a comparison of each NEO on a position or pay rank basis (based on this data and to the extent applicable), with an analysis of each element of direct compensation for such NEO at the 50</w:t>
      </w:r>
      <w:r>
        <w:rPr>
          <w:rFonts w:ascii="Arial" w:cs="Arial" w:eastAsia="Arial" w:hAnsi="Arial"/>
          <w:sz w:val="12"/>
          <w:szCs w:val="12"/>
          <w:color w:val="auto"/>
        </w:rPr>
        <w:t>th</w:t>
      </w:r>
      <w:r>
        <w:rPr>
          <w:rFonts w:ascii="Arial" w:cs="Arial" w:eastAsia="Arial" w:hAnsi="Arial"/>
          <w:sz w:val="17"/>
          <w:szCs w:val="17"/>
          <w:color w:val="auto"/>
        </w:rPr>
        <w:t xml:space="preserve"> and 75</w:t>
      </w:r>
      <w:r>
        <w:rPr>
          <w:rFonts w:ascii="Arial" w:cs="Arial" w:eastAsia="Arial" w:hAnsi="Arial"/>
          <w:sz w:val="12"/>
          <w:szCs w:val="12"/>
          <w:color w:val="auto"/>
        </w:rPr>
        <w:t>th</w:t>
      </w:r>
      <w:r>
        <w:rPr>
          <w:rFonts w:ascii="Arial" w:cs="Arial" w:eastAsia="Arial" w:hAnsi="Arial"/>
          <w:sz w:val="17"/>
          <w:szCs w:val="17"/>
          <w:color w:val="auto"/>
        </w:rPr>
        <w:t xml:space="preserve"> percentile of the peer group. Because PHS Survey and proxy statement data is only available for the previous calendar year, consistent with generally accepted practice, base pay data is aged forward to the current year based on expected salary movement. Annual cash incentive award and LTI equity award market data are not adjusted for aging.</w:t>
      </w:r>
    </w:p>
    <w:p>
      <w:pPr>
        <w:spacing w:after="0" w:line="550"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74"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58</w:t>
      </w:r>
      <w:r>
        <w:rPr>
          <w:sz w:val="20"/>
          <w:szCs w:val="20"/>
          <w:color w:val="auto"/>
        </w:rPr>
        <w:tab/>
      </w:r>
      <w:r>
        <w:rPr>
          <w:sz w:val="1"/>
          <w:szCs w:val="1"/>
          <w:color w:val="auto"/>
        </w:rPr>
        <w:drawing>
          <wp:inline distT="0" distB="0" distL="0" distR="0">
            <wp:extent cx="582930" cy="13716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6960"/>
        <w:spacing w:after="0"/>
        <w:rPr>
          <w:sz w:val="20"/>
          <w:szCs w:val="20"/>
          <w:color w:val="auto"/>
        </w:rPr>
      </w:pPr>
      <w:r>
        <w:rPr>
          <w:rFonts w:ascii="Arial" w:cs="Arial" w:eastAsia="Arial" w:hAnsi="Arial"/>
          <w:sz w:val="21"/>
          <w:szCs w:val="21"/>
          <w:b w:val="1"/>
          <w:bCs w:val="1"/>
          <w:color w:val="FFFFFF"/>
          <w:shd w:val="clear" w:color="auto" w:fill="0171B9"/>
        </w:rPr>
        <w:t>Compensation Discussion and Analysis</w:t>
      </w:r>
    </w:p>
    <w:p>
      <w:pPr>
        <w:spacing w:after="0" w:line="379"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The “Market Median,” as applicable, is determined for our CEO and our other NEOs based on the prior year’s compensation and is reviewed by the Compensation Committee to inform compensation decisions made in March of each year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146685</wp:posOffset>
            </wp:positionV>
            <wp:extent cx="6995160" cy="2317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231775"/>
                    </a:xfrm>
                    <a:prstGeom prst="rect">
                      <a:avLst/>
                    </a:prstGeom>
                    <a:noFill/>
                  </pic:spPr>
                </pic:pic>
              </a:graphicData>
            </a:graphic>
          </wp:anchor>
        </w:drawing>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FFFFFF"/>
        </w:rPr>
        <w:t>Market Median</w:t>
      </w:r>
    </w:p>
    <w:p>
      <w:pPr>
        <w:spacing w:after="0" w:line="181" w:lineRule="exact"/>
        <w:rPr>
          <w:sz w:val="20"/>
          <w:szCs w:val="20"/>
          <w:color w:val="auto"/>
        </w:rPr>
      </w:pPr>
    </w:p>
    <w:p>
      <w:pPr>
        <w:ind w:left="1700"/>
        <w:spacing w:after="0"/>
        <w:tabs>
          <w:tab w:leader="none" w:pos="7920" w:val="left"/>
        </w:tabs>
        <w:rPr>
          <w:sz w:val="20"/>
          <w:szCs w:val="20"/>
          <w:color w:val="auto"/>
        </w:rPr>
      </w:pPr>
      <w:r>
        <w:rPr>
          <w:rFonts w:ascii="Arial" w:cs="Arial" w:eastAsia="Arial" w:hAnsi="Arial"/>
          <w:sz w:val="16"/>
          <w:szCs w:val="16"/>
          <w:b w:val="1"/>
          <w:bCs w:val="1"/>
          <w:color w:val="auto"/>
        </w:rPr>
        <w:t xml:space="preserve">CEO </w:t>
      </w:r>
      <w:r>
        <w:rPr>
          <w:rFonts w:ascii="Arial" w:cs="Arial" w:eastAsia="Arial" w:hAnsi="Arial"/>
          <w:sz w:val="16"/>
          <w:szCs w:val="16"/>
          <w:color w:val="auto"/>
        </w:rPr>
        <w:t>(compiled by FW Cook)</w:t>
      </w:r>
      <w:r>
        <w:rPr>
          <w:sz w:val="20"/>
          <w:szCs w:val="20"/>
          <w:color w:val="auto"/>
        </w:rPr>
        <w:tab/>
      </w:r>
      <w:r>
        <w:rPr>
          <w:rFonts w:ascii="Arial" w:cs="Arial" w:eastAsia="Arial" w:hAnsi="Arial"/>
          <w:sz w:val="16"/>
          <w:szCs w:val="16"/>
          <w:b w:val="1"/>
          <w:bCs w:val="1"/>
          <w:color w:val="auto"/>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7975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7975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179" w:lineRule="exact"/>
        <w:rPr>
          <w:sz w:val="20"/>
          <w:szCs w:val="20"/>
          <w:color w:val="auto"/>
        </w:rPr>
      </w:pPr>
    </w:p>
    <w:p>
      <w:pPr>
        <w:jc w:val="both"/>
        <w:ind w:left="400" w:right="40" w:hanging="214"/>
        <w:spacing w:after="0" w:line="238"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50</w:t>
      </w:r>
      <w:r>
        <w:rPr>
          <w:rFonts w:ascii="Arial" w:cs="Arial" w:eastAsia="Arial" w:hAnsi="Arial"/>
          <w:sz w:val="12"/>
          <w:szCs w:val="12"/>
          <w:color w:val="000000"/>
        </w:rPr>
        <w:t>th</w:t>
      </w:r>
      <w:r>
        <w:rPr>
          <w:rFonts w:ascii="Arial" w:cs="Arial" w:eastAsia="Arial" w:hAnsi="Arial"/>
          <w:sz w:val="17"/>
          <w:szCs w:val="17"/>
          <w:color w:val="0171B9"/>
        </w:rPr>
        <w:t xml:space="preserve"> </w:t>
      </w:r>
      <w:r>
        <w:rPr>
          <w:rFonts w:ascii="Arial" w:cs="Arial" w:eastAsia="Arial" w:hAnsi="Arial"/>
          <w:sz w:val="17"/>
          <w:szCs w:val="17"/>
          <w:color w:val="000000"/>
        </w:rPr>
        <w:t>percentile of each compensation element paid to CEOs in</w:t>
      </w:r>
      <w:r>
        <w:rPr>
          <w:rFonts w:ascii="Arial" w:cs="Arial" w:eastAsia="Arial" w:hAnsi="Arial"/>
          <w:sz w:val="17"/>
          <w:szCs w:val="17"/>
          <w:color w:val="0171B9"/>
        </w:rPr>
        <w:t xml:space="preserve"> </w:t>
      </w:r>
      <w:r>
        <w:rPr>
          <w:rFonts w:ascii="Arial" w:cs="Arial" w:eastAsia="Arial" w:hAnsi="Arial"/>
          <w:sz w:val="17"/>
          <w:szCs w:val="17"/>
          <w:color w:val="000000"/>
        </w:rPr>
        <w:t>our peer group in the previous year as reported in applicable proxy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389255</wp:posOffset>
            </wp:positionV>
            <wp:extent cx="69951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both"/>
        <w:ind w:right="260" w:hanging="214"/>
        <w:spacing w:after="0" w:line="235"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Average of the 50</w:t>
      </w:r>
      <w:r>
        <w:rPr>
          <w:rFonts w:ascii="Arial" w:cs="Arial" w:eastAsia="Arial" w:hAnsi="Arial"/>
          <w:sz w:val="12"/>
          <w:szCs w:val="12"/>
          <w:color w:val="000000"/>
        </w:rPr>
        <w:t>th</w:t>
      </w:r>
      <w:r>
        <w:rPr>
          <w:rFonts w:ascii="Arial" w:cs="Arial" w:eastAsia="Arial" w:hAnsi="Arial"/>
          <w:sz w:val="17"/>
          <w:szCs w:val="17"/>
          <w:color w:val="0171B9"/>
        </w:rPr>
        <w:t xml:space="preserve"> </w:t>
      </w:r>
      <w:r>
        <w:rPr>
          <w:rFonts w:ascii="Arial" w:cs="Arial" w:eastAsia="Arial" w:hAnsi="Arial"/>
          <w:sz w:val="17"/>
          <w:szCs w:val="17"/>
          <w:color w:val="000000"/>
        </w:rPr>
        <w:t>percentile of each compensation element</w:t>
      </w:r>
      <w:r>
        <w:rPr>
          <w:rFonts w:ascii="Arial" w:cs="Arial" w:eastAsia="Arial" w:hAnsi="Arial"/>
          <w:sz w:val="17"/>
          <w:szCs w:val="17"/>
          <w:color w:val="0171B9"/>
        </w:rPr>
        <w:t xml:space="preserve"> </w:t>
      </w:r>
      <w:r>
        <w:rPr>
          <w:rFonts w:ascii="Arial" w:cs="Arial" w:eastAsia="Arial" w:hAnsi="Arial"/>
          <w:sz w:val="17"/>
          <w:szCs w:val="17"/>
          <w:color w:val="000000"/>
        </w:rPr>
        <w:t>of our peer group from the PHS Survey and proxy statements for the previous year (with base pay data aged forward to the current year) modified for the Executive Vice President, Global Commercial Operations and Executive Vice President, Operations roles as described above.</w:t>
      </w:r>
    </w:p>
    <w:p>
      <w:pPr>
        <w:spacing w:after="0" w:line="200" w:lineRule="exact"/>
        <w:rPr>
          <w:sz w:val="20"/>
          <w:szCs w:val="20"/>
          <w:color w:val="auto"/>
        </w:rPr>
      </w:pPr>
    </w:p>
    <w:p>
      <w:pPr>
        <w:sectPr>
          <w:pgSz w:w="11900" w:h="16838" w:orient="portrait"/>
          <w:cols w:equalWidth="0" w:num="2">
            <w:col w:w="5400" w:space="720"/>
            <w:col w:w="5020"/>
          </w:cols>
          <w:pgMar w:left="320" w:top="486" w:right="439" w:bottom="1440" w:gutter="0" w:footer="0" w:header="0"/>
          <w:type w:val="continuous"/>
        </w:sectPr>
      </w:pPr>
    </w:p>
    <w:p>
      <w:pPr>
        <w:spacing w:after="0" w:line="15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Elements of Compensation and Specific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Described below are our three primary elements of executive compensation in order of magnitude: LTI equity awards; annual cash incentive awards; and base salaries.</w:t>
      </w:r>
    </w:p>
    <w:p>
      <w:pPr>
        <w:sectPr>
          <w:pgSz w:w="11900" w:h="16838" w:orient="portrait"/>
          <w:cols w:equalWidth="0" w:num="1">
            <w:col w:w="11140"/>
          </w:cols>
          <w:pgMar w:left="320" w:top="486" w:right="439" w:bottom="1440" w:gutter="0" w:footer="0" w:header="0"/>
          <w:type w:val="continuous"/>
        </w:sect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Long-Term Incentive Equity Awards</w:t>
      </w:r>
    </w:p>
    <w:p>
      <w:pPr>
        <w:spacing w:after="0" w:line="124"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Our compensation program aims to achieve the appropriate balance of compensation elements relative to the responsibilities of our staff members, with the result that the largest proportion of compensation for our CEO and the other NEOs is in the form of LTI equity awards that are risk-based and closely aligned with the creation of long-term stockholder value. For 2022, equity-based compensation represents 79% of our CEO’s target compensation and 68% of target compensation for our other NEOs, and 50% of annual equity awards are in the form of long-term performance units. In addition, while being mindful of stockholder dilution (see below), we also grant LTI equity awards each year to nearly all of our staff members worldwide to increase staff awareness of how our performance impacts stockholder value. We believe that our practice of granting equity-based compensation broadly has been a significant factor in advancing our strategic priorities by aligning all of our staff members’ (including our NEOs’) interests with those of our stockholders, rewarding execution of our strategy, fostering long-term focus, and enhancing retention.</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comprehensive, we have developed guidelines that trend in-line with available data and consider internal equity.) As illustrated, the resulting dilutive effect has been maintained at a generally consistent level over the past eight years after being significantly reduced between 2012 and 2015.</w:t>
      </w:r>
    </w:p>
    <w:p>
      <w:pPr>
        <w:spacing w:after="0" w:line="3009"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We Continue to Exercise Discipline in the Grant of</w:t>
      </w:r>
    </w:p>
    <w:p>
      <w:pPr>
        <w:ind w:left="120"/>
        <w:spacing w:after="0" w:line="235" w:lineRule="auto"/>
        <w:rPr>
          <w:sz w:val="20"/>
          <w:szCs w:val="20"/>
          <w:color w:val="auto"/>
        </w:rPr>
      </w:pPr>
      <w:r>
        <w:rPr>
          <w:rFonts w:ascii="Arial" w:cs="Arial" w:eastAsia="Arial" w:hAnsi="Arial"/>
          <w:sz w:val="20"/>
          <w:szCs w:val="20"/>
          <w:b w:val="1"/>
          <w:bCs w:val="1"/>
          <w:color w:val="auto"/>
        </w:rPr>
        <w:t>Long-Term Incentive Equity Awards—Monitoring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Dilution and Annual Equity Usage</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Compensation Committee balances the use of equity to align</w:t>
      </w:r>
    </w:p>
    <w:p>
      <w:pPr>
        <w:ind w:left="120"/>
        <w:spacing w:after="0" w:line="232" w:lineRule="auto"/>
        <w:rPr>
          <w:sz w:val="20"/>
          <w:szCs w:val="20"/>
          <w:color w:val="auto"/>
        </w:rPr>
      </w:pPr>
      <w:r>
        <w:rPr>
          <w:rFonts w:ascii="Arial" w:cs="Arial" w:eastAsia="Arial" w:hAnsi="Arial"/>
          <w:sz w:val="17"/>
          <w:szCs w:val="17"/>
          <w:color w:val="auto"/>
        </w:rPr>
        <w:t>staff members with our stockholders while striving to limit stockholder</w:t>
      </w:r>
    </w:p>
    <w:p>
      <w:pPr>
        <w:ind w:left="120"/>
        <w:spacing w:after="0" w:line="232" w:lineRule="auto"/>
        <w:rPr>
          <w:sz w:val="20"/>
          <w:szCs w:val="20"/>
          <w:color w:val="auto"/>
        </w:rPr>
      </w:pPr>
      <w:r>
        <w:rPr>
          <w:rFonts w:ascii="Arial" w:cs="Arial" w:eastAsia="Arial" w:hAnsi="Arial"/>
          <w:sz w:val="17"/>
          <w:szCs w:val="17"/>
          <w:color w:val="auto"/>
        </w:rPr>
        <w:t>dilution to that amount which investors would expect to experience</w:t>
      </w:r>
    </w:p>
    <w:p>
      <w:pPr>
        <w:ind w:left="120"/>
        <w:spacing w:after="0" w:line="232" w:lineRule="auto"/>
        <w:rPr>
          <w:sz w:val="20"/>
          <w:szCs w:val="20"/>
          <w:color w:val="auto"/>
        </w:rPr>
      </w:pPr>
      <w:r>
        <w:rPr>
          <w:rFonts w:ascii="Arial" w:cs="Arial" w:eastAsia="Arial" w:hAnsi="Arial"/>
          <w:sz w:val="17"/>
          <w:szCs w:val="17"/>
          <w:color w:val="auto"/>
        </w:rPr>
        <w:t>with members of our peer group. Annually, LTI equity award grant</w:t>
      </w:r>
    </w:p>
    <w:p>
      <w:pPr>
        <w:ind w:left="120"/>
        <w:spacing w:after="0" w:line="232" w:lineRule="auto"/>
        <w:rPr>
          <w:sz w:val="20"/>
          <w:szCs w:val="20"/>
          <w:color w:val="auto"/>
        </w:rPr>
      </w:pPr>
      <w:r>
        <w:rPr>
          <w:rFonts w:ascii="Arial" w:cs="Arial" w:eastAsia="Arial" w:hAnsi="Arial"/>
          <w:sz w:val="17"/>
          <w:szCs w:val="17"/>
          <w:color w:val="auto"/>
        </w:rPr>
        <w:t>guidelines are established for each Company job level targeting the</w:t>
      </w:r>
    </w:p>
    <w:p>
      <w:pPr>
        <w:ind w:left="120"/>
        <w:spacing w:after="0" w:line="232" w:lineRule="auto"/>
        <w:rPr>
          <w:sz w:val="20"/>
          <w:szCs w:val="20"/>
          <w:color w:val="auto"/>
        </w:rPr>
      </w:pPr>
      <w:r>
        <w:rPr>
          <w:rFonts w:ascii="Arial" w:cs="Arial" w:eastAsia="Arial" w:hAnsi="Arial"/>
          <w:sz w:val="17"/>
          <w:szCs w:val="17"/>
          <w:color w:val="auto"/>
        </w:rPr>
        <w:t>50</w:t>
      </w:r>
      <w:r>
        <w:rPr>
          <w:rFonts w:ascii="Arial" w:cs="Arial" w:eastAsia="Arial" w:hAnsi="Arial"/>
          <w:sz w:val="12"/>
          <w:szCs w:val="12"/>
          <w:color w:val="auto"/>
        </w:rPr>
        <w:t>th</w:t>
      </w:r>
      <w:r>
        <w:rPr>
          <w:rFonts w:ascii="Arial" w:cs="Arial" w:eastAsia="Arial" w:hAnsi="Arial"/>
          <w:sz w:val="17"/>
          <w:szCs w:val="17"/>
          <w:color w:val="auto"/>
        </w:rPr>
        <w:t xml:space="preserve"> percentile of our peer group for levels for which equity data is</w:t>
      </w:r>
    </w:p>
    <w:p>
      <w:pPr>
        <w:ind w:left="120"/>
        <w:spacing w:after="0" w:line="232" w:lineRule="auto"/>
        <w:rPr>
          <w:sz w:val="20"/>
          <w:szCs w:val="20"/>
          <w:color w:val="auto"/>
        </w:rPr>
      </w:pPr>
      <w:r>
        <w:rPr>
          <w:rFonts w:ascii="Arial" w:cs="Arial" w:eastAsia="Arial" w:hAnsi="Arial"/>
          <w:sz w:val="17"/>
          <w:szCs w:val="17"/>
          <w:color w:val="auto"/>
        </w:rPr>
        <w:t>broadly available, setting an annual LTI equity award budget at</w:t>
      </w:r>
    </w:p>
    <w:p>
      <w:pPr>
        <w:ind w:left="120"/>
        <w:spacing w:after="0" w:line="232" w:lineRule="auto"/>
        <w:rPr>
          <w:sz w:val="20"/>
          <w:szCs w:val="20"/>
          <w:color w:val="auto"/>
        </w:rPr>
      </w:pPr>
      <w:r>
        <w:rPr>
          <w:rFonts w:ascii="Arial" w:cs="Arial" w:eastAsia="Arial" w:hAnsi="Arial"/>
          <w:sz w:val="17"/>
          <w:szCs w:val="17"/>
          <w:color w:val="auto"/>
        </w:rPr>
        <w:t>approximately the 50</w:t>
      </w:r>
      <w:r>
        <w:rPr>
          <w:rFonts w:ascii="Arial" w:cs="Arial" w:eastAsia="Arial" w:hAnsi="Arial"/>
          <w:sz w:val="12"/>
          <w:szCs w:val="12"/>
          <w:color w:val="auto"/>
        </w:rPr>
        <w:t>th</w:t>
      </w:r>
      <w:r>
        <w:rPr>
          <w:rFonts w:ascii="Arial" w:cs="Arial" w:eastAsia="Arial" w:hAnsi="Arial"/>
          <w:sz w:val="17"/>
          <w:szCs w:val="17"/>
          <w:color w:val="auto"/>
        </w:rPr>
        <w:t xml:space="preserve"> percentile of our peer group, and reviewing the</w:t>
      </w:r>
    </w:p>
    <w:p>
      <w:pPr>
        <w:ind w:left="120"/>
        <w:spacing w:after="0" w:line="232" w:lineRule="auto"/>
        <w:rPr>
          <w:sz w:val="20"/>
          <w:szCs w:val="20"/>
          <w:color w:val="auto"/>
        </w:rPr>
      </w:pPr>
      <w:r>
        <w:rPr>
          <w:rFonts w:ascii="Arial" w:cs="Arial" w:eastAsia="Arial" w:hAnsi="Arial"/>
          <w:sz w:val="17"/>
          <w:szCs w:val="17"/>
          <w:color w:val="auto"/>
        </w:rPr>
        <w:t>Shareholder Value Transfer (SVT) associated with the proposed</w:t>
      </w:r>
    </w:p>
    <w:p>
      <w:pPr>
        <w:ind w:left="120"/>
        <w:spacing w:after="0" w:line="232" w:lineRule="auto"/>
        <w:rPr>
          <w:sz w:val="20"/>
          <w:szCs w:val="20"/>
          <w:color w:val="auto"/>
        </w:rPr>
      </w:pPr>
      <w:r>
        <w:rPr>
          <w:rFonts w:ascii="Arial" w:cs="Arial" w:eastAsia="Arial" w:hAnsi="Arial"/>
          <w:sz w:val="17"/>
          <w:szCs w:val="17"/>
          <w:color w:val="auto"/>
        </w:rPr>
        <w:t>aggregate LTI equity award grants to ensure that our SVT is aligned</w:t>
      </w:r>
    </w:p>
    <w:p>
      <w:pPr>
        <w:ind w:left="120"/>
        <w:spacing w:after="0" w:line="232" w:lineRule="auto"/>
        <w:rPr>
          <w:sz w:val="20"/>
          <w:szCs w:val="20"/>
          <w:color w:val="auto"/>
        </w:rPr>
      </w:pPr>
      <w:r>
        <w:rPr>
          <w:rFonts w:ascii="Arial" w:cs="Arial" w:eastAsia="Arial" w:hAnsi="Arial"/>
          <w:sz w:val="17"/>
          <w:szCs w:val="17"/>
          <w:color w:val="auto"/>
        </w:rPr>
        <w:t>with our peer group practices. (For certain lower job levels where data</w:t>
      </w:r>
    </w:p>
    <w:p>
      <w:pPr>
        <w:ind w:left="120"/>
        <w:spacing w:after="0"/>
        <w:rPr>
          <w:sz w:val="20"/>
          <w:szCs w:val="20"/>
          <w:color w:val="auto"/>
        </w:rPr>
      </w:pPr>
      <w:r>
        <w:rPr>
          <w:rFonts w:ascii="Arial" w:cs="Arial" w:eastAsia="Arial" w:hAnsi="Arial"/>
          <w:sz w:val="17"/>
          <w:szCs w:val="17"/>
          <w:color w:val="auto"/>
        </w:rPr>
        <w:t>is not as</w:t>
      </w:r>
    </w:p>
    <w:p>
      <w:pPr>
        <w:spacing w:after="0" w:line="280"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6960"/>
        <w:spacing w:after="0"/>
        <w:rPr>
          <w:sz w:val="20"/>
          <w:szCs w:val="20"/>
          <w:color w:val="auto"/>
        </w:rPr>
      </w:pPr>
      <w:r>
        <w:rPr>
          <w:rFonts w:ascii="Arial" w:cs="Arial" w:eastAsia="Arial" w:hAnsi="Arial"/>
          <w:sz w:val="21"/>
          <w:szCs w:val="21"/>
          <w:b w:val="1"/>
          <w:bCs w:val="1"/>
          <w:color w:val="FFFFFF"/>
          <w:shd w:val="clear" w:color="auto" w:fill="0171B9"/>
        </w:rPr>
        <w:t>Compensation Discussion and Analysis</w:t>
      </w:r>
    </w:p>
    <w:p>
      <w:pPr>
        <w:spacing w:after="0" w:line="200" w:lineRule="exact"/>
        <w:rPr>
          <w:sz w:val="20"/>
          <w:szCs w:val="20"/>
          <w:color w:val="auto"/>
        </w:rPr>
      </w:pPr>
    </w:p>
    <w:p>
      <w:pPr>
        <w:spacing w:after="0" w:line="211" w:lineRule="exact"/>
        <w:rPr>
          <w:sz w:val="20"/>
          <w:szCs w:val="20"/>
          <w:color w:val="auto"/>
        </w:rPr>
      </w:pPr>
    </w:p>
    <w:p>
      <w:pPr>
        <w:ind w:left="120"/>
        <w:spacing w:after="0"/>
        <w:tabs>
          <w:tab w:leader="none" w:pos="7100" w:val="left"/>
        </w:tabs>
        <w:rPr>
          <w:sz w:val="20"/>
          <w:szCs w:val="20"/>
          <w:color w:val="auto"/>
        </w:rPr>
      </w:pPr>
      <w:r>
        <w:rPr>
          <w:rFonts w:ascii="Arial" w:cs="Arial" w:eastAsia="Arial" w:hAnsi="Arial"/>
          <w:sz w:val="20"/>
          <w:szCs w:val="20"/>
          <w:b w:val="1"/>
          <w:bCs w:val="1"/>
          <w:color w:val="auto"/>
        </w:rPr>
        <w:t>Long-Term Incentive Equity Award Mix</w:t>
      </w:r>
      <w:r>
        <w:rPr>
          <w:sz w:val="20"/>
          <w:szCs w:val="20"/>
          <w:color w:val="auto"/>
        </w:rPr>
        <w:tab/>
      </w:r>
      <w:r>
        <w:rPr>
          <w:rFonts w:ascii="Arial" w:cs="Arial" w:eastAsia="Arial" w:hAnsi="Arial"/>
          <w:sz w:val="19"/>
          <w:szCs w:val="19"/>
          <w:b w:val="1"/>
          <w:bCs w:val="1"/>
          <w:color w:val="0171B9"/>
        </w:rPr>
        <w:t>LTI Equity Award Allocation</w:t>
      </w:r>
    </w:p>
    <w:p>
      <w:pPr>
        <w:spacing w:after="0" w:line="115" w:lineRule="exact"/>
        <w:rPr>
          <w:sz w:val="20"/>
          <w:szCs w:val="20"/>
          <w:color w:val="auto"/>
        </w:rPr>
      </w:pPr>
    </w:p>
    <w:p>
      <w:pPr>
        <w:jc w:val="both"/>
        <w:ind w:left="120" w:right="5740"/>
        <w:spacing w:after="0" w:line="233" w:lineRule="auto"/>
        <w:rPr>
          <w:sz w:val="20"/>
          <w:szCs w:val="20"/>
          <w:color w:val="auto"/>
        </w:rPr>
      </w:pPr>
      <w:r>
        <w:rPr>
          <w:rFonts w:ascii="Arial" w:cs="Arial" w:eastAsia="Arial" w:hAnsi="Arial"/>
          <w:sz w:val="17"/>
          <w:szCs w:val="17"/>
          <w:color w:val="auto"/>
        </w:rPr>
        <w:t>As part of its annual evaluation of our LTI equity award practices, the Compensation Committee reviewed our LTI equity award mix with FW Cook and elected to maintain the previous year’s LTI equity award allocation for 2021 given its pay-for-performance alignment. As such, 80% of our annual equity award value continued to be delivered as performance-based LTI equity awards consisting of performance units (50%) and stock options (30%). Time-vested RSUs, designed to foster retention, continued to comprise the remaining 20% of equity value. Both our stock options and RSUs generally vest over four years (with no vesting in the first year and vesting in three approximately equal annual installments on the second, third, and fourth anniversaries of the grant date). The delay in the commencement of vesting furthers the longer-term performance emphasis of our LTI equity award program and enhances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-1597025</wp:posOffset>
            </wp:positionV>
            <wp:extent cx="3351530" cy="19202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5153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Value of 2022 Annual Long-Term Incentive Equity Awards</w:t>
      </w:r>
    </w:p>
    <w:p>
      <w:pPr>
        <w:spacing w:after="0" w:line="11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Based on a review of Company and executive performance and market data, the Compensation Committee determined to grant the following annual LTI equity award grant values to our CEO and the other NEOs in March 2022, with an effective grant date of April 30, 2022, the third business day after the announcement of our first quarter 2022 earnings results in accordance with our equity grant policy.</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580" w:type="dxa"/>
            <w:vAlign w:val="bottom"/>
            <w:shd w:val="clear" w:color="auto" w:fill="0171B9"/>
          </w:tcPr>
          <w:p>
            <w:pPr>
              <w:spacing w:after="0"/>
              <w:rPr>
                <w:sz w:val="16"/>
                <w:szCs w:val="16"/>
                <w:color w:val="auto"/>
              </w:rPr>
            </w:pPr>
          </w:p>
        </w:tc>
        <w:tc>
          <w:tcPr>
            <w:tcW w:w="1260" w:type="dxa"/>
            <w:vAlign w:val="bottom"/>
            <w:shd w:val="clear" w:color="auto" w:fill="0171B9"/>
          </w:tcPr>
          <w:p>
            <w:pPr>
              <w:spacing w:after="0"/>
              <w:rPr>
                <w:sz w:val="16"/>
                <w:szCs w:val="16"/>
                <w:color w:val="auto"/>
              </w:rPr>
            </w:pPr>
          </w:p>
        </w:tc>
        <w:tc>
          <w:tcPr>
            <w:tcW w:w="1080" w:type="dxa"/>
            <w:vAlign w:val="bottom"/>
            <w:shd w:val="clear" w:color="auto" w:fill="0171B9"/>
          </w:tcPr>
          <w:p>
            <w:pPr>
              <w:spacing w:after="0"/>
              <w:rPr>
                <w:sz w:val="16"/>
                <w:szCs w:val="16"/>
                <w:color w:val="auto"/>
              </w:rPr>
            </w:pPr>
          </w:p>
        </w:tc>
        <w:tc>
          <w:tcPr>
            <w:tcW w:w="1140" w:type="dxa"/>
            <w:vAlign w:val="bottom"/>
            <w:shd w:val="clear" w:color="auto" w:fill="0171B9"/>
          </w:tcPr>
          <w:p>
            <w:pPr>
              <w:jc w:val="right"/>
              <w:ind w:right="99"/>
              <w:spacing w:after="0"/>
              <w:rPr>
                <w:sz w:val="20"/>
                <w:szCs w:val="20"/>
                <w:color w:val="auto"/>
              </w:rPr>
            </w:pPr>
            <w:r>
              <w:rPr>
                <w:rFonts w:ascii="Arial" w:cs="Arial" w:eastAsia="Arial" w:hAnsi="Arial"/>
                <w:sz w:val="16"/>
                <w:szCs w:val="16"/>
                <w:b w:val="1"/>
                <w:bCs w:val="1"/>
                <w:color w:val="FFFFFF"/>
              </w:rPr>
              <w:t>Restricted</w:t>
            </w:r>
          </w:p>
        </w:tc>
        <w:tc>
          <w:tcPr>
            <w:tcW w:w="1300" w:type="dxa"/>
            <w:vAlign w:val="bottom"/>
            <w:shd w:val="clear" w:color="auto" w:fill="0171B9"/>
          </w:tcPr>
          <w:p>
            <w:pPr>
              <w:jc w:val="right"/>
              <w:ind w:right="119"/>
              <w:spacing w:after="0"/>
              <w:rPr>
                <w:sz w:val="20"/>
                <w:szCs w:val="20"/>
                <w:color w:val="auto"/>
              </w:rPr>
            </w:pPr>
            <w:r>
              <w:rPr>
                <w:rFonts w:ascii="Arial" w:cs="Arial" w:eastAsia="Arial" w:hAnsi="Arial"/>
                <w:sz w:val="16"/>
                <w:szCs w:val="16"/>
                <w:b w:val="1"/>
                <w:bCs w:val="1"/>
                <w:color w:val="FFFFFF"/>
              </w:rPr>
              <w:t>Total Equity</w:t>
            </w:r>
          </w:p>
        </w:tc>
        <w:tc>
          <w:tcPr>
            <w:tcW w:w="1220" w:type="dxa"/>
            <w:vAlign w:val="bottom"/>
            <w:shd w:val="clear" w:color="auto" w:fill="0171B9"/>
          </w:tcPr>
          <w:p>
            <w:pPr>
              <w:jc w:val="right"/>
              <w:ind w:right="140"/>
              <w:spacing w:after="0"/>
              <w:rPr>
                <w:sz w:val="20"/>
                <w:szCs w:val="20"/>
                <w:color w:val="auto"/>
              </w:rPr>
            </w:pPr>
            <w:r>
              <w:rPr>
                <w:rFonts w:ascii="Arial" w:cs="Arial" w:eastAsia="Arial" w:hAnsi="Arial"/>
                <w:sz w:val="16"/>
                <w:szCs w:val="16"/>
                <w:b w:val="1"/>
                <w:bCs w:val="1"/>
                <w:color w:val="FFFFFF"/>
              </w:rPr>
              <w:t>2021</w:t>
            </w:r>
          </w:p>
        </w:tc>
        <w:tc>
          <w:tcPr>
            <w:tcW w:w="1440" w:type="dxa"/>
            <w:vAlign w:val="bottom"/>
            <w:shd w:val="clear" w:color="auto" w:fill="0171B9"/>
          </w:tcPr>
          <w:p>
            <w:pPr>
              <w:jc w:val="right"/>
              <w:ind w:right="19"/>
              <w:spacing w:after="0"/>
              <w:rPr>
                <w:sz w:val="20"/>
                <w:szCs w:val="20"/>
                <w:color w:val="auto"/>
              </w:rPr>
            </w:pPr>
            <w:r>
              <w:rPr>
                <w:rFonts w:ascii="Arial" w:cs="Arial" w:eastAsia="Arial" w:hAnsi="Arial"/>
                <w:sz w:val="16"/>
                <w:szCs w:val="16"/>
                <w:b w:val="1"/>
                <w:bCs w:val="1"/>
                <w:color w:val="FFFFFF"/>
              </w:rPr>
              <w:t>Difference vs.</w:t>
            </w:r>
          </w:p>
        </w:tc>
      </w:tr>
      <w:tr>
        <w:trPr>
          <w:trHeight w:val="189"/>
        </w:trPr>
        <w:tc>
          <w:tcPr>
            <w:tcW w:w="3580" w:type="dxa"/>
            <w:vAlign w:val="bottom"/>
            <w:shd w:val="clear" w:color="auto" w:fill="0171B9"/>
          </w:tcPr>
          <w:p>
            <w:pPr>
              <w:spacing w:after="0"/>
              <w:rPr>
                <w:sz w:val="16"/>
                <w:szCs w:val="16"/>
                <w:color w:val="auto"/>
              </w:rPr>
            </w:pPr>
          </w:p>
        </w:tc>
        <w:tc>
          <w:tcPr>
            <w:tcW w:w="1260" w:type="dxa"/>
            <w:vAlign w:val="bottom"/>
            <w:shd w:val="clear" w:color="auto" w:fill="0171B9"/>
          </w:tcPr>
          <w:p>
            <w:pPr>
              <w:jc w:val="right"/>
              <w:ind w:right="80"/>
              <w:spacing w:after="0"/>
              <w:rPr>
                <w:sz w:val="20"/>
                <w:szCs w:val="20"/>
                <w:color w:val="auto"/>
              </w:rPr>
            </w:pPr>
            <w:r>
              <w:rPr>
                <w:rFonts w:ascii="Arial" w:cs="Arial" w:eastAsia="Arial" w:hAnsi="Arial"/>
                <w:sz w:val="16"/>
                <w:szCs w:val="16"/>
                <w:b w:val="1"/>
                <w:bCs w:val="1"/>
                <w:color w:val="FFFFFF"/>
              </w:rPr>
              <w:t>Performance</w:t>
            </w:r>
          </w:p>
        </w:tc>
        <w:tc>
          <w:tcPr>
            <w:tcW w:w="1080" w:type="dxa"/>
            <w:vAlign w:val="bottom"/>
            <w:shd w:val="clear" w:color="auto" w:fill="0171B9"/>
          </w:tcPr>
          <w:p>
            <w:pPr>
              <w:jc w:val="right"/>
              <w:ind w:right="99"/>
              <w:spacing w:after="0"/>
              <w:rPr>
                <w:sz w:val="20"/>
                <w:szCs w:val="20"/>
                <w:color w:val="auto"/>
              </w:rPr>
            </w:pPr>
            <w:r>
              <w:rPr>
                <w:rFonts w:ascii="Arial" w:cs="Arial" w:eastAsia="Arial" w:hAnsi="Arial"/>
                <w:sz w:val="16"/>
                <w:szCs w:val="16"/>
                <w:b w:val="1"/>
                <w:bCs w:val="1"/>
                <w:color w:val="FFFFFF"/>
              </w:rPr>
              <w:t>Stock</w:t>
            </w:r>
          </w:p>
        </w:tc>
        <w:tc>
          <w:tcPr>
            <w:tcW w:w="1140" w:type="dxa"/>
            <w:vAlign w:val="bottom"/>
            <w:shd w:val="clear" w:color="auto" w:fill="0171B9"/>
          </w:tcPr>
          <w:p>
            <w:pPr>
              <w:jc w:val="right"/>
              <w:ind w:right="99"/>
              <w:spacing w:after="0"/>
              <w:rPr>
                <w:sz w:val="20"/>
                <w:szCs w:val="20"/>
                <w:color w:val="auto"/>
              </w:rPr>
            </w:pPr>
            <w:r>
              <w:rPr>
                <w:rFonts w:ascii="Arial" w:cs="Arial" w:eastAsia="Arial" w:hAnsi="Arial"/>
                <w:sz w:val="16"/>
                <w:szCs w:val="16"/>
                <w:b w:val="1"/>
                <w:bCs w:val="1"/>
                <w:color w:val="FFFFFF"/>
              </w:rPr>
              <w:t>Stock</w:t>
            </w:r>
          </w:p>
        </w:tc>
        <w:tc>
          <w:tcPr>
            <w:tcW w:w="1300" w:type="dxa"/>
            <w:vAlign w:val="bottom"/>
            <w:shd w:val="clear" w:color="auto" w:fill="0171B9"/>
          </w:tcPr>
          <w:p>
            <w:pPr>
              <w:jc w:val="right"/>
              <w:ind w:right="119"/>
              <w:spacing w:after="0"/>
              <w:rPr>
                <w:sz w:val="20"/>
                <w:szCs w:val="20"/>
                <w:color w:val="auto"/>
              </w:rPr>
            </w:pPr>
            <w:r>
              <w:rPr>
                <w:rFonts w:ascii="Arial" w:cs="Arial" w:eastAsia="Arial" w:hAnsi="Arial"/>
                <w:sz w:val="16"/>
                <w:szCs w:val="16"/>
                <w:b w:val="1"/>
                <w:bCs w:val="1"/>
                <w:color w:val="FFFFFF"/>
              </w:rPr>
              <w:t>Value</w:t>
            </w:r>
          </w:p>
        </w:tc>
        <w:tc>
          <w:tcPr>
            <w:tcW w:w="1220" w:type="dxa"/>
            <w:vAlign w:val="bottom"/>
            <w:shd w:val="clear" w:color="auto" w:fill="0171B9"/>
          </w:tcPr>
          <w:p>
            <w:pPr>
              <w:jc w:val="right"/>
              <w:ind w:right="140"/>
              <w:spacing w:after="0"/>
              <w:rPr>
                <w:sz w:val="20"/>
                <w:szCs w:val="20"/>
                <w:color w:val="auto"/>
              </w:rPr>
            </w:pPr>
            <w:r>
              <w:rPr>
                <w:rFonts w:ascii="Arial" w:cs="Arial" w:eastAsia="Arial" w:hAnsi="Arial"/>
                <w:sz w:val="16"/>
                <w:szCs w:val="16"/>
                <w:b w:val="1"/>
                <w:bCs w:val="1"/>
                <w:color w:val="FFFFFF"/>
              </w:rPr>
              <w:t>Market</w:t>
            </w:r>
          </w:p>
        </w:tc>
        <w:tc>
          <w:tcPr>
            <w:tcW w:w="1440" w:type="dxa"/>
            <w:vAlign w:val="bottom"/>
            <w:shd w:val="clear" w:color="auto" w:fill="0171B9"/>
          </w:tcPr>
          <w:p>
            <w:pPr>
              <w:jc w:val="right"/>
              <w:ind w:right="19"/>
              <w:spacing w:after="0"/>
              <w:rPr>
                <w:sz w:val="20"/>
                <w:szCs w:val="20"/>
                <w:color w:val="auto"/>
              </w:rPr>
            </w:pPr>
            <w:r>
              <w:rPr>
                <w:rFonts w:ascii="Arial" w:cs="Arial" w:eastAsia="Arial" w:hAnsi="Arial"/>
                <w:sz w:val="16"/>
                <w:szCs w:val="16"/>
                <w:b w:val="1"/>
                <w:bCs w:val="1"/>
                <w:color w:val="FFFFFF"/>
              </w:rPr>
              <w:t>Market Median</w:t>
            </w:r>
          </w:p>
        </w:tc>
      </w:tr>
      <w:tr>
        <w:trPr>
          <w:trHeight w:val="189"/>
        </w:trPr>
        <w:tc>
          <w:tcPr>
            <w:tcW w:w="3580" w:type="dxa"/>
            <w:vAlign w:val="bottom"/>
            <w:shd w:val="clear" w:color="auto" w:fill="0171B9"/>
          </w:tcPr>
          <w:p>
            <w:pPr>
              <w:spacing w:after="0"/>
              <w:rPr>
                <w:sz w:val="16"/>
                <w:szCs w:val="16"/>
                <w:color w:val="auto"/>
              </w:rPr>
            </w:pPr>
          </w:p>
        </w:tc>
        <w:tc>
          <w:tcPr>
            <w:tcW w:w="1260" w:type="dxa"/>
            <w:vAlign w:val="bottom"/>
            <w:shd w:val="clear" w:color="auto" w:fill="0171B9"/>
          </w:tcPr>
          <w:p>
            <w:pPr>
              <w:jc w:val="right"/>
              <w:ind w:right="80"/>
              <w:spacing w:after="0" w:line="189" w:lineRule="exact"/>
              <w:rPr>
                <w:sz w:val="20"/>
                <w:szCs w:val="20"/>
                <w:color w:val="auto"/>
              </w:rPr>
            </w:pPr>
            <w:r>
              <w:rPr>
                <w:rFonts w:ascii="Arial" w:cs="Arial" w:eastAsia="Arial" w:hAnsi="Arial"/>
                <w:sz w:val="14"/>
                <w:szCs w:val="14"/>
                <w:b w:val="1"/>
                <w:bCs w:val="1"/>
                <w:color w:val="FFFFFF"/>
              </w:rPr>
              <w:t>Units</w:t>
            </w:r>
            <w:r>
              <w:rPr>
                <w:rFonts w:ascii="Arial" w:cs="Arial" w:eastAsia="Arial" w:hAnsi="Arial"/>
                <w:sz w:val="21"/>
                <w:szCs w:val="21"/>
                <w:b w:val="1"/>
                <w:bCs w:val="1"/>
                <w:color w:val="FFFFFF"/>
                <w:vertAlign w:val="superscript"/>
              </w:rPr>
              <w:t>(1)</w:t>
            </w:r>
          </w:p>
        </w:tc>
        <w:tc>
          <w:tcPr>
            <w:tcW w:w="1080" w:type="dxa"/>
            <w:vAlign w:val="bottom"/>
            <w:shd w:val="clear" w:color="auto" w:fill="0171B9"/>
          </w:tcPr>
          <w:p>
            <w:pPr>
              <w:jc w:val="right"/>
              <w:ind w:right="99"/>
              <w:spacing w:after="0"/>
              <w:rPr>
                <w:sz w:val="20"/>
                <w:szCs w:val="20"/>
                <w:color w:val="auto"/>
              </w:rPr>
            </w:pPr>
            <w:r>
              <w:rPr>
                <w:rFonts w:ascii="Arial" w:cs="Arial" w:eastAsia="Arial" w:hAnsi="Arial"/>
                <w:sz w:val="16"/>
                <w:szCs w:val="16"/>
                <w:b w:val="1"/>
                <w:bCs w:val="1"/>
                <w:color w:val="FFFFFF"/>
              </w:rPr>
              <w:t>Options</w:t>
            </w:r>
          </w:p>
        </w:tc>
        <w:tc>
          <w:tcPr>
            <w:tcW w:w="1140" w:type="dxa"/>
            <w:vAlign w:val="bottom"/>
            <w:shd w:val="clear" w:color="auto" w:fill="0171B9"/>
          </w:tcPr>
          <w:p>
            <w:pPr>
              <w:jc w:val="right"/>
              <w:ind w:right="99"/>
              <w:spacing w:after="0"/>
              <w:rPr>
                <w:sz w:val="20"/>
                <w:szCs w:val="20"/>
                <w:color w:val="auto"/>
              </w:rPr>
            </w:pPr>
            <w:r>
              <w:rPr>
                <w:rFonts w:ascii="Arial" w:cs="Arial" w:eastAsia="Arial" w:hAnsi="Arial"/>
                <w:sz w:val="16"/>
                <w:szCs w:val="16"/>
                <w:b w:val="1"/>
                <w:bCs w:val="1"/>
                <w:color w:val="FFFFFF"/>
              </w:rPr>
              <w:t>Units</w:t>
            </w:r>
          </w:p>
        </w:tc>
        <w:tc>
          <w:tcPr>
            <w:tcW w:w="1300" w:type="dxa"/>
            <w:vAlign w:val="bottom"/>
            <w:shd w:val="clear" w:color="auto" w:fill="0171B9"/>
          </w:tcPr>
          <w:p>
            <w:pPr>
              <w:jc w:val="right"/>
              <w:ind w:right="119"/>
              <w:spacing w:after="0"/>
              <w:rPr>
                <w:sz w:val="20"/>
                <w:szCs w:val="20"/>
                <w:color w:val="auto"/>
              </w:rPr>
            </w:pPr>
            <w:r>
              <w:rPr>
                <w:rFonts w:ascii="Arial" w:cs="Arial" w:eastAsia="Arial" w:hAnsi="Arial"/>
                <w:sz w:val="16"/>
                <w:szCs w:val="16"/>
                <w:b w:val="1"/>
                <w:bCs w:val="1"/>
                <w:color w:val="FFFFFF"/>
              </w:rPr>
              <w:t>Granted</w:t>
            </w:r>
          </w:p>
        </w:tc>
        <w:tc>
          <w:tcPr>
            <w:tcW w:w="1220" w:type="dxa"/>
            <w:vAlign w:val="bottom"/>
            <w:shd w:val="clear" w:color="auto" w:fill="0171B9"/>
          </w:tcPr>
          <w:p>
            <w:pPr>
              <w:jc w:val="right"/>
              <w:ind w:right="140"/>
              <w:spacing w:after="0" w:line="189" w:lineRule="exact"/>
              <w:rPr>
                <w:sz w:val="20"/>
                <w:szCs w:val="20"/>
                <w:color w:val="auto"/>
              </w:rPr>
            </w:pPr>
            <w:r>
              <w:rPr>
                <w:rFonts w:ascii="Arial" w:cs="Arial" w:eastAsia="Arial" w:hAnsi="Arial"/>
                <w:sz w:val="14"/>
                <w:szCs w:val="14"/>
                <w:b w:val="1"/>
                <w:bCs w:val="1"/>
                <w:color w:val="FFFFFF"/>
              </w:rPr>
              <w:t>Median</w:t>
            </w:r>
            <w:r>
              <w:rPr>
                <w:rFonts w:ascii="Arial" w:cs="Arial" w:eastAsia="Arial" w:hAnsi="Arial"/>
                <w:sz w:val="21"/>
                <w:szCs w:val="21"/>
                <w:b w:val="1"/>
                <w:bCs w:val="1"/>
                <w:color w:val="FFFFFF"/>
                <w:vertAlign w:val="superscript"/>
              </w:rPr>
              <w:t>(2)</w:t>
            </w:r>
          </w:p>
        </w:tc>
        <w:tc>
          <w:tcPr>
            <w:tcW w:w="1440" w:type="dxa"/>
            <w:vAlign w:val="bottom"/>
            <w:shd w:val="clear" w:color="auto" w:fill="0171B9"/>
          </w:tcPr>
          <w:p>
            <w:pPr>
              <w:jc w:val="right"/>
              <w:ind w:right="19"/>
              <w:spacing w:after="0"/>
              <w:rPr>
                <w:sz w:val="20"/>
                <w:szCs w:val="20"/>
                <w:color w:val="auto"/>
              </w:rPr>
            </w:pPr>
            <w:r>
              <w:rPr>
                <w:rFonts w:ascii="Arial" w:cs="Arial" w:eastAsia="Arial" w:hAnsi="Arial"/>
                <w:sz w:val="16"/>
                <w:szCs w:val="16"/>
                <w:b w:val="1"/>
                <w:bCs w:val="1"/>
                <w:color w:val="FFFFFF"/>
              </w:rPr>
              <w:t>Over/(Under)</w:t>
            </w:r>
          </w:p>
        </w:tc>
      </w:tr>
      <w:tr>
        <w:trPr>
          <w:trHeight w:val="221"/>
        </w:trPr>
        <w:tc>
          <w:tcPr>
            <w:tcW w:w="3580" w:type="dxa"/>
            <w:vAlign w:val="bottom"/>
            <w:shd w:val="clear" w:color="auto" w:fill="0171B9"/>
          </w:tcPr>
          <w:p>
            <w:pPr>
              <w:ind w:left="80"/>
              <w:spacing w:after="0"/>
              <w:rPr>
                <w:sz w:val="20"/>
                <w:szCs w:val="20"/>
                <w:color w:val="auto"/>
              </w:rPr>
            </w:pPr>
            <w:r>
              <w:rPr>
                <w:rFonts w:ascii="Arial" w:cs="Arial" w:eastAsia="Arial" w:hAnsi="Arial"/>
                <w:sz w:val="16"/>
                <w:szCs w:val="16"/>
                <w:b w:val="1"/>
                <w:bCs w:val="1"/>
                <w:color w:val="FFFFFF"/>
              </w:rPr>
              <w:t>Named Executive Officer</w:t>
            </w:r>
          </w:p>
        </w:tc>
        <w:tc>
          <w:tcPr>
            <w:tcW w:w="1260" w:type="dxa"/>
            <w:vAlign w:val="bottom"/>
            <w:shd w:val="clear" w:color="auto" w:fill="0171B9"/>
          </w:tcPr>
          <w:p>
            <w:pPr>
              <w:jc w:val="right"/>
              <w:ind w:right="80"/>
              <w:spacing w:after="0"/>
              <w:rPr>
                <w:sz w:val="20"/>
                <w:szCs w:val="20"/>
                <w:color w:val="auto"/>
              </w:rPr>
            </w:pPr>
            <w:r>
              <w:rPr>
                <w:rFonts w:ascii="Arial" w:cs="Arial" w:eastAsia="Arial" w:hAnsi="Arial"/>
                <w:sz w:val="16"/>
                <w:szCs w:val="16"/>
                <w:b w:val="1"/>
                <w:bCs w:val="1"/>
                <w:color w:val="FFFFFF"/>
              </w:rPr>
              <w:t>($)</w:t>
            </w:r>
          </w:p>
        </w:tc>
        <w:tc>
          <w:tcPr>
            <w:tcW w:w="1080" w:type="dxa"/>
            <w:vAlign w:val="bottom"/>
            <w:shd w:val="clear" w:color="auto" w:fill="0171B9"/>
          </w:tcPr>
          <w:p>
            <w:pPr>
              <w:jc w:val="right"/>
              <w:ind w:right="99"/>
              <w:spacing w:after="0"/>
              <w:rPr>
                <w:sz w:val="20"/>
                <w:szCs w:val="20"/>
                <w:color w:val="auto"/>
              </w:rPr>
            </w:pPr>
            <w:r>
              <w:rPr>
                <w:rFonts w:ascii="Arial" w:cs="Arial" w:eastAsia="Arial" w:hAnsi="Arial"/>
                <w:sz w:val="16"/>
                <w:szCs w:val="16"/>
                <w:b w:val="1"/>
                <w:bCs w:val="1"/>
                <w:color w:val="FFFFFF"/>
              </w:rPr>
              <w:t>($)</w:t>
            </w:r>
          </w:p>
        </w:tc>
        <w:tc>
          <w:tcPr>
            <w:tcW w:w="1140" w:type="dxa"/>
            <w:vAlign w:val="bottom"/>
            <w:shd w:val="clear" w:color="auto" w:fill="0171B9"/>
          </w:tcPr>
          <w:p>
            <w:pPr>
              <w:jc w:val="right"/>
              <w:ind w:right="99"/>
              <w:spacing w:after="0"/>
              <w:rPr>
                <w:sz w:val="20"/>
                <w:szCs w:val="20"/>
                <w:color w:val="auto"/>
              </w:rPr>
            </w:pPr>
            <w:r>
              <w:rPr>
                <w:rFonts w:ascii="Arial" w:cs="Arial" w:eastAsia="Arial" w:hAnsi="Arial"/>
                <w:sz w:val="16"/>
                <w:szCs w:val="16"/>
                <w:b w:val="1"/>
                <w:bCs w:val="1"/>
                <w:color w:val="FFFFFF"/>
              </w:rPr>
              <w:t>($)</w:t>
            </w:r>
          </w:p>
        </w:tc>
        <w:tc>
          <w:tcPr>
            <w:tcW w:w="1300" w:type="dxa"/>
            <w:vAlign w:val="bottom"/>
            <w:shd w:val="clear" w:color="auto" w:fill="0171B9"/>
          </w:tcPr>
          <w:p>
            <w:pPr>
              <w:jc w:val="right"/>
              <w:ind w:right="119"/>
              <w:spacing w:after="0"/>
              <w:rPr>
                <w:sz w:val="20"/>
                <w:szCs w:val="20"/>
                <w:color w:val="auto"/>
              </w:rPr>
            </w:pPr>
            <w:r>
              <w:rPr>
                <w:rFonts w:ascii="Arial" w:cs="Arial" w:eastAsia="Arial" w:hAnsi="Arial"/>
                <w:sz w:val="16"/>
                <w:szCs w:val="16"/>
                <w:b w:val="1"/>
                <w:bCs w:val="1"/>
                <w:color w:val="FFFFFF"/>
              </w:rPr>
              <w:t>($)</w:t>
            </w:r>
          </w:p>
        </w:tc>
        <w:tc>
          <w:tcPr>
            <w:tcW w:w="1220" w:type="dxa"/>
            <w:vAlign w:val="bottom"/>
            <w:shd w:val="clear" w:color="auto" w:fill="0171B9"/>
          </w:tcPr>
          <w:p>
            <w:pPr>
              <w:jc w:val="right"/>
              <w:ind w:right="140"/>
              <w:spacing w:after="0"/>
              <w:rPr>
                <w:sz w:val="20"/>
                <w:szCs w:val="20"/>
                <w:color w:val="auto"/>
              </w:rPr>
            </w:pPr>
            <w:r>
              <w:rPr>
                <w:rFonts w:ascii="Arial" w:cs="Arial" w:eastAsia="Arial" w:hAnsi="Arial"/>
                <w:sz w:val="16"/>
                <w:szCs w:val="16"/>
                <w:b w:val="1"/>
                <w:bCs w:val="1"/>
                <w:color w:val="FFFFFF"/>
              </w:rPr>
              <w:t>($)</w:t>
            </w:r>
          </w:p>
        </w:tc>
        <w:tc>
          <w:tcPr>
            <w:tcW w:w="1440" w:type="dxa"/>
            <w:vAlign w:val="bottom"/>
            <w:shd w:val="clear" w:color="auto" w:fill="0171B9"/>
          </w:tcPr>
          <w:p>
            <w:pPr>
              <w:jc w:val="right"/>
              <w:ind w:right="19"/>
              <w:spacing w:after="0"/>
              <w:rPr>
                <w:sz w:val="20"/>
                <w:szCs w:val="20"/>
                <w:color w:val="auto"/>
              </w:rPr>
            </w:pPr>
            <w:r>
              <w:rPr>
                <w:rFonts w:ascii="Arial" w:cs="Arial" w:eastAsia="Arial" w:hAnsi="Arial"/>
                <w:sz w:val="16"/>
                <w:szCs w:val="16"/>
                <w:b w:val="1"/>
                <w:bCs w:val="1"/>
                <w:color w:val="FFFFFF"/>
              </w:rPr>
              <w:t>(%)</w:t>
            </w:r>
          </w:p>
        </w:tc>
      </w:tr>
      <w:tr>
        <w:trPr>
          <w:trHeight w:val="304"/>
        </w:trPr>
        <w:tc>
          <w:tcPr>
            <w:tcW w:w="358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6"/>
                <w:szCs w:val="16"/>
                <w:color w:val="auto"/>
              </w:rPr>
              <w:t>Robert A. Bradway</w:t>
            </w:r>
          </w:p>
        </w:tc>
        <w:tc>
          <w:tcPr>
            <w:tcW w:w="1260" w:type="dxa"/>
            <w:vAlign w:val="bottom"/>
            <w:tcBorders>
              <w:bottom w:val="single" w:sz="8" w:color="CCE2F1"/>
            </w:tcBorders>
            <w:shd w:val="clear" w:color="auto" w:fill="CCE2F1"/>
          </w:tcPr>
          <w:p>
            <w:pPr>
              <w:jc w:val="right"/>
              <w:ind w:right="80"/>
              <w:spacing w:after="0"/>
              <w:rPr>
                <w:sz w:val="20"/>
                <w:szCs w:val="20"/>
                <w:color w:val="auto"/>
              </w:rPr>
            </w:pPr>
            <w:r>
              <w:rPr>
                <w:rFonts w:ascii="Arial" w:cs="Arial" w:eastAsia="Arial" w:hAnsi="Arial"/>
                <w:sz w:val="16"/>
                <w:szCs w:val="16"/>
                <w:color w:val="auto"/>
              </w:rPr>
              <w:t>7,956,250</w:t>
            </w:r>
          </w:p>
        </w:tc>
        <w:tc>
          <w:tcPr>
            <w:tcW w:w="1080" w:type="dxa"/>
            <w:vAlign w:val="bottom"/>
            <w:tcBorders>
              <w:bottom w:val="single" w:sz="8" w:color="CCE2F1"/>
            </w:tcBorders>
            <w:shd w:val="clear" w:color="auto" w:fill="CCE2F1"/>
          </w:tcPr>
          <w:p>
            <w:pPr>
              <w:jc w:val="right"/>
              <w:ind w:right="99"/>
              <w:spacing w:after="0"/>
              <w:rPr>
                <w:sz w:val="20"/>
                <w:szCs w:val="20"/>
                <w:color w:val="auto"/>
              </w:rPr>
            </w:pPr>
            <w:r>
              <w:rPr>
                <w:rFonts w:ascii="Arial" w:cs="Arial" w:eastAsia="Arial" w:hAnsi="Arial"/>
                <w:sz w:val="16"/>
                <w:szCs w:val="16"/>
                <w:color w:val="auto"/>
              </w:rPr>
              <w:t>4,773,750</w:t>
            </w:r>
          </w:p>
        </w:tc>
        <w:tc>
          <w:tcPr>
            <w:tcW w:w="1140" w:type="dxa"/>
            <w:vAlign w:val="bottom"/>
            <w:tcBorders>
              <w:bottom w:val="single" w:sz="8" w:color="CCE2F1"/>
            </w:tcBorders>
            <w:shd w:val="clear" w:color="auto" w:fill="CCE2F1"/>
          </w:tcPr>
          <w:p>
            <w:pPr>
              <w:jc w:val="right"/>
              <w:ind w:right="99"/>
              <w:spacing w:after="0"/>
              <w:rPr>
                <w:sz w:val="20"/>
                <w:szCs w:val="20"/>
                <w:color w:val="auto"/>
              </w:rPr>
            </w:pPr>
            <w:r>
              <w:rPr>
                <w:rFonts w:ascii="Arial" w:cs="Arial" w:eastAsia="Arial" w:hAnsi="Arial"/>
                <w:sz w:val="16"/>
                <w:szCs w:val="16"/>
                <w:color w:val="auto"/>
              </w:rPr>
              <w:t>3,182,500</w:t>
            </w:r>
          </w:p>
        </w:tc>
        <w:tc>
          <w:tcPr>
            <w:tcW w:w="1300" w:type="dxa"/>
            <w:vAlign w:val="bottom"/>
            <w:tcBorders>
              <w:bottom w:val="single" w:sz="8" w:color="CCE2F1"/>
            </w:tcBorders>
            <w:shd w:val="clear" w:color="auto" w:fill="CCE2F1"/>
          </w:tcPr>
          <w:p>
            <w:pPr>
              <w:jc w:val="right"/>
              <w:ind w:right="119"/>
              <w:spacing w:after="0"/>
              <w:rPr>
                <w:sz w:val="20"/>
                <w:szCs w:val="20"/>
                <w:color w:val="auto"/>
              </w:rPr>
            </w:pPr>
            <w:r>
              <w:rPr>
                <w:rFonts w:ascii="Arial" w:cs="Arial" w:eastAsia="Arial" w:hAnsi="Arial"/>
                <w:sz w:val="16"/>
                <w:szCs w:val="16"/>
                <w:color w:val="auto"/>
              </w:rPr>
              <w:t>15,912,500</w:t>
            </w:r>
          </w:p>
        </w:tc>
        <w:tc>
          <w:tcPr>
            <w:tcW w:w="1220" w:type="dxa"/>
            <w:vAlign w:val="bottom"/>
            <w:tcBorders>
              <w:bottom w:val="single" w:sz="8" w:color="CCE2F1"/>
            </w:tcBorders>
            <w:shd w:val="clear" w:color="auto" w:fill="CCE2F1"/>
          </w:tcPr>
          <w:p>
            <w:pPr>
              <w:jc w:val="right"/>
              <w:ind w:right="140"/>
              <w:spacing w:after="0"/>
              <w:rPr>
                <w:sz w:val="20"/>
                <w:szCs w:val="20"/>
                <w:color w:val="auto"/>
              </w:rPr>
            </w:pPr>
            <w:r>
              <w:rPr>
                <w:rFonts w:ascii="Arial" w:cs="Arial" w:eastAsia="Arial" w:hAnsi="Arial"/>
                <w:sz w:val="16"/>
                <w:szCs w:val="16"/>
                <w:color w:val="auto"/>
              </w:rPr>
              <w:t>13,887,000</w:t>
            </w:r>
          </w:p>
        </w:tc>
        <w:tc>
          <w:tcPr>
            <w:tcW w:w="1440" w:type="dxa"/>
            <w:vAlign w:val="bottom"/>
            <w:tcBorders>
              <w:bottom w:val="single" w:sz="8" w:color="CCE2F1"/>
            </w:tcBorders>
            <w:shd w:val="clear" w:color="auto" w:fill="CCE2F1"/>
          </w:tcPr>
          <w:p>
            <w:pPr>
              <w:jc w:val="right"/>
              <w:ind w:right="19"/>
              <w:spacing w:after="0"/>
              <w:rPr>
                <w:sz w:val="20"/>
                <w:szCs w:val="20"/>
                <w:color w:val="auto"/>
              </w:rPr>
            </w:pPr>
            <w:r>
              <w:rPr>
                <w:rFonts w:ascii="Arial" w:cs="Arial" w:eastAsia="Arial" w:hAnsi="Arial"/>
                <w:sz w:val="16"/>
                <w:szCs w:val="16"/>
                <w:color w:val="auto"/>
              </w:rPr>
              <w:t>14.6</w:t>
            </w:r>
          </w:p>
        </w:tc>
      </w:tr>
      <w:tr>
        <w:trPr>
          <w:trHeight w:val="250"/>
        </w:trPr>
        <w:tc>
          <w:tcPr>
            <w:tcW w:w="3580" w:type="dxa"/>
            <w:vAlign w:val="bottom"/>
          </w:tcPr>
          <w:p>
            <w:pPr>
              <w:ind w:left="80"/>
              <w:spacing w:after="0"/>
              <w:rPr>
                <w:sz w:val="20"/>
                <w:szCs w:val="20"/>
                <w:color w:val="auto"/>
              </w:rPr>
            </w:pPr>
            <w:r>
              <w:rPr>
                <w:rFonts w:ascii="Arial" w:cs="Arial" w:eastAsia="Arial" w:hAnsi="Arial"/>
                <w:sz w:val="16"/>
                <w:szCs w:val="16"/>
                <w:color w:val="auto"/>
              </w:rPr>
              <w:t>Murdo Gordon</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2,500,000</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1,500,000</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1,000,000</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5,000,000</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4,555,967</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9.7</w:t>
            </w:r>
          </w:p>
        </w:tc>
      </w:tr>
      <w:tr>
        <w:trPr>
          <w:trHeight w:val="60"/>
        </w:trPr>
        <w:tc>
          <w:tcPr>
            <w:tcW w:w="35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290"/>
        </w:trPr>
        <w:tc>
          <w:tcPr>
            <w:tcW w:w="358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6"/>
                <w:szCs w:val="16"/>
                <w:color w:val="auto"/>
              </w:rPr>
              <w:t>David M. Reese</w:t>
            </w:r>
          </w:p>
        </w:tc>
        <w:tc>
          <w:tcPr>
            <w:tcW w:w="1260" w:type="dxa"/>
            <w:vAlign w:val="bottom"/>
            <w:tcBorders>
              <w:bottom w:val="single" w:sz="8" w:color="CCE2F1"/>
            </w:tcBorders>
            <w:shd w:val="clear" w:color="auto" w:fill="CCE2F1"/>
          </w:tcPr>
          <w:p>
            <w:pPr>
              <w:jc w:val="right"/>
              <w:ind w:right="80"/>
              <w:spacing w:after="0"/>
              <w:rPr>
                <w:sz w:val="20"/>
                <w:szCs w:val="20"/>
                <w:color w:val="auto"/>
              </w:rPr>
            </w:pPr>
            <w:r>
              <w:rPr>
                <w:rFonts w:ascii="Arial" w:cs="Arial" w:eastAsia="Arial" w:hAnsi="Arial"/>
                <w:sz w:val="16"/>
                <w:szCs w:val="16"/>
                <w:color w:val="auto"/>
              </w:rPr>
              <w:t>2,250,000</w:t>
            </w:r>
          </w:p>
        </w:tc>
        <w:tc>
          <w:tcPr>
            <w:tcW w:w="1080" w:type="dxa"/>
            <w:vAlign w:val="bottom"/>
            <w:tcBorders>
              <w:bottom w:val="single" w:sz="8" w:color="CCE2F1"/>
            </w:tcBorders>
            <w:shd w:val="clear" w:color="auto" w:fill="CCE2F1"/>
          </w:tcPr>
          <w:p>
            <w:pPr>
              <w:jc w:val="right"/>
              <w:ind w:right="99"/>
              <w:spacing w:after="0"/>
              <w:rPr>
                <w:sz w:val="20"/>
                <w:szCs w:val="20"/>
                <w:color w:val="auto"/>
              </w:rPr>
            </w:pPr>
            <w:r>
              <w:rPr>
                <w:rFonts w:ascii="Arial" w:cs="Arial" w:eastAsia="Arial" w:hAnsi="Arial"/>
                <w:sz w:val="16"/>
                <w:szCs w:val="16"/>
                <w:color w:val="auto"/>
              </w:rPr>
              <w:t>1,350,000</w:t>
            </w:r>
          </w:p>
        </w:tc>
        <w:tc>
          <w:tcPr>
            <w:tcW w:w="1140" w:type="dxa"/>
            <w:vAlign w:val="bottom"/>
            <w:tcBorders>
              <w:bottom w:val="single" w:sz="8" w:color="CCE2F1"/>
            </w:tcBorders>
            <w:shd w:val="clear" w:color="auto" w:fill="CCE2F1"/>
          </w:tcPr>
          <w:p>
            <w:pPr>
              <w:jc w:val="right"/>
              <w:ind w:right="99"/>
              <w:spacing w:after="0"/>
              <w:rPr>
                <w:sz w:val="20"/>
                <w:szCs w:val="20"/>
                <w:color w:val="auto"/>
              </w:rPr>
            </w:pPr>
            <w:r>
              <w:rPr>
                <w:rFonts w:ascii="Arial" w:cs="Arial" w:eastAsia="Arial" w:hAnsi="Arial"/>
                <w:sz w:val="16"/>
                <w:szCs w:val="16"/>
                <w:color w:val="auto"/>
              </w:rPr>
              <w:t>900,000</w:t>
            </w:r>
          </w:p>
        </w:tc>
        <w:tc>
          <w:tcPr>
            <w:tcW w:w="1300" w:type="dxa"/>
            <w:vAlign w:val="bottom"/>
            <w:tcBorders>
              <w:bottom w:val="single" w:sz="8" w:color="CCE2F1"/>
            </w:tcBorders>
            <w:shd w:val="clear" w:color="auto" w:fill="CCE2F1"/>
          </w:tcPr>
          <w:p>
            <w:pPr>
              <w:jc w:val="right"/>
              <w:ind w:right="119"/>
              <w:spacing w:after="0"/>
              <w:rPr>
                <w:sz w:val="20"/>
                <w:szCs w:val="20"/>
                <w:color w:val="auto"/>
              </w:rPr>
            </w:pPr>
            <w:r>
              <w:rPr>
                <w:rFonts w:ascii="Arial" w:cs="Arial" w:eastAsia="Arial" w:hAnsi="Arial"/>
                <w:sz w:val="16"/>
                <w:szCs w:val="16"/>
                <w:color w:val="auto"/>
              </w:rPr>
              <w:t>4,500,000</w:t>
            </w:r>
          </w:p>
        </w:tc>
        <w:tc>
          <w:tcPr>
            <w:tcW w:w="1220" w:type="dxa"/>
            <w:vAlign w:val="bottom"/>
            <w:tcBorders>
              <w:bottom w:val="single" w:sz="8" w:color="CCE2F1"/>
            </w:tcBorders>
            <w:shd w:val="clear" w:color="auto" w:fill="CCE2F1"/>
          </w:tcPr>
          <w:p>
            <w:pPr>
              <w:jc w:val="right"/>
              <w:ind w:right="140"/>
              <w:spacing w:after="0"/>
              <w:rPr>
                <w:sz w:val="20"/>
                <w:szCs w:val="20"/>
                <w:color w:val="auto"/>
              </w:rPr>
            </w:pPr>
            <w:r>
              <w:rPr>
                <w:rFonts w:ascii="Arial" w:cs="Arial" w:eastAsia="Arial" w:hAnsi="Arial"/>
                <w:sz w:val="16"/>
                <w:szCs w:val="16"/>
                <w:color w:val="auto"/>
              </w:rPr>
              <w:t>4,378,339</w:t>
            </w:r>
          </w:p>
        </w:tc>
        <w:tc>
          <w:tcPr>
            <w:tcW w:w="1440" w:type="dxa"/>
            <w:vAlign w:val="bottom"/>
            <w:tcBorders>
              <w:bottom w:val="single" w:sz="8" w:color="CCE2F1"/>
            </w:tcBorders>
            <w:shd w:val="clear" w:color="auto" w:fill="CCE2F1"/>
          </w:tcPr>
          <w:p>
            <w:pPr>
              <w:jc w:val="right"/>
              <w:ind w:right="19"/>
              <w:spacing w:after="0"/>
              <w:rPr>
                <w:sz w:val="20"/>
                <w:szCs w:val="20"/>
                <w:color w:val="auto"/>
              </w:rPr>
            </w:pPr>
            <w:r>
              <w:rPr>
                <w:rFonts w:ascii="Arial" w:cs="Arial" w:eastAsia="Arial" w:hAnsi="Arial"/>
                <w:sz w:val="16"/>
                <w:szCs w:val="16"/>
                <w:color w:val="auto"/>
              </w:rPr>
              <w:t>2.8</w:t>
            </w:r>
          </w:p>
        </w:tc>
      </w:tr>
      <w:tr>
        <w:trPr>
          <w:trHeight w:val="250"/>
        </w:trPr>
        <w:tc>
          <w:tcPr>
            <w:tcW w:w="3580" w:type="dxa"/>
            <w:vAlign w:val="bottom"/>
          </w:tcPr>
          <w:p>
            <w:pPr>
              <w:ind w:left="80"/>
              <w:spacing w:after="0"/>
              <w:rPr>
                <w:sz w:val="20"/>
                <w:szCs w:val="20"/>
                <w:color w:val="auto"/>
              </w:rPr>
            </w:pPr>
            <w:r>
              <w:rPr>
                <w:rFonts w:ascii="Arial" w:cs="Arial" w:eastAsia="Arial" w:hAnsi="Arial"/>
                <w:sz w:val="16"/>
                <w:szCs w:val="16"/>
                <w:color w:val="auto"/>
              </w:rPr>
              <w:t>Peter H. Griffith</w:t>
            </w: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2,250,000</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1,350,000</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900,000</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4,500,000</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3,496,173</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28.7</w:t>
            </w:r>
          </w:p>
        </w:tc>
      </w:tr>
      <w:tr>
        <w:trPr>
          <w:trHeight w:val="60"/>
        </w:trPr>
        <w:tc>
          <w:tcPr>
            <w:tcW w:w="35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270"/>
        </w:trPr>
        <w:tc>
          <w:tcPr>
            <w:tcW w:w="3580" w:type="dxa"/>
            <w:vAlign w:val="bottom"/>
            <w:tcBorders>
              <w:bottom w:val="single" w:sz="8" w:color="0171B9"/>
            </w:tcBorders>
            <w:shd w:val="clear" w:color="auto" w:fill="CCE2F1"/>
          </w:tcPr>
          <w:p>
            <w:pPr>
              <w:ind w:left="80"/>
              <w:spacing w:after="0" w:line="270" w:lineRule="exact"/>
              <w:rPr>
                <w:sz w:val="20"/>
                <w:szCs w:val="20"/>
                <w:color w:val="auto"/>
              </w:rPr>
            </w:pPr>
            <w:r>
              <w:rPr>
                <w:rFonts w:ascii="Arial" w:cs="Arial" w:eastAsia="Arial" w:hAnsi="Arial"/>
                <w:sz w:val="16"/>
                <w:szCs w:val="16"/>
                <w:color w:val="auto"/>
              </w:rPr>
              <w:t>Esteban Santos</w:t>
            </w:r>
            <w:r>
              <w:rPr>
                <w:rFonts w:ascii="Arial" w:cs="Arial" w:eastAsia="Arial" w:hAnsi="Arial"/>
                <w:sz w:val="24"/>
                <w:szCs w:val="24"/>
                <w:color w:val="auto"/>
                <w:vertAlign w:val="superscript"/>
              </w:rPr>
              <w:t>(3)</w:t>
            </w:r>
          </w:p>
        </w:tc>
        <w:tc>
          <w:tcPr>
            <w:tcW w:w="1260" w:type="dxa"/>
            <w:vAlign w:val="bottom"/>
            <w:tcBorders>
              <w:bottom w:val="single" w:sz="8" w:color="0171B9"/>
            </w:tcBorders>
            <w:shd w:val="clear" w:color="auto" w:fill="CCE2F1"/>
          </w:tcPr>
          <w:p>
            <w:pPr>
              <w:jc w:val="right"/>
              <w:ind w:right="80"/>
              <w:spacing w:after="0"/>
              <w:rPr>
                <w:sz w:val="20"/>
                <w:szCs w:val="20"/>
                <w:color w:val="auto"/>
              </w:rPr>
            </w:pPr>
            <w:r>
              <w:rPr>
                <w:rFonts w:ascii="Arial" w:cs="Arial" w:eastAsia="Arial" w:hAnsi="Arial"/>
                <w:sz w:val="16"/>
                <w:szCs w:val="16"/>
                <w:color w:val="auto"/>
              </w:rPr>
              <w:t>2,100,000</w:t>
            </w:r>
          </w:p>
        </w:tc>
        <w:tc>
          <w:tcPr>
            <w:tcW w:w="1080" w:type="dxa"/>
            <w:vAlign w:val="bottom"/>
            <w:tcBorders>
              <w:bottom w:val="single" w:sz="8" w:color="0171B9"/>
            </w:tcBorders>
            <w:shd w:val="clear" w:color="auto" w:fill="CCE2F1"/>
          </w:tcPr>
          <w:p>
            <w:pPr>
              <w:jc w:val="right"/>
              <w:ind w:right="99"/>
              <w:spacing w:after="0"/>
              <w:rPr>
                <w:sz w:val="20"/>
                <w:szCs w:val="20"/>
                <w:color w:val="auto"/>
              </w:rPr>
            </w:pPr>
            <w:r>
              <w:rPr>
                <w:rFonts w:ascii="Arial" w:cs="Arial" w:eastAsia="Arial" w:hAnsi="Arial"/>
                <w:sz w:val="16"/>
                <w:szCs w:val="16"/>
                <w:color w:val="auto"/>
              </w:rPr>
              <w:t>1,260,000</w:t>
            </w:r>
          </w:p>
        </w:tc>
        <w:tc>
          <w:tcPr>
            <w:tcW w:w="1140" w:type="dxa"/>
            <w:vAlign w:val="bottom"/>
            <w:tcBorders>
              <w:bottom w:val="single" w:sz="8" w:color="0171B9"/>
            </w:tcBorders>
            <w:shd w:val="clear" w:color="auto" w:fill="CCE2F1"/>
          </w:tcPr>
          <w:p>
            <w:pPr>
              <w:jc w:val="right"/>
              <w:ind w:right="99"/>
              <w:spacing w:after="0"/>
              <w:rPr>
                <w:sz w:val="20"/>
                <w:szCs w:val="20"/>
                <w:color w:val="auto"/>
              </w:rPr>
            </w:pPr>
            <w:r>
              <w:rPr>
                <w:rFonts w:ascii="Arial" w:cs="Arial" w:eastAsia="Arial" w:hAnsi="Arial"/>
                <w:sz w:val="16"/>
                <w:szCs w:val="16"/>
                <w:color w:val="auto"/>
              </w:rPr>
              <w:t>840,000</w:t>
            </w:r>
          </w:p>
        </w:tc>
        <w:tc>
          <w:tcPr>
            <w:tcW w:w="1300" w:type="dxa"/>
            <w:vAlign w:val="bottom"/>
            <w:tcBorders>
              <w:bottom w:val="single" w:sz="8" w:color="0171B9"/>
            </w:tcBorders>
            <w:shd w:val="clear" w:color="auto" w:fill="CCE2F1"/>
          </w:tcPr>
          <w:p>
            <w:pPr>
              <w:jc w:val="right"/>
              <w:ind w:right="119"/>
              <w:spacing w:after="0"/>
              <w:rPr>
                <w:sz w:val="20"/>
                <w:szCs w:val="20"/>
                <w:color w:val="auto"/>
              </w:rPr>
            </w:pPr>
            <w:r>
              <w:rPr>
                <w:rFonts w:ascii="Arial" w:cs="Arial" w:eastAsia="Arial" w:hAnsi="Arial"/>
                <w:sz w:val="16"/>
                <w:szCs w:val="16"/>
                <w:color w:val="auto"/>
              </w:rPr>
              <w:t>4,200,000</w:t>
            </w:r>
          </w:p>
        </w:tc>
        <w:tc>
          <w:tcPr>
            <w:tcW w:w="1220" w:type="dxa"/>
            <w:vAlign w:val="bottom"/>
            <w:tcBorders>
              <w:bottom w:val="single" w:sz="8" w:color="0171B9"/>
            </w:tcBorders>
            <w:shd w:val="clear" w:color="auto" w:fill="CCE2F1"/>
          </w:tcPr>
          <w:p>
            <w:pPr>
              <w:jc w:val="right"/>
              <w:ind w:right="140"/>
              <w:spacing w:after="0"/>
              <w:rPr>
                <w:sz w:val="20"/>
                <w:szCs w:val="20"/>
                <w:color w:val="auto"/>
              </w:rPr>
            </w:pPr>
            <w:r>
              <w:rPr>
                <w:rFonts w:ascii="Arial" w:cs="Arial" w:eastAsia="Arial" w:hAnsi="Arial"/>
                <w:sz w:val="16"/>
                <w:szCs w:val="16"/>
                <w:color w:val="auto"/>
              </w:rPr>
              <w:t>n/a</w:t>
            </w:r>
          </w:p>
        </w:tc>
        <w:tc>
          <w:tcPr>
            <w:tcW w:w="1440" w:type="dxa"/>
            <w:vAlign w:val="bottom"/>
            <w:tcBorders>
              <w:bottom w:val="single" w:sz="8" w:color="0171B9"/>
            </w:tcBorders>
            <w:shd w:val="clear" w:color="auto" w:fill="CCE2F1"/>
          </w:tcPr>
          <w:p>
            <w:pPr>
              <w:jc w:val="right"/>
              <w:ind w:right="19"/>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-976630</wp:posOffset>
            </wp:positionV>
            <wp:extent cx="69951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22"/>
          <w:szCs w:val="22"/>
          <w:color w:val="auto"/>
          <w:vertAlign w:val="superscript"/>
        </w:rPr>
      </w:pPr>
      <w:r>
        <w:rPr>
          <w:rFonts w:ascii="Arial" w:cs="Arial" w:eastAsia="Arial" w:hAnsi="Arial"/>
          <w:sz w:val="14"/>
          <w:szCs w:val="14"/>
          <w:color w:val="auto"/>
        </w:rPr>
        <w:t>The 2022-2024 performance period runs from January 1, 2022 through December 31, 2024.</w:t>
      </w:r>
    </w:p>
    <w:p>
      <w:pPr>
        <w:ind w:left="540" w:hanging="424"/>
        <w:spacing w:after="0" w:line="187" w:lineRule="auto"/>
        <w:tabs>
          <w:tab w:leader="none" w:pos="540" w:val="left"/>
        </w:tabs>
        <w:numPr>
          <w:ilvl w:val="0"/>
          <w:numId w:val="88"/>
        </w:numPr>
        <w:rPr>
          <w:rFonts w:ascii="Arial" w:cs="Arial" w:eastAsia="Arial" w:hAnsi="Arial"/>
          <w:sz w:val="22"/>
          <w:szCs w:val="22"/>
          <w:color w:val="auto"/>
          <w:vertAlign w:val="superscript"/>
        </w:rPr>
      </w:pPr>
      <w:r>
        <w:rPr>
          <w:rFonts w:ascii="Arial" w:cs="Arial" w:eastAsia="Arial" w:hAnsi="Arial"/>
          <w:sz w:val="14"/>
          <w:szCs w:val="14"/>
          <w:color w:val="auto"/>
        </w:rPr>
        <w:t>For more information regarding the determination of the Market Median, see “How Compensation Decisions Are Made For Our Named Executive Officers—</w:t>
      </w:r>
      <w:r>
        <w:rPr>
          <w:rFonts w:ascii="Arial" w:cs="Arial" w:eastAsia="Arial" w:hAnsi="Arial"/>
          <w:sz w:val="14"/>
          <w:szCs w:val="14"/>
          <w:i w:val="1"/>
          <w:iCs w:val="1"/>
          <w:color w:val="auto"/>
        </w:rPr>
        <w:t>Peer</w:t>
      </w:r>
      <w:r>
        <w:rPr>
          <w:rFonts w:ascii="Arial" w:cs="Arial" w:eastAsia="Arial" w:hAnsi="Arial"/>
          <w:sz w:val="14"/>
          <w:szCs w:val="14"/>
          <w:color w:val="auto"/>
        </w:rPr>
        <w:t xml:space="preserve"> </w:t>
      </w:r>
      <w:r>
        <w:rPr>
          <w:rFonts w:ascii="Arial" w:cs="Arial" w:eastAsia="Arial" w:hAnsi="Arial"/>
          <w:sz w:val="14"/>
          <w:szCs w:val="14"/>
          <w:i w:val="1"/>
          <w:iCs w:val="1"/>
          <w:color w:val="auto"/>
        </w:rPr>
        <w:t>Group Data Sources</w:t>
      </w:r>
      <w:r>
        <w:rPr>
          <w:rFonts w:ascii="Arial" w:cs="Arial" w:eastAsia="Arial" w:hAnsi="Arial"/>
          <w:sz w:val="14"/>
          <w:szCs w:val="14"/>
          <w:color w:val="auto"/>
        </w:rPr>
        <w:t>” previously discussed.</w:t>
      </w:r>
    </w:p>
    <w:p>
      <w:pPr>
        <w:spacing w:after="0" w:line="1" w:lineRule="exact"/>
        <w:rPr>
          <w:rFonts w:ascii="Arial" w:cs="Arial" w:eastAsia="Arial" w:hAnsi="Arial"/>
          <w:sz w:val="22"/>
          <w:szCs w:val="22"/>
          <w:color w:val="auto"/>
          <w:vertAlign w:val="superscript"/>
        </w:rPr>
      </w:pPr>
    </w:p>
    <w:p>
      <w:pPr>
        <w:ind w:left="540" w:right="20" w:hanging="424"/>
        <w:spacing w:after="0" w:line="193" w:lineRule="auto"/>
        <w:tabs>
          <w:tab w:leader="none" w:pos="540" w:val="left"/>
        </w:tabs>
        <w:numPr>
          <w:ilvl w:val="0"/>
          <w:numId w:val="88"/>
        </w:numPr>
        <w:rPr>
          <w:rFonts w:ascii="Arial" w:cs="Arial" w:eastAsia="Arial" w:hAnsi="Arial"/>
          <w:sz w:val="22"/>
          <w:szCs w:val="22"/>
          <w:color w:val="auto"/>
          <w:vertAlign w:val="superscript"/>
        </w:rPr>
      </w:pPr>
      <w:r>
        <w:rPr>
          <w:rFonts w:ascii="Arial" w:cs="Arial" w:eastAsia="Arial" w:hAnsi="Arial"/>
          <w:sz w:val="14"/>
          <w:szCs w:val="14"/>
          <w:color w:val="auto"/>
        </w:rPr>
        <w:t>As previously discussed under “How Compensation Decisions Are Made For Our Named Executive Officers—</w:t>
      </w:r>
      <w:r>
        <w:rPr>
          <w:rFonts w:ascii="Arial" w:cs="Arial" w:eastAsia="Arial" w:hAnsi="Arial"/>
          <w:sz w:val="14"/>
          <w:szCs w:val="14"/>
          <w:i w:val="1"/>
          <w:iCs w:val="1"/>
          <w:color w:val="auto"/>
        </w:rPr>
        <w:t>Peer Group Data Sources,</w:t>
      </w:r>
      <w:r>
        <w:rPr>
          <w:rFonts w:ascii="Arial" w:cs="Arial" w:eastAsia="Arial" w:hAnsi="Arial"/>
          <w:sz w:val="14"/>
          <w:szCs w:val="14"/>
          <w:color w:val="auto"/>
        </w:rPr>
        <w:t>” no comparable market data is available for Mr. Santos and his LTI equity award value was established using comparisons to the values granted to our other Executive Vice President roles.</w:t>
      </w:r>
    </w:p>
    <w:p>
      <w:pPr>
        <w:sectPr>
          <w:pgSz w:w="11900" w:h="16838" w:orient="portrait"/>
          <w:cols w:equalWidth="0" w:num="1">
            <w:col w:w="11140"/>
          </w:cols>
          <w:pgMar w:left="320" w:top="486" w:right="439" w:bottom="1440" w:gutter="0" w:footer="0" w:header="0"/>
        </w:sectPr>
      </w:pPr>
    </w:p>
    <w:p>
      <w:pPr>
        <w:spacing w:after="0" w:line="156" w:lineRule="exact"/>
        <w:rPr>
          <w:sz w:val="20"/>
          <w:szCs w:val="20"/>
          <w:color w:val="auto"/>
        </w:rPr>
      </w:pPr>
    </w:p>
    <w:p>
      <w:pPr>
        <w:jc w:val="both"/>
        <w:ind w:left="120"/>
        <w:spacing w:after="0"/>
        <w:rPr>
          <w:sz w:val="20"/>
          <w:szCs w:val="20"/>
          <w:color w:val="auto"/>
        </w:rPr>
      </w:pPr>
      <w:r>
        <w:rPr>
          <w:rFonts w:ascii="Arial" w:cs="Arial" w:eastAsia="Arial" w:hAnsi="Arial"/>
          <w:sz w:val="17"/>
          <w:szCs w:val="17"/>
          <w:color w:val="auto"/>
        </w:rPr>
        <w:t>Based on the Compensation Committee’s March 2022 review of market data, the committee approved a LTI equity award for Mr. Bradway in the same amount ($15.9 million) as that of 2021 to recognize his continued successful execution against the Company’s strategic priorities, while navigating the ongoing challenges of the pandemic. The Compensation Committee also maintained Mr. Gordon’s LTI equity award grant ($5 million) to that of 2021 to recognize his successful leadership of the Company’s global commercial operations during the pandemic and strong execution of activities necessary to enable the Company’s long-term growth. The Compensation Committee approved LTI equity grant values of $4.5 million and $4.2 million for Dr. Reese and Mr. Santos, respectively, for 2022 to recognize successful leadership of their respective functions.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After review of the components of market data for the Chief Financial Officer role and noting the significant increase in the median LTI equity award grant values reported in peer group proxy statements for the Chief Financial Officer role ($4.4 million), the Compensation Committee approved an increased LTI equity award grant value for Mr. Griffith (from $4 million to $4.5 million) in recognition of this increase to peer group LTI equity award grant values and to align Mr. Griffith closer to the LTI equity award values of our other Executive Vice Presidents given his continued successful performance. The Compensation Committee concluded that the LTI equity award values granted to our NEOs were appropriate because they recognize and reward strong execution by our executives with compensation that is substantially at risk, performance-based, and focused on the longer-term.</w:t>
      </w:r>
    </w:p>
    <w:p>
      <w:pPr>
        <w:spacing w:after="0" w:line="274"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191"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60</w:t>
      </w:r>
      <w:r>
        <w:rPr>
          <w:sz w:val="20"/>
          <w:szCs w:val="20"/>
          <w:color w:val="auto"/>
        </w:rPr>
        <w:tab/>
      </w:r>
      <w:r>
        <w:rPr>
          <w:sz w:val="1"/>
          <w:szCs w:val="1"/>
          <w:color w:val="auto"/>
        </w:rPr>
        <w:drawing>
          <wp:inline distT="0" distB="0" distL="0" distR="0">
            <wp:extent cx="582930" cy="13716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6960"/>
        <w:spacing w:after="0"/>
        <w:rPr>
          <w:sz w:val="20"/>
          <w:szCs w:val="20"/>
          <w:color w:val="auto"/>
        </w:rPr>
      </w:pPr>
      <w:r>
        <w:rPr>
          <w:rFonts w:ascii="Arial" w:cs="Arial" w:eastAsia="Arial" w:hAnsi="Arial"/>
          <w:sz w:val="21"/>
          <w:szCs w:val="21"/>
          <w:b w:val="1"/>
          <w:bCs w:val="1"/>
          <w:color w:val="FFFFFF"/>
          <w:shd w:val="clear" w:color="auto" w:fill="0171B9"/>
        </w:rPr>
        <w:t>Compensation Discussion and Analysis</w:t>
      </w:r>
    </w:p>
    <w:p>
      <w:pPr>
        <w:spacing w:after="0" w:line="35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171B9"/>
        </w:rPr>
        <w:t>Performance Award Program 2020-2022 Performance Period Performance Units Earned</w:t>
      </w:r>
    </w:p>
    <w:p>
      <w:pPr>
        <w:spacing w:after="0" w:line="115"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For the last operating year of our 2020-2022 performance period, our 2022 EPS performance earned 99.6% of target and 2022 ROIC performance earned 95.2% of target, resulting in 2022 performance of 97.4% of target on these non-GAAP operating measures. Our performance with respect to our non-GAAP operating measures resulted in 120.8% earned for 2020, 113.2% earned for 2021, and 97.4% earned for 2022. These annual operating measure percentage calculations were then averaged for a total operating measures score of 110.4% for this three-year performance period. Based on our TSR ranking of the 32nd percentile relative to the TSRs of the companies in the S&amp;P 500, the total operating measures score of 110.4% was reduced by 21.5 percentage points, resulting in a payout of 88.9% of target performance units granted. Each earned performance unit converted to one share of Common Stock upon the payout date of March 17, 2023. For the 2020-2022 performance period, this payout percentage resulted in the following number of shares of Common Stock being earned. For additional information on the specific targets and actual performance and calculation of amounts earned, see the detailed description of the 2020-2022 performance period previously discussed on pages 51 and 52.</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4620" w:type="dxa"/>
            <w:vAlign w:val="bottom"/>
            <w:shd w:val="clear" w:color="auto" w:fill="0171B9"/>
          </w:tcPr>
          <w:p>
            <w:pPr>
              <w:spacing w:after="0"/>
              <w:rPr>
                <w:sz w:val="19"/>
                <w:szCs w:val="19"/>
                <w:color w:val="auto"/>
              </w:rPr>
            </w:pPr>
          </w:p>
        </w:tc>
        <w:tc>
          <w:tcPr>
            <w:tcW w:w="2160" w:type="dxa"/>
            <w:vAlign w:val="bottom"/>
            <w:shd w:val="clear" w:color="auto" w:fill="0171B9"/>
          </w:tcPr>
          <w:p>
            <w:pPr>
              <w:spacing w:after="0"/>
              <w:rPr>
                <w:sz w:val="19"/>
                <w:szCs w:val="19"/>
                <w:color w:val="auto"/>
              </w:rPr>
            </w:pPr>
          </w:p>
        </w:tc>
        <w:tc>
          <w:tcPr>
            <w:tcW w:w="2120" w:type="dxa"/>
            <w:vAlign w:val="bottom"/>
            <w:shd w:val="clear" w:color="auto" w:fill="0171B9"/>
          </w:tcPr>
          <w:p>
            <w:pPr>
              <w:spacing w:after="0"/>
              <w:rPr>
                <w:sz w:val="19"/>
                <w:szCs w:val="19"/>
                <w:color w:val="auto"/>
              </w:rPr>
            </w:pPr>
          </w:p>
        </w:tc>
        <w:tc>
          <w:tcPr>
            <w:tcW w:w="2120" w:type="dxa"/>
            <w:vAlign w:val="bottom"/>
            <w:shd w:val="clear" w:color="auto" w:fill="0171B9"/>
          </w:tcPr>
          <w:p>
            <w:pPr>
              <w:jc w:val="right"/>
              <w:spacing w:after="0"/>
              <w:rPr>
                <w:sz w:val="20"/>
                <w:szCs w:val="20"/>
                <w:color w:val="auto"/>
              </w:rPr>
            </w:pPr>
            <w:r>
              <w:rPr>
                <w:rFonts w:ascii="Arial" w:cs="Arial" w:eastAsia="Arial" w:hAnsi="Arial"/>
                <w:sz w:val="16"/>
                <w:szCs w:val="16"/>
                <w:b w:val="1"/>
                <w:bCs w:val="1"/>
                <w:color w:val="FFFFFF"/>
              </w:rPr>
              <w:t>Number of Shares of our</w:t>
            </w:r>
          </w:p>
        </w:tc>
      </w:tr>
      <w:tr>
        <w:trPr>
          <w:trHeight w:val="189"/>
        </w:trPr>
        <w:tc>
          <w:tcPr>
            <w:tcW w:w="4620" w:type="dxa"/>
            <w:vAlign w:val="bottom"/>
            <w:shd w:val="clear" w:color="auto" w:fill="0171B9"/>
          </w:tcPr>
          <w:p>
            <w:pPr>
              <w:spacing w:after="0"/>
              <w:rPr>
                <w:sz w:val="16"/>
                <w:szCs w:val="16"/>
                <w:color w:val="auto"/>
              </w:rPr>
            </w:pPr>
          </w:p>
        </w:tc>
        <w:tc>
          <w:tcPr>
            <w:tcW w:w="2160" w:type="dxa"/>
            <w:vAlign w:val="bottom"/>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Performance Units Value</w:t>
            </w:r>
          </w:p>
        </w:tc>
        <w:tc>
          <w:tcPr>
            <w:tcW w:w="2120" w:type="dxa"/>
            <w:vAlign w:val="bottom"/>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Number of Performance</w:t>
            </w:r>
          </w:p>
        </w:tc>
        <w:tc>
          <w:tcPr>
            <w:tcW w:w="2120" w:type="dxa"/>
            <w:vAlign w:val="bottom"/>
            <w:shd w:val="clear" w:color="auto" w:fill="0171B9"/>
          </w:tcPr>
          <w:p>
            <w:pPr>
              <w:jc w:val="right"/>
              <w:spacing w:after="0"/>
              <w:rPr>
                <w:sz w:val="20"/>
                <w:szCs w:val="20"/>
                <w:color w:val="auto"/>
              </w:rPr>
            </w:pPr>
            <w:r>
              <w:rPr>
                <w:rFonts w:ascii="Arial" w:cs="Arial" w:eastAsia="Arial" w:hAnsi="Arial"/>
                <w:sz w:val="16"/>
                <w:szCs w:val="16"/>
                <w:b w:val="1"/>
                <w:bCs w:val="1"/>
                <w:color w:val="FFFFFF"/>
              </w:rPr>
              <w:t>Common</w:t>
            </w:r>
          </w:p>
        </w:tc>
      </w:tr>
      <w:tr>
        <w:trPr>
          <w:trHeight w:val="189"/>
        </w:trPr>
        <w:tc>
          <w:tcPr>
            <w:tcW w:w="4620" w:type="dxa"/>
            <w:vAlign w:val="bottom"/>
            <w:shd w:val="clear" w:color="auto" w:fill="0171B9"/>
          </w:tcPr>
          <w:p>
            <w:pPr>
              <w:spacing w:after="0"/>
              <w:rPr>
                <w:sz w:val="16"/>
                <w:szCs w:val="16"/>
                <w:color w:val="auto"/>
              </w:rPr>
            </w:pPr>
          </w:p>
        </w:tc>
        <w:tc>
          <w:tcPr>
            <w:tcW w:w="2160" w:type="dxa"/>
            <w:vAlign w:val="bottom"/>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Granted (Target)</w:t>
            </w:r>
          </w:p>
        </w:tc>
        <w:tc>
          <w:tcPr>
            <w:tcW w:w="2120" w:type="dxa"/>
            <w:vAlign w:val="bottom"/>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Units Granted</w:t>
            </w:r>
          </w:p>
        </w:tc>
        <w:tc>
          <w:tcPr>
            <w:tcW w:w="2120" w:type="dxa"/>
            <w:vAlign w:val="bottom"/>
            <w:shd w:val="clear" w:color="auto" w:fill="0171B9"/>
          </w:tcPr>
          <w:p>
            <w:pPr>
              <w:jc w:val="right"/>
              <w:spacing w:after="0" w:line="189" w:lineRule="exact"/>
              <w:rPr>
                <w:sz w:val="20"/>
                <w:szCs w:val="20"/>
                <w:color w:val="auto"/>
              </w:rPr>
            </w:pPr>
            <w:r>
              <w:rPr>
                <w:rFonts w:ascii="Arial" w:cs="Arial" w:eastAsia="Arial" w:hAnsi="Arial"/>
                <w:sz w:val="14"/>
                <w:szCs w:val="14"/>
                <w:b w:val="1"/>
                <w:bCs w:val="1"/>
                <w:color w:val="FFFFFF"/>
              </w:rPr>
              <w:t>Stock Earned</w:t>
            </w:r>
            <w:r>
              <w:rPr>
                <w:rFonts w:ascii="Arial" w:cs="Arial" w:eastAsia="Arial" w:hAnsi="Arial"/>
                <w:sz w:val="21"/>
                <w:szCs w:val="21"/>
                <w:b w:val="1"/>
                <w:bCs w:val="1"/>
                <w:color w:val="FFFFFF"/>
                <w:vertAlign w:val="superscript"/>
              </w:rPr>
              <w:t>(1)</w:t>
            </w:r>
          </w:p>
        </w:tc>
      </w:tr>
      <w:tr>
        <w:trPr>
          <w:trHeight w:val="221"/>
        </w:trPr>
        <w:tc>
          <w:tcPr>
            <w:tcW w:w="4620" w:type="dxa"/>
            <w:vAlign w:val="bottom"/>
            <w:shd w:val="clear" w:color="auto" w:fill="0171B9"/>
          </w:tcPr>
          <w:p>
            <w:pPr>
              <w:ind w:left="80"/>
              <w:spacing w:after="0"/>
              <w:rPr>
                <w:sz w:val="20"/>
                <w:szCs w:val="20"/>
                <w:color w:val="auto"/>
              </w:rPr>
            </w:pPr>
            <w:r>
              <w:rPr>
                <w:rFonts w:ascii="Arial" w:cs="Arial" w:eastAsia="Arial" w:hAnsi="Arial"/>
                <w:sz w:val="16"/>
                <w:szCs w:val="16"/>
                <w:b w:val="1"/>
                <w:bCs w:val="1"/>
                <w:color w:val="FFFFFF"/>
              </w:rPr>
              <w:t>Named Executive Officer</w:t>
            </w:r>
          </w:p>
        </w:tc>
        <w:tc>
          <w:tcPr>
            <w:tcW w:w="2160" w:type="dxa"/>
            <w:vAlign w:val="bottom"/>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w:t>
            </w:r>
          </w:p>
        </w:tc>
        <w:tc>
          <w:tcPr>
            <w:tcW w:w="2120" w:type="dxa"/>
            <w:vAlign w:val="bottom"/>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w:t>
            </w:r>
          </w:p>
        </w:tc>
        <w:tc>
          <w:tcPr>
            <w:tcW w:w="2120" w:type="dxa"/>
            <w:vAlign w:val="bottom"/>
            <w:shd w:val="clear" w:color="auto" w:fill="0171B9"/>
          </w:tcPr>
          <w:p>
            <w:pPr>
              <w:jc w:val="right"/>
              <w:spacing w:after="0"/>
              <w:rPr>
                <w:sz w:val="20"/>
                <w:szCs w:val="20"/>
                <w:color w:val="auto"/>
              </w:rPr>
            </w:pPr>
            <w:r>
              <w:rPr>
                <w:rFonts w:ascii="Arial" w:cs="Arial" w:eastAsia="Arial" w:hAnsi="Arial"/>
                <w:sz w:val="16"/>
                <w:szCs w:val="16"/>
                <w:b w:val="1"/>
                <w:bCs w:val="1"/>
                <w:color w:val="FFFFFF"/>
              </w:rPr>
              <w:t>(#)</w:t>
            </w:r>
          </w:p>
        </w:tc>
      </w:tr>
      <w:tr>
        <w:trPr>
          <w:trHeight w:val="290"/>
        </w:trPr>
        <w:tc>
          <w:tcPr>
            <w:tcW w:w="462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6"/>
                <w:szCs w:val="16"/>
                <w:color w:val="auto"/>
              </w:rPr>
              <w:t>Robert A. Bradway</w:t>
            </w:r>
          </w:p>
        </w:tc>
        <w:tc>
          <w:tcPr>
            <w:tcW w:w="216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7,200,000</w:t>
            </w:r>
          </w:p>
        </w:tc>
        <w:tc>
          <w:tcPr>
            <w:tcW w:w="212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28,907</w:t>
            </w:r>
          </w:p>
        </w:tc>
        <w:tc>
          <w:tcPr>
            <w:tcW w:w="2120" w:type="dxa"/>
            <w:vAlign w:val="bottom"/>
            <w:tcBorders>
              <w:bottom w:val="single" w:sz="8" w:color="CCE2F1"/>
            </w:tcBorders>
            <w:shd w:val="clear" w:color="auto" w:fill="CCE2F1"/>
          </w:tcPr>
          <w:p>
            <w:pPr>
              <w:jc w:val="right"/>
              <w:spacing w:after="0"/>
              <w:rPr>
                <w:sz w:val="20"/>
                <w:szCs w:val="20"/>
                <w:color w:val="auto"/>
              </w:rPr>
            </w:pPr>
            <w:r>
              <w:rPr>
                <w:rFonts w:ascii="Arial" w:cs="Arial" w:eastAsia="Arial" w:hAnsi="Arial"/>
                <w:sz w:val="16"/>
                <w:szCs w:val="16"/>
                <w:color w:val="auto"/>
              </w:rPr>
              <w:t>28,175</w:t>
            </w:r>
          </w:p>
        </w:tc>
      </w:tr>
      <w:tr>
        <w:trPr>
          <w:trHeight w:val="251"/>
        </w:trPr>
        <w:tc>
          <w:tcPr>
            <w:tcW w:w="4620" w:type="dxa"/>
            <w:vAlign w:val="bottom"/>
          </w:tcPr>
          <w:p>
            <w:pPr>
              <w:ind w:left="80"/>
              <w:spacing w:after="0"/>
              <w:rPr>
                <w:sz w:val="20"/>
                <w:szCs w:val="20"/>
                <w:color w:val="auto"/>
              </w:rPr>
            </w:pPr>
            <w:r>
              <w:rPr>
                <w:rFonts w:ascii="Arial" w:cs="Arial" w:eastAsia="Arial" w:hAnsi="Arial"/>
                <w:sz w:val="16"/>
                <w:szCs w:val="16"/>
                <w:color w:val="auto"/>
              </w:rPr>
              <w:t>Murdo Gordon</w:t>
            </w:r>
          </w:p>
        </w:tc>
        <w:tc>
          <w:tcPr>
            <w:tcW w:w="2160" w:type="dxa"/>
            <w:vAlign w:val="bottom"/>
          </w:tcPr>
          <w:p>
            <w:pPr>
              <w:jc w:val="right"/>
              <w:ind w:right="59"/>
              <w:spacing w:after="0"/>
              <w:rPr>
                <w:sz w:val="20"/>
                <w:szCs w:val="20"/>
                <w:color w:val="auto"/>
              </w:rPr>
            </w:pPr>
            <w:r>
              <w:rPr>
                <w:rFonts w:ascii="Arial" w:cs="Arial" w:eastAsia="Arial" w:hAnsi="Arial"/>
                <w:sz w:val="16"/>
                <w:szCs w:val="16"/>
                <w:color w:val="auto"/>
              </w:rPr>
              <w:t>2,050,000</w:t>
            </w:r>
          </w:p>
        </w:tc>
        <w:tc>
          <w:tcPr>
            <w:tcW w:w="2120" w:type="dxa"/>
            <w:vAlign w:val="bottom"/>
          </w:tcPr>
          <w:p>
            <w:pPr>
              <w:jc w:val="right"/>
              <w:ind w:right="59"/>
              <w:spacing w:after="0"/>
              <w:rPr>
                <w:sz w:val="20"/>
                <w:szCs w:val="20"/>
                <w:color w:val="auto"/>
              </w:rPr>
            </w:pPr>
            <w:r>
              <w:rPr>
                <w:rFonts w:ascii="Arial" w:cs="Arial" w:eastAsia="Arial" w:hAnsi="Arial"/>
                <w:sz w:val="16"/>
                <w:szCs w:val="16"/>
                <w:color w:val="auto"/>
              </w:rPr>
              <w:t>8,230</w:t>
            </w:r>
          </w:p>
        </w:tc>
        <w:tc>
          <w:tcPr>
            <w:tcW w:w="2120" w:type="dxa"/>
            <w:vAlign w:val="bottom"/>
          </w:tcPr>
          <w:p>
            <w:pPr>
              <w:jc w:val="right"/>
              <w:spacing w:after="0"/>
              <w:rPr>
                <w:sz w:val="20"/>
                <w:szCs w:val="20"/>
                <w:color w:val="auto"/>
              </w:rPr>
            </w:pPr>
            <w:r>
              <w:rPr>
                <w:rFonts w:ascii="Arial" w:cs="Arial" w:eastAsia="Arial" w:hAnsi="Arial"/>
                <w:sz w:val="16"/>
                <w:szCs w:val="16"/>
                <w:color w:val="auto"/>
              </w:rPr>
              <w:t>8,021</w:t>
            </w:r>
          </w:p>
        </w:tc>
      </w:tr>
      <w:tr>
        <w:trPr>
          <w:trHeight w:val="60"/>
        </w:trPr>
        <w:tc>
          <w:tcPr>
            <w:tcW w:w="46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2120" w:type="dxa"/>
            <w:vAlign w:val="bottom"/>
          </w:tcPr>
          <w:p>
            <w:pPr>
              <w:spacing w:after="0"/>
              <w:rPr>
                <w:sz w:val="5"/>
                <w:szCs w:val="5"/>
                <w:color w:val="auto"/>
              </w:rPr>
            </w:pPr>
          </w:p>
        </w:tc>
      </w:tr>
      <w:tr>
        <w:trPr>
          <w:trHeight w:val="290"/>
        </w:trPr>
        <w:tc>
          <w:tcPr>
            <w:tcW w:w="462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6"/>
                <w:szCs w:val="16"/>
                <w:color w:val="auto"/>
              </w:rPr>
              <w:t>David M. Reese</w:t>
            </w:r>
          </w:p>
        </w:tc>
        <w:tc>
          <w:tcPr>
            <w:tcW w:w="216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2,050,000</w:t>
            </w:r>
          </w:p>
        </w:tc>
        <w:tc>
          <w:tcPr>
            <w:tcW w:w="212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8,230</w:t>
            </w:r>
          </w:p>
        </w:tc>
        <w:tc>
          <w:tcPr>
            <w:tcW w:w="2120" w:type="dxa"/>
            <w:vAlign w:val="bottom"/>
            <w:tcBorders>
              <w:bottom w:val="single" w:sz="8" w:color="CCE2F1"/>
            </w:tcBorders>
            <w:shd w:val="clear" w:color="auto" w:fill="CCE2F1"/>
          </w:tcPr>
          <w:p>
            <w:pPr>
              <w:jc w:val="right"/>
              <w:spacing w:after="0"/>
              <w:rPr>
                <w:sz w:val="20"/>
                <w:szCs w:val="20"/>
                <w:color w:val="auto"/>
              </w:rPr>
            </w:pPr>
            <w:r>
              <w:rPr>
                <w:rFonts w:ascii="Arial" w:cs="Arial" w:eastAsia="Arial" w:hAnsi="Arial"/>
                <w:sz w:val="16"/>
                <w:szCs w:val="16"/>
                <w:color w:val="auto"/>
              </w:rPr>
              <w:t>8,021</w:t>
            </w:r>
          </w:p>
        </w:tc>
      </w:tr>
      <w:tr>
        <w:trPr>
          <w:trHeight w:val="251"/>
        </w:trPr>
        <w:tc>
          <w:tcPr>
            <w:tcW w:w="4620" w:type="dxa"/>
            <w:vAlign w:val="bottom"/>
          </w:tcPr>
          <w:p>
            <w:pPr>
              <w:ind w:left="80"/>
              <w:spacing w:after="0"/>
              <w:rPr>
                <w:sz w:val="20"/>
                <w:szCs w:val="20"/>
                <w:color w:val="auto"/>
              </w:rPr>
            </w:pPr>
            <w:r>
              <w:rPr>
                <w:rFonts w:ascii="Arial" w:cs="Arial" w:eastAsia="Arial" w:hAnsi="Arial"/>
                <w:sz w:val="16"/>
                <w:szCs w:val="16"/>
                <w:color w:val="auto"/>
              </w:rPr>
              <w:t>Peter H. Griffith</w:t>
            </w:r>
          </w:p>
        </w:tc>
        <w:tc>
          <w:tcPr>
            <w:tcW w:w="2160" w:type="dxa"/>
            <w:vAlign w:val="bottom"/>
          </w:tcPr>
          <w:p>
            <w:pPr>
              <w:jc w:val="right"/>
              <w:ind w:right="59"/>
              <w:spacing w:after="0"/>
              <w:rPr>
                <w:sz w:val="20"/>
                <w:szCs w:val="20"/>
                <w:color w:val="auto"/>
              </w:rPr>
            </w:pPr>
            <w:r>
              <w:rPr>
                <w:rFonts w:ascii="Arial" w:cs="Arial" w:eastAsia="Arial" w:hAnsi="Arial"/>
                <w:sz w:val="16"/>
                <w:szCs w:val="16"/>
                <w:color w:val="auto"/>
              </w:rPr>
              <w:t>2,000,000</w:t>
            </w:r>
          </w:p>
        </w:tc>
        <w:tc>
          <w:tcPr>
            <w:tcW w:w="2120" w:type="dxa"/>
            <w:vAlign w:val="bottom"/>
          </w:tcPr>
          <w:p>
            <w:pPr>
              <w:jc w:val="right"/>
              <w:ind w:right="59"/>
              <w:spacing w:after="0"/>
              <w:rPr>
                <w:sz w:val="20"/>
                <w:szCs w:val="20"/>
                <w:color w:val="auto"/>
              </w:rPr>
            </w:pPr>
            <w:r>
              <w:rPr>
                <w:rFonts w:ascii="Arial" w:cs="Arial" w:eastAsia="Arial" w:hAnsi="Arial"/>
                <w:sz w:val="16"/>
                <w:szCs w:val="16"/>
                <w:color w:val="auto"/>
              </w:rPr>
              <w:t>8,029</w:t>
            </w:r>
          </w:p>
        </w:tc>
        <w:tc>
          <w:tcPr>
            <w:tcW w:w="2120" w:type="dxa"/>
            <w:vAlign w:val="bottom"/>
          </w:tcPr>
          <w:p>
            <w:pPr>
              <w:jc w:val="right"/>
              <w:spacing w:after="0"/>
              <w:rPr>
                <w:sz w:val="20"/>
                <w:szCs w:val="20"/>
                <w:color w:val="auto"/>
              </w:rPr>
            </w:pPr>
            <w:r>
              <w:rPr>
                <w:rFonts w:ascii="Arial" w:cs="Arial" w:eastAsia="Arial" w:hAnsi="Arial"/>
                <w:sz w:val="16"/>
                <w:szCs w:val="16"/>
                <w:color w:val="auto"/>
              </w:rPr>
              <w:t>7,825</w:t>
            </w:r>
          </w:p>
        </w:tc>
      </w:tr>
      <w:tr>
        <w:trPr>
          <w:trHeight w:val="60"/>
        </w:trPr>
        <w:tc>
          <w:tcPr>
            <w:tcW w:w="46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2120" w:type="dxa"/>
            <w:vAlign w:val="bottom"/>
          </w:tcPr>
          <w:p>
            <w:pPr>
              <w:spacing w:after="0"/>
              <w:rPr>
                <w:sz w:val="5"/>
                <w:szCs w:val="5"/>
                <w:color w:val="auto"/>
              </w:rPr>
            </w:pPr>
          </w:p>
        </w:tc>
      </w:tr>
      <w:tr>
        <w:trPr>
          <w:trHeight w:val="290"/>
        </w:trPr>
        <w:tc>
          <w:tcPr>
            <w:tcW w:w="4620" w:type="dxa"/>
            <w:vAlign w:val="bottom"/>
            <w:tcBorders>
              <w:bottom w:val="single" w:sz="8" w:color="0171B9"/>
            </w:tcBorders>
            <w:shd w:val="clear" w:color="auto" w:fill="CCE2F1"/>
          </w:tcPr>
          <w:p>
            <w:pPr>
              <w:ind w:left="80"/>
              <w:spacing w:after="0"/>
              <w:rPr>
                <w:sz w:val="20"/>
                <w:szCs w:val="20"/>
                <w:color w:val="auto"/>
              </w:rPr>
            </w:pPr>
            <w:r>
              <w:rPr>
                <w:rFonts w:ascii="Arial" w:cs="Arial" w:eastAsia="Arial" w:hAnsi="Arial"/>
                <w:sz w:val="16"/>
                <w:szCs w:val="16"/>
                <w:color w:val="auto"/>
              </w:rPr>
              <w:t>Esteban Santos</w:t>
            </w:r>
          </w:p>
        </w:tc>
        <w:tc>
          <w:tcPr>
            <w:tcW w:w="2160" w:type="dxa"/>
            <w:vAlign w:val="bottom"/>
            <w:tcBorders>
              <w:bottom w:val="single" w:sz="8" w:color="0171B9"/>
            </w:tcBorders>
            <w:shd w:val="clear" w:color="auto" w:fill="CCE2F1"/>
          </w:tcPr>
          <w:p>
            <w:pPr>
              <w:jc w:val="right"/>
              <w:ind w:right="59"/>
              <w:spacing w:after="0"/>
              <w:rPr>
                <w:sz w:val="20"/>
                <w:szCs w:val="20"/>
                <w:color w:val="auto"/>
              </w:rPr>
            </w:pPr>
            <w:r>
              <w:rPr>
                <w:rFonts w:ascii="Arial" w:cs="Arial" w:eastAsia="Arial" w:hAnsi="Arial"/>
                <w:sz w:val="16"/>
                <w:szCs w:val="16"/>
                <w:color w:val="auto"/>
              </w:rPr>
              <w:t>2,000,000</w:t>
            </w:r>
          </w:p>
        </w:tc>
        <w:tc>
          <w:tcPr>
            <w:tcW w:w="2120" w:type="dxa"/>
            <w:vAlign w:val="bottom"/>
            <w:tcBorders>
              <w:bottom w:val="single" w:sz="8" w:color="0171B9"/>
            </w:tcBorders>
            <w:shd w:val="clear" w:color="auto" w:fill="CCE2F1"/>
          </w:tcPr>
          <w:p>
            <w:pPr>
              <w:jc w:val="right"/>
              <w:ind w:right="59"/>
              <w:spacing w:after="0"/>
              <w:rPr>
                <w:sz w:val="20"/>
                <w:szCs w:val="20"/>
                <w:color w:val="auto"/>
              </w:rPr>
            </w:pPr>
            <w:r>
              <w:rPr>
                <w:rFonts w:ascii="Arial" w:cs="Arial" w:eastAsia="Arial" w:hAnsi="Arial"/>
                <w:sz w:val="16"/>
                <w:szCs w:val="16"/>
                <w:color w:val="auto"/>
              </w:rPr>
              <w:t>8,029</w:t>
            </w:r>
          </w:p>
        </w:tc>
        <w:tc>
          <w:tcPr>
            <w:tcW w:w="2120" w:type="dxa"/>
            <w:vAlign w:val="bottom"/>
            <w:tcBorders>
              <w:bottom w:val="single" w:sz="8" w:color="0171B9"/>
            </w:tcBorders>
            <w:shd w:val="clear" w:color="auto" w:fill="CCE2F1"/>
          </w:tcPr>
          <w:p>
            <w:pPr>
              <w:jc w:val="right"/>
              <w:spacing w:after="0"/>
              <w:rPr>
                <w:sz w:val="20"/>
                <w:szCs w:val="20"/>
                <w:color w:val="auto"/>
              </w:rPr>
            </w:pPr>
            <w:r>
              <w:rPr>
                <w:rFonts w:ascii="Arial" w:cs="Arial" w:eastAsia="Arial" w:hAnsi="Arial"/>
                <w:sz w:val="16"/>
                <w:szCs w:val="16"/>
                <w:color w:val="auto"/>
              </w:rPr>
              <w:t>7,825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-984885</wp:posOffset>
            </wp:positionV>
            <wp:extent cx="69951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22"/>
          <w:szCs w:val="22"/>
          <w:color w:val="auto"/>
          <w:vertAlign w:val="superscript"/>
        </w:rPr>
      </w:pPr>
      <w:r>
        <w:rPr>
          <w:rFonts w:ascii="Arial" w:cs="Arial" w:eastAsia="Arial" w:hAnsi="Arial"/>
          <w:sz w:val="14"/>
          <w:szCs w:val="14"/>
          <w:color w:val="auto"/>
        </w:rPr>
        <w:t>Includes dividend equivalents earned on these amounts rounded down to the nearest whole number of shares (excluding fractional shares paid in cash).</w:t>
      </w:r>
    </w:p>
    <w:p>
      <w:pPr>
        <w:spacing w:after="0" w:line="117" w:lineRule="exact"/>
        <w:rPr>
          <w:sz w:val="20"/>
          <w:szCs w:val="20"/>
          <w:color w:val="auto"/>
        </w:r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6960"/>
        <w:spacing w:after="0"/>
        <w:rPr>
          <w:sz w:val="20"/>
          <w:szCs w:val="20"/>
          <w:color w:val="auto"/>
        </w:rPr>
      </w:pPr>
      <w:r>
        <w:rPr>
          <w:rFonts w:ascii="Arial" w:cs="Arial" w:eastAsia="Arial" w:hAnsi="Arial"/>
          <w:sz w:val="21"/>
          <w:szCs w:val="21"/>
          <w:b w:val="1"/>
          <w:bCs w:val="1"/>
          <w:color w:val="FFFFFF"/>
          <w:shd w:val="clear" w:color="auto" w:fill="0171B9"/>
        </w:rPr>
        <w:t>Compensation Discussion and Analysis</w:t>
      </w:r>
    </w:p>
    <w:p>
      <w:pPr>
        <w:spacing w:after="0" w:line="35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2021-2023 Performance Period Goal Design and Award Calculation</w:t>
      </w:r>
    </w:p>
    <w:p>
      <w:pPr>
        <w:spacing w:after="0" w:line="94" w:lineRule="exact"/>
        <w:rPr>
          <w:sz w:val="20"/>
          <w:szCs w:val="20"/>
          <w:color w:val="auto"/>
        </w:rPr>
      </w:pPr>
    </w:p>
    <w:p>
      <w:pPr>
        <w:jc w:val="center"/>
        <w:ind w:left="440" w:right="740"/>
        <w:spacing w:after="0" w:line="241" w:lineRule="auto"/>
        <w:rPr>
          <w:sz w:val="20"/>
          <w:szCs w:val="20"/>
          <w:color w:val="auto"/>
        </w:rPr>
      </w:pPr>
      <w:r>
        <w:rPr>
          <w:rFonts w:ascii="Arial" w:cs="Arial" w:eastAsia="Arial" w:hAnsi="Arial"/>
          <w:sz w:val="20"/>
          <w:szCs w:val="20"/>
          <w:b w:val="1"/>
          <w:bCs w:val="1"/>
          <w:color w:val="0171B9"/>
        </w:rPr>
        <w:t>All operating measures and goals were established at the beginning of the three-year performance period and no alterations were made to respond to changing business conditions (</w:t>
      </w:r>
      <w:r>
        <w:rPr>
          <w:rFonts w:ascii="Arial" w:cs="Arial" w:eastAsia="Arial" w:hAnsi="Arial"/>
          <w:sz w:val="20"/>
          <w:szCs w:val="20"/>
          <w:b w:val="1"/>
          <w:bCs w:val="1"/>
          <w:i w:val="1"/>
          <w:iCs w:val="1"/>
          <w:color w:val="0171B9"/>
        </w:rPr>
        <w:t>i.e.</w:t>
      </w:r>
      <w:r>
        <w:rPr>
          <w:rFonts w:ascii="Arial" w:cs="Arial" w:eastAsia="Arial" w:hAnsi="Arial"/>
          <w:sz w:val="20"/>
          <w:szCs w:val="20"/>
          <w:b w:val="1"/>
          <w:bCs w:val="1"/>
          <w:color w:val="0171B9"/>
        </w:rPr>
        <w:t>, the challenges of the pandemic).</w:t>
      </w:r>
    </w:p>
    <w:p>
      <w:pPr>
        <w:spacing w:after="0" w:line="85"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The Compensation Committee constructed the 2021-2023 performance period (January 1, 2021 to December 31, 2023) design with the same two operating measures as the 2019-2021 and 2020-2022 performance periods of non-GAAP EPS growth and ROIC weighted equally in each year (one-half per measure) and relative TSR modifier (</w:t>
      </w:r>
      <w:r>
        <w:rPr>
          <w:rFonts w:ascii="Arial" w:cs="Arial" w:eastAsia="Arial" w:hAnsi="Arial"/>
          <w:sz w:val="12"/>
          <w:szCs w:val="12"/>
          <w:color w:val="auto"/>
        </w:rPr>
        <w:t>+</w:t>
      </w:r>
      <w:r>
        <w:rPr>
          <w:rFonts w:ascii="Arial" w:cs="Arial" w:eastAsia="Arial" w:hAnsi="Arial"/>
          <w:sz w:val="17"/>
          <w:szCs w:val="17"/>
          <w:color w:val="auto"/>
        </w:rPr>
        <w:t>/-30 percentage points). The TSR modifier cannot exceed target (100%) regardless of our relative TSR performance if our absolute TSR over the performance period is less than zero.</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2022 Operating Measures and Performance for the 2021-2023 Performance Period</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Borders>
              <w:right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jc w:val="center"/>
              <w:spacing w:after="0" w:line="163" w:lineRule="exact"/>
              <w:rPr>
                <w:sz w:val="20"/>
                <w:szCs w:val="20"/>
                <w:color w:val="auto"/>
              </w:rPr>
            </w:pPr>
            <w:r>
              <w:rPr>
                <w:rFonts w:ascii="Arial" w:cs="Arial" w:eastAsia="Arial" w:hAnsi="Arial"/>
                <w:sz w:val="13"/>
                <w:szCs w:val="13"/>
                <w:b w:val="1"/>
                <w:bCs w:val="1"/>
                <w:color w:val="auto"/>
              </w:rPr>
              <w:t>Non-GAAP</w:t>
            </w:r>
            <w:r>
              <w:rPr>
                <w:rFonts w:ascii="Arial" w:cs="Arial" w:eastAsia="Arial" w:hAnsi="Arial"/>
                <w:sz w:val="18"/>
                <w:szCs w:val="18"/>
                <w:b w:val="1"/>
                <w:bCs w:val="1"/>
                <w:color w:val="auto"/>
                <w:vertAlign w:val="superscript"/>
              </w:rPr>
              <w:t>(1)</w:t>
            </w:r>
          </w:p>
        </w:tc>
        <w:tc>
          <w:tcPr>
            <w:tcW w:w="960" w:type="dxa"/>
            <w:vAlign w:val="bottom"/>
            <w:tcBorders>
              <w:top w:val="single" w:sz="8" w:color="auto"/>
              <w:right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Minimum</w:t>
            </w: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right w:val="single" w:sz="8" w:color="auto"/>
            </w:tcBorders>
            <w:gridSpan w:val="3"/>
            <w:vMerge w:val="restart"/>
          </w:tcPr>
          <w:p>
            <w:pPr>
              <w:ind w:left="160"/>
              <w:spacing w:after="0"/>
              <w:rPr>
                <w:sz w:val="20"/>
                <w:szCs w:val="20"/>
                <w:color w:val="auto"/>
              </w:rPr>
            </w:pPr>
            <w:r>
              <w:rPr>
                <w:rFonts w:ascii="Arial" w:cs="Arial" w:eastAsia="Arial" w:hAnsi="Arial"/>
                <w:sz w:val="14"/>
                <w:szCs w:val="14"/>
                <w:b w:val="1"/>
                <w:bCs w:val="1"/>
                <w:color w:val="auto"/>
              </w:rPr>
              <w:t>Low</w:t>
            </w: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Target</w:t>
            </w: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right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vMerge w:val="restart"/>
          </w:tcPr>
          <w:p>
            <w:pPr>
              <w:jc w:val="right"/>
              <w:ind w:right="64"/>
              <w:spacing w:after="0"/>
              <w:rPr>
                <w:sz w:val="20"/>
                <w:szCs w:val="20"/>
                <w:color w:val="auto"/>
              </w:rPr>
            </w:pPr>
            <w:r>
              <w:rPr>
                <w:rFonts w:ascii="Arial" w:cs="Arial" w:eastAsia="Arial" w:hAnsi="Arial"/>
                <w:sz w:val="14"/>
                <w:szCs w:val="14"/>
                <w:b w:val="1"/>
                <w:bCs w:val="1"/>
                <w:color w:val="auto"/>
              </w:rPr>
              <w:t>High</w:t>
            </w:r>
          </w:p>
        </w:tc>
        <w:tc>
          <w:tcPr>
            <w:tcW w:w="14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vMerge w:val="restart"/>
          </w:tcPr>
          <w:p>
            <w:pPr>
              <w:jc w:val="right"/>
              <w:ind w:right="44"/>
              <w:spacing w:after="0"/>
              <w:rPr>
                <w:sz w:val="20"/>
                <w:szCs w:val="20"/>
                <w:color w:val="auto"/>
              </w:rPr>
            </w:pPr>
            <w:r>
              <w:rPr>
                <w:rFonts w:ascii="Arial" w:cs="Arial" w:eastAsia="Arial" w:hAnsi="Arial"/>
                <w:sz w:val="14"/>
                <w:szCs w:val="14"/>
                <w:b w:val="1"/>
                <w:bCs w:val="1"/>
                <w:color w:val="auto"/>
              </w:rPr>
              <w:t>Maximum</w:t>
            </w:r>
          </w:p>
        </w:tc>
        <w:tc>
          <w:tcPr>
            <w:tcW w:w="1200" w:type="dxa"/>
            <w:vAlign w:val="bottom"/>
            <w:tcBorders>
              <w:top w:val="single" w:sz="8" w:color="auto"/>
              <w:right w:val="single" w:sz="8" w:color="auto"/>
            </w:tcBorders>
            <w:vMerge w:val="restart"/>
            <w:shd w:val="clear" w:color="auto" w:fill="0171B9"/>
          </w:tcPr>
          <w:p>
            <w:pPr>
              <w:jc w:val="center"/>
              <w:spacing w:after="0"/>
              <w:rPr>
                <w:sz w:val="20"/>
                <w:szCs w:val="20"/>
                <w:color w:val="auto"/>
              </w:rPr>
            </w:pPr>
            <w:r>
              <w:rPr>
                <w:rFonts w:ascii="Arial" w:cs="Arial" w:eastAsia="Arial" w:hAnsi="Arial"/>
                <w:sz w:val="14"/>
                <w:szCs w:val="14"/>
                <w:b w:val="1"/>
                <w:bCs w:val="1"/>
                <w:color w:val="FFFFFF"/>
              </w:rPr>
              <w:t>2022</w:t>
            </w:r>
          </w:p>
        </w:tc>
        <w:tc>
          <w:tcPr>
            <w:tcW w:w="0" w:type="dxa"/>
            <w:vAlign w:val="bottom"/>
          </w:tcPr>
          <w:p>
            <w:pPr>
              <w:spacing w:after="0"/>
              <w:rPr>
                <w:sz w:val="1"/>
                <w:szCs w:val="1"/>
                <w:color w:val="auto"/>
              </w:rPr>
            </w:pPr>
          </w:p>
        </w:tc>
      </w:tr>
      <w:tr>
        <w:trPr>
          <w:trHeight w:val="148"/>
        </w:trPr>
        <w:tc>
          <w:tcPr>
            <w:tcW w:w="4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Operating</w:t>
            </w:r>
          </w:p>
        </w:tc>
        <w:tc>
          <w:tcPr>
            <w:tcW w:w="96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right w:val="single" w:sz="8" w:color="auto"/>
            </w:tcBorders>
            <w:gridSpan w:val="3"/>
            <w:vMerge w:val="continue"/>
          </w:tcPr>
          <w:p>
            <w:pPr>
              <w:spacing w:after="0"/>
              <w:rPr>
                <w:sz w:val="12"/>
                <w:szCs w:val="12"/>
                <w:color w:val="auto"/>
              </w:rPr>
            </w:pPr>
          </w:p>
        </w:tc>
        <w:tc>
          <w:tcPr>
            <w:tcW w:w="160" w:type="dxa"/>
            <w:vAlign w:val="bottom"/>
            <w:gridSpan w:val="4"/>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continue"/>
            <w:shd w:val="clear" w:color="auto" w:fill="0171B9"/>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0" w:type="dxa"/>
            <w:vAlign w:val="bottom"/>
            <w:tcBorders>
              <w:bottom w:val="single" w:sz="8" w:color="31485D"/>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Measures</w:t>
            </w:r>
          </w:p>
        </w:tc>
        <w:tc>
          <w:tcPr>
            <w:tcW w:w="96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(80%)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(100%)</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gridSpan w:val="2"/>
          </w:tcPr>
          <w:p>
            <w:pPr>
              <w:spacing w:after="0"/>
              <w:rPr>
                <w:sz w:val="16"/>
                <w:szCs w:val="16"/>
                <w:color w:val="auto"/>
              </w:rPr>
            </w:pPr>
          </w:p>
        </w:tc>
        <w:tc>
          <w:tcPr>
            <w:tcW w:w="78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4"/>
                <w:szCs w:val="14"/>
                <w:b w:val="1"/>
                <w:bCs w:val="1"/>
                <w:color w:val="auto"/>
              </w:rPr>
              <w:t>(120%)</w:t>
            </w:r>
          </w:p>
        </w:tc>
        <w:tc>
          <w:tcPr>
            <w:tcW w:w="1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(170%)</w:t>
            </w:r>
          </w:p>
        </w:tc>
        <w:tc>
          <w:tcPr>
            <w:tcW w:w="1200" w:type="dxa"/>
            <w:vAlign w:val="bottom"/>
            <w:tcBorders>
              <w:bottom w:val="single" w:sz="8" w:color="auto"/>
              <w:right w:val="single" w:sz="8" w:color="auto"/>
            </w:tcBorders>
            <w:shd w:val="clear" w:color="auto" w:fill="0171B9"/>
          </w:tcPr>
          <w:p>
            <w:pPr>
              <w:ind w:left="160"/>
              <w:spacing w:after="0"/>
              <w:rPr>
                <w:sz w:val="20"/>
                <w:szCs w:val="20"/>
                <w:color w:val="auto"/>
              </w:rPr>
            </w:pPr>
            <w:r>
              <w:rPr>
                <w:rFonts w:ascii="Arial" w:cs="Arial" w:eastAsia="Arial" w:hAnsi="Arial"/>
                <w:sz w:val="14"/>
                <w:szCs w:val="14"/>
                <w:b w:val="1"/>
                <w:bCs w:val="1"/>
                <w:color w:val="FFFFFF"/>
              </w:rPr>
              <w:t>Performance</w:t>
            </w:r>
          </w:p>
        </w:tc>
        <w:tc>
          <w:tcPr>
            <w:tcW w:w="0" w:type="dxa"/>
            <w:vAlign w:val="bottom"/>
          </w:tcPr>
          <w:p>
            <w:pPr>
              <w:spacing w:after="0"/>
              <w:rPr>
                <w:sz w:val="1"/>
                <w:szCs w:val="1"/>
                <w:color w:val="auto"/>
              </w:rPr>
            </w:pPr>
          </w:p>
        </w:tc>
      </w:tr>
      <w:tr>
        <w:trPr>
          <w:trHeight w:val="292"/>
        </w:trPr>
        <w:tc>
          <w:tcPr>
            <w:tcW w:w="440" w:type="dxa"/>
            <w:vAlign w:val="bottom"/>
            <w:tcBorders>
              <w:right w:val="single" w:sz="8" w:color="auto"/>
            </w:tcBorders>
            <w:shd w:val="clear" w:color="auto" w:fill="31485D"/>
          </w:tcPr>
          <w:p>
            <w:pPr>
              <w:spacing w:after="0"/>
              <w:rPr>
                <w:sz w:val="24"/>
                <w:szCs w:val="24"/>
                <w:color w:val="auto"/>
              </w:rPr>
            </w:pPr>
          </w:p>
        </w:tc>
        <w:tc>
          <w:tcPr>
            <w:tcW w:w="1240" w:type="dxa"/>
            <w:vAlign w:val="bottom"/>
            <w:tcBorders>
              <w:right w:val="single" w:sz="8" w:color="auto"/>
            </w:tcBorders>
            <w:shd w:val="clear" w:color="auto" w:fill="0171B9"/>
          </w:tcPr>
          <w:p>
            <w:pPr>
              <w:jc w:val="center"/>
              <w:spacing w:after="0"/>
              <w:rPr>
                <w:sz w:val="20"/>
                <w:szCs w:val="20"/>
                <w:color w:val="auto"/>
              </w:rPr>
            </w:pPr>
            <w:r>
              <w:rPr>
                <w:rFonts w:ascii="Arial" w:cs="Arial" w:eastAsia="Arial" w:hAnsi="Arial"/>
                <w:sz w:val="16"/>
                <w:szCs w:val="16"/>
                <w:b w:val="1"/>
                <w:bCs w:val="1"/>
                <w:color w:val="FFFFFF"/>
              </w:rPr>
              <w:t>EPS Growth</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≤$12.00</w:t>
            </w:r>
          </w:p>
        </w:tc>
        <w:tc>
          <w:tcPr>
            <w:tcW w:w="16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98"/>
              </w:rPr>
              <w:t>$14.00</w:t>
            </w:r>
          </w:p>
        </w:tc>
        <w:tc>
          <w:tcPr>
            <w:tcW w:w="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rPr>
              <w:t>$16.24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700" w:type="dxa"/>
            <w:vAlign w:val="bottom"/>
            <w:vMerge w:val="restart"/>
          </w:tcPr>
          <w:p>
            <w:pPr>
              <w:jc w:val="right"/>
              <w:ind w:right="4"/>
              <w:spacing w:after="0"/>
              <w:rPr>
                <w:sz w:val="20"/>
                <w:szCs w:val="20"/>
                <w:color w:val="auto"/>
              </w:rPr>
            </w:pPr>
            <w:r>
              <w:rPr>
                <w:rFonts w:ascii="Arial" w:cs="Arial" w:eastAsia="Arial" w:hAnsi="Arial"/>
                <w:sz w:val="16"/>
                <w:szCs w:val="16"/>
                <w:color w:val="auto"/>
              </w:rPr>
              <w:t>$18.00</w:t>
            </w:r>
          </w:p>
        </w:tc>
        <w:tc>
          <w:tcPr>
            <w:tcW w:w="1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vMerge w:val="restart"/>
          </w:tcPr>
          <w:p>
            <w:pPr>
              <w:jc w:val="right"/>
              <w:ind w:right="44"/>
              <w:spacing w:after="0"/>
              <w:rPr>
                <w:sz w:val="20"/>
                <w:szCs w:val="20"/>
                <w:color w:val="auto"/>
              </w:rPr>
            </w:pPr>
            <w:r>
              <w:rPr>
                <w:rFonts w:ascii="Arial" w:cs="Arial" w:eastAsia="Arial" w:hAnsi="Arial"/>
                <w:sz w:val="16"/>
                <w:szCs w:val="16"/>
                <w:color w:val="auto"/>
              </w:rPr>
              <w:t>≥$20.00</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117.8%</w:t>
            </w:r>
          </w:p>
        </w:tc>
        <w:tc>
          <w:tcPr>
            <w:tcW w:w="0" w:type="dxa"/>
            <w:vAlign w:val="bottom"/>
          </w:tcPr>
          <w:p>
            <w:pPr>
              <w:spacing w:after="0"/>
              <w:rPr>
                <w:sz w:val="1"/>
                <w:szCs w:val="1"/>
                <w:color w:val="auto"/>
              </w:rPr>
            </w:pPr>
          </w:p>
        </w:tc>
      </w:tr>
      <w:tr>
        <w:trPr>
          <w:trHeight w:val="106"/>
        </w:trPr>
        <w:tc>
          <w:tcPr>
            <w:tcW w:w="440" w:type="dxa"/>
            <w:vAlign w:val="bottom"/>
            <w:tcBorders>
              <w:bottom w:val="single" w:sz="8" w:color="31485D"/>
              <w:right w:val="single" w:sz="8" w:color="auto"/>
            </w:tcBorders>
            <w:shd w:val="clear" w:color="auto" w:fill="31485D"/>
          </w:tcPr>
          <w:p>
            <w:pPr>
              <w:spacing w:after="0"/>
              <w:rPr>
                <w:sz w:val="9"/>
                <w:szCs w:val="9"/>
                <w:color w:val="auto"/>
              </w:rPr>
            </w:pPr>
          </w:p>
        </w:tc>
        <w:tc>
          <w:tcPr>
            <w:tcW w:w="1240" w:type="dxa"/>
            <w:vAlign w:val="bottom"/>
            <w:tcBorders>
              <w:bottom w:val="single" w:sz="8" w:color="0171B9"/>
              <w:right w:val="single" w:sz="8" w:color="auto"/>
            </w:tcBorders>
            <w:vMerge w:val="restart"/>
            <w:shd w:val="clear" w:color="auto" w:fill="0171B9"/>
          </w:tcPr>
          <w:p>
            <w:pPr>
              <w:jc w:val="right"/>
              <w:ind w:right="444"/>
              <w:spacing w:after="0"/>
              <w:rPr>
                <w:sz w:val="20"/>
                <w:szCs w:val="20"/>
                <w:color w:val="auto"/>
              </w:rPr>
            </w:pPr>
            <w:r>
              <w:rPr>
                <w:rFonts w:ascii="Arial" w:cs="Arial" w:eastAsia="Arial" w:hAnsi="Arial"/>
                <w:sz w:val="16"/>
                <w:szCs w:val="16"/>
                <w:color w:val="FFFFFF"/>
              </w:rPr>
              <w:t>($)</w:t>
            </w:r>
          </w:p>
        </w:tc>
        <w:tc>
          <w:tcPr>
            <w:tcW w:w="96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 w:type="dxa"/>
            <w:vAlign w:val="bottom"/>
            <w:tcBorders>
              <w:bottom w:val="single" w:sz="8" w:color="0171B9"/>
            </w:tcBorders>
          </w:tcPr>
          <w:p>
            <w:pPr>
              <w:spacing w:after="0"/>
              <w:rPr>
                <w:sz w:val="9"/>
                <w:szCs w:val="9"/>
                <w:color w:val="auto"/>
              </w:rPr>
            </w:pPr>
          </w:p>
        </w:tc>
        <w:tc>
          <w:tcPr>
            <w:tcW w:w="60" w:type="dxa"/>
            <w:vAlign w:val="bottom"/>
            <w:tcBorders>
              <w:bottom w:val="single" w:sz="8" w:color="0171B9"/>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 w:type="dxa"/>
            <w:vAlign w:val="bottom"/>
            <w:tcBorders>
              <w:bottom w:val="single" w:sz="8" w:color="0171B9"/>
            </w:tcBorders>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700" w:type="dxa"/>
            <w:vAlign w:val="bottom"/>
            <w:tcBorders>
              <w:bottom w:val="single" w:sz="8" w:color="0171B9"/>
            </w:tcBorders>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440" w:type="dxa"/>
            <w:vAlign w:val="bottom"/>
            <w:tcBorders>
              <w:right w:val="single" w:sz="8" w:color="auto"/>
            </w:tcBorders>
            <w:shd w:val="clear" w:color="auto" w:fill="31485D"/>
          </w:tcPr>
          <w:p>
            <w:pPr>
              <w:spacing w:after="0"/>
              <w:rPr>
                <w:sz w:val="5"/>
                <w:szCs w:val="5"/>
                <w:color w:val="auto"/>
              </w:rPr>
            </w:pPr>
          </w:p>
        </w:tc>
        <w:tc>
          <w:tcPr>
            <w:tcW w:w="1240" w:type="dxa"/>
            <w:vAlign w:val="bottom"/>
            <w:tcBorders>
              <w:right w:val="single" w:sz="8" w:color="auto"/>
            </w:tcBorders>
            <w:vMerge w:val="continue"/>
            <w:shd w:val="clear" w:color="auto" w:fill="0171B9"/>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40" w:type="dxa"/>
            <w:vAlign w:val="bottom"/>
            <w:gridSpan w:val="7"/>
            <w:vMerge w:val="restart"/>
          </w:tcPr>
          <w:p>
            <w:pPr>
              <w:jc w:val="right"/>
              <w:ind w:right="144"/>
              <w:spacing w:after="0"/>
              <w:rPr>
                <w:sz w:val="20"/>
                <w:szCs w:val="20"/>
                <w:color w:val="auto"/>
              </w:rPr>
            </w:pPr>
            <w:r>
              <w:rPr>
                <w:rFonts w:ascii="Arial" w:cs="Arial" w:eastAsia="Arial" w:hAnsi="Arial"/>
                <w:sz w:val="16"/>
                <w:szCs w:val="16"/>
                <w:color w:val="0171B9"/>
              </w:rPr>
              <w:t>($17.81 actual)</w:t>
            </w:r>
          </w:p>
        </w:tc>
        <w:tc>
          <w:tcPr>
            <w:tcW w:w="14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40" w:type="dxa"/>
            <w:vAlign w:val="bottom"/>
            <w:tcBorders>
              <w:bottom w:val="single" w:sz="8" w:color="31485D"/>
              <w:right w:val="single" w:sz="8" w:color="auto"/>
            </w:tcBorders>
            <w:shd w:val="clear" w:color="auto" w:fill="31485D"/>
          </w:tcPr>
          <w:p>
            <w:pPr>
              <w:spacing w:after="0"/>
              <w:rPr>
                <w:sz w:val="10"/>
                <w:szCs w:val="10"/>
                <w:color w:val="auto"/>
              </w:rPr>
            </w:pPr>
          </w:p>
        </w:tc>
        <w:tc>
          <w:tcPr>
            <w:tcW w:w="1240" w:type="dxa"/>
            <w:vAlign w:val="bottom"/>
            <w:tcBorders>
              <w:bottom w:val="single" w:sz="8" w:color="auto"/>
              <w:right w:val="single" w:sz="8" w:color="auto"/>
            </w:tcBorders>
            <w:shd w:val="clear" w:color="auto" w:fill="0171B9"/>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7"/>
            <w:vMerge w:val="continue"/>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440" w:type="dxa"/>
            <w:vAlign w:val="bottom"/>
            <w:tcBorders>
              <w:right w:val="single" w:sz="8" w:color="auto"/>
            </w:tcBorders>
            <w:shd w:val="clear" w:color="auto" w:fill="31485D"/>
          </w:tcPr>
          <w:p>
            <w:pPr>
              <w:spacing w:after="0"/>
              <w:rPr>
                <w:sz w:val="24"/>
                <w:szCs w:val="24"/>
                <w:color w:val="auto"/>
              </w:rPr>
            </w:pPr>
          </w:p>
        </w:tc>
        <w:tc>
          <w:tcPr>
            <w:tcW w:w="1240" w:type="dxa"/>
            <w:vAlign w:val="bottom"/>
            <w:tcBorders>
              <w:right w:val="single" w:sz="8" w:color="auto"/>
            </w:tcBorders>
            <w:shd w:val="clear" w:color="auto" w:fill="80B8DC"/>
          </w:tcPr>
          <w:p>
            <w:pPr>
              <w:jc w:val="center"/>
              <w:spacing w:after="0"/>
              <w:rPr>
                <w:sz w:val="20"/>
                <w:szCs w:val="20"/>
                <w:color w:val="auto"/>
              </w:rPr>
            </w:pPr>
            <w:r>
              <w:rPr>
                <w:rFonts w:ascii="Arial" w:cs="Arial" w:eastAsia="Arial" w:hAnsi="Arial"/>
                <w:sz w:val="16"/>
                <w:szCs w:val="16"/>
                <w:b w:val="1"/>
                <w:bCs w:val="1"/>
                <w:color w:val="FFFFFF"/>
                <w:w w:val="93"/>
              </w:rPr>
              <w:t>ROIC</w:t>
            </w:r>
            <w:r>
              <w:rPr>
                <w:rFonts w:ascii="Arial" w:cs="Arial" w:eastAsia="Arial" w:hAnsi="Arial"/>
                <w:sz w:val="24"/>
                <w:szCs w:val="24"/>
                <w:b w:val="1"/>
                <w:bCs w:val="1"/>
                <w:color w:val="FFFFFF"/>
                <w:w w:val="93"/>
                <w:vertAlign w:val="superscript"/>
              </w:rPr>
              <w:t>(2)</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99"/>
              </w:rPr>
              <w:t>19%</w:t>
            </w:r>
          </w:p>
        </w:tc>
        <w:tc>
          <w:tcPr>
            <w:tcW w:w="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rPr>
              <w:t>23.4%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80" w:type="dxa"/>
            <w:vAlign w:val="bottom"/>
            <w:gridSpan w:val="3"/>
            <w:vMerge w:val="restart"/>
          </w:tcPr>
          <w:p>
            <w:pPr>
              <w:jc w:val="right"/>
              <w:ind w:right="64"/>
              <w:spacing w:after="0"/>
              <w:rPr>
                <w:sz w:val="20"/>
                <w:szCs w:val="20"/>
                <w:color w:val="auto"/>
              </w:rPr>
            </w:pPr>
            <w:r>
              <w:rPr>
                <w:rFonts w:ascii="Arial" w:cs="Arial" w:eastAsia="Arial" w:hAnsi="Arial"/>
                <w:sz w:val="16"/>
                <w:szCs w:val="16"/>
                <w:color w:val="auto"/>
              </w:rPr>
              <w:t>26%</w:t>
            </w:r>
          </w:p>
        </w:tc>
        <w:tc>
          <w:tcPr>
            <w:tcW w:w="1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16"/>
                <w:szCs w:val="16"/>
                <w:color w:val="auto"/>
              </w:rPr>
              <w:t>≥28%</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98.2%</w:t>
            </w:r>
          </w:p>
        </w:tc>
        <w:tc>
          <w:tcPr>
            <w:tcW w:w="0" w:type="dxa"/>
            <w:vAlign w:val="bottom"/>
          </w:tcPr>
          <w:p>
            <w:pPr>
              <w:spacing w:after="0"/>
              <w:rPr>
                <w:sz w:val="1"/>
                <w:szCs w:val="1"/>
                <w:color w:val="auto"/>
              </w:rPr>
            </w:pPr>
          </w:p>
        </w:tc>
      </w:tr>
      <w:tr>
        <w:trPr>
          <w:trHeight w:val="100"/>
        </w:trPr>
        <w:tc>
          <w:tcPr>
            <w:tcW w:w="440" w:type="dxa"/>
            <w:vAlign w:val="bottom"/>
            <w:tcBorders>
              <w:bottom w:val="single" w:sz="8" w:color="31485D"/>
              <w:right w:val="single" w:sz="8" w:color="auto"/>
            </w:tcBorders>
            <w:shd w:val="clear" w:color="auto" w:fill="31485D"/>
          </w:tcPr>
          <w:p>
            <w:pPr>
              <w:spacing w:after="0"/>
              <w:rPr>
                <w:sz w:val="8"/>
                <w:szCs w:val="8"/>
                <w:color w:val="auto"/>
              </w:rPr>
            </w:pPr>
          </w:p>
        </w:tc>
        <w:tc>
          <w:tcPr>
            <w:tcW w:w="1240" w:type="dxa"/>
            <w:vAlign w:val="bottom"/>
            <w:tcBorders>
              <w:bottom w:val="single" w:sz="8" w:color="80B8DC"/>
              <w:right w:val="single" w:sz="8" w:color="auto"/>
            </w:tcBorders>
            <w:vMerge w:val="restart"/>
            <w:shd w:val="clear" w:color="auto" w:fill="80B8DC"/>
          </w:tcPr>
          <w:p>
            <w:pPr>
              <w:jc w:val="right"/>
              <w:ind w:right="424"/>
              <w:spacing w:after="0"/>
              <w:rPr>
                <w:sz w:val="20"/>
                <w:szCs w:val="20"/>
                <w:color w:val="auto"/>
              </w:rPr>
            </w:pPr>
            <w:r>
              <w:rPr>
                <w:rFonts w:ascii="Arial" w:cs="Arial" w:eastAsia="Arial" w:hAnsi="Arial"/>
                <w:sz w:val="16"/>
                <w:szCs w:val="16"/>
                <w:color w:val="FFFFFF"/>
              </w:rPr>
              <w:t>(%)</w:t>
            </w:r>
          </w:p>
        </w:tc>
        <w:tc>
          <w:tcPr>
            <w:tcW w:w="960" w:type="dxa"/>
            <w:vAlign w:val="bottom"/>
            <w:tcBorders>
              <w:right w:val="single" w:sz="8" w:color="auto"/>
            </w:tcBorders>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0171B9"/>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0171B9"/>
              <w:right w:val="single" w:sz="8" w:color="auto"/>
            </w:tcBorders>
          </w:tcPr>
          <w:p>
            <w:pPr>
              <w:spacing w:after="0"/>
              <w:rPr>
                <w:sz w:val="8"/>
                <w:szCs w:val="8"/>
                <w:color w:val="auto"/>
              </w:rPr>
            </w:pPr>
          </w:p>
        </w:tc>
        <w:tc>
          <w:tcPr>
            <w:tcW w:w="20" w:type="dxa"/>
            <w:vAlign w:val="bottom"/>
            <w:tcBorders>
              <w:bottom w:val="single" w:sz="8" w:color="0171B9"/>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0171B9"/>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Borders>
              <w:bottom w:val="single" w:sz="8" w:color="0171B9"/>
            </w:tcBorders>
            <w:vMerge w:val="continue"/>
          </w:tcPr>
          <w:p>
            <w:pPr>
              <w:spacing w:after="0"/>
              <w:rPr>
                <w:sz w:val="8"/>
                <w:szCs w:val="8"/>
                <w:color w:val="auto"/>
              </w:rPr>
            </w:pPr>
          </w:p>
        </w:tc>
        <w:tc>
          <w:tcPr>
            <w:tcW w:w="20" w:type="dxa"/>
            <w:vAlign w:val="bottom"/>
            <w:tcBorders>
              <w:bottom w:val="single" w:sz="8" w:color="0171B9"/>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40" w:type="dxa"/>
            <w:vAlign w:val="bottom"/>
            <w:tcBorders>
              <w:right w:val="single" w:sz="8" w:color="auto"/>
            </w:tcBorders>
            <w:shd w:val="clear" w:color="auto" w:fill="31485D"/>
          </w:tcPr>
          <w:p>
            <w:pPr>
              <w:spacing w:after="0"/>
              <w:rPr>
                <w:sz w:val="6"/>
                <w:szCs w:val="6"/>
                <w:color w:val="auto"/>
              </w:rPr>
            </w:pPr>
          </w:p>
        </w:tc>
        <w:tc>
          <w:tcPr>
            <w:tcW w:w="1240" w:type="dxa"/>
            <w:vAlign w:val="bottom"/>
            <w:tcBorders>
              <w:right w:val="single" w:sz="8" w:color="auto"/>
            </w:tcBorders>
            <w:vMerge w:val="continue"/>
            <w:shd w:val="clear" w:color="auto" w:fill="80B8DC"/>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500" w:type="dxa"/>
            <w:vAlign w:val="bottom"/>
            <w:gridSpan w:val="9"/>
            <w:vMerge w:val="restart"/>
          </w:tcPr>
          <w:p>
            <w:pPr>
              <w:ind w:left="240"/>
              <w:spacing w:after="0"/>
              <w:rPr>
                <w:sz w:val="20"/>
                <w:szCs w:val="20"/>
                <w:color w:val="auto"/>
              </w:rPr>
            </w:pPr>
            <w:r>
              <w:rPr>
                <w:rFonts w:ascii="Arial" w:cs="Arial" w:eastAsia="Arial" w:hAnsi="Arial"/>
                <w:sz w:val="16"/>
                <w:szCs w:val="16"/>
                <w:color w:val="0171B9"/>
              </w:rPr>
              <w:t>(23.0% actual)</w:t>
            </w:r>
          </w:p>
        </w:tc>
        <w:tc>
          <w:tcPr>
            <w:tcW w:w="6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40" w:type="dxa"/>
            <w:vAlign w:val="bottom"/>
            <w:tcBorders>
              <w:bottom w:val="single" w:sz="8" w:color="31485D"/>
              <w:right w:val="single" w:sz="8" w:color="auto"/>
            </w:tcBorders>
            <w:shd w:val="clear" w:color="auto" w:fill="31485D"/>
          </w:tcPr>
          <w:p>
            <w:pPr>
              <w:spacing w:after="0"/>
              <w:rPr>
                <w:sz w:val="10"/>
                <w:szCs w:val="10"/>
                <w:color w:val="auto"/>
              </w:rPr>
            </w:pPr>
          </w:p>
        </w:tc>
        <w:tc>
          <w:tcPr>
            <w:tcW w:w="1240" w:type="dxa"/>
            <w:vAlign w:val="bottom"/>
            <w:tcBorders>
              <w:bottom w:val="single" w:sz="8" w:color="auto"/>
              <w:right w:val="single" w:sz="8" w:color="auto"/>
            </w:tcBorders>
            <w:shd w:val="clear" w:color="auto" w:fill="80B8DC"/>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9"/>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63"/>
        </w:trPr>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shd w:val="clear" w:color="auto" w:fill="0171B9"/>
          </w:tcPr>
          <w:p>
            <w:pPr>
              <w:jc w:val="center"/>
              <w:spacing w:after="0"/>
              <w:rPr>
                <w:sz w:val="20"/>
                <w:szCs w:val="20"/>
                <w:color w:val="auto"/>
              </w:rPr>
            </w:pPr>
            <w:r>
              <w:rPr>
                <w:rFonts w:ascii="Arial" w:cs="Arial" w:eastAsia="Arial" w:hAnsi="Arial"/>
                <w:sz w:val="16"/>
                <w:szCs w:val="16"/>
                <w:b w:val="1"/>
                <w:bCs w:val="1"/>
                <w:color w:val="FFFFFF"/>
                <w:w w:val="99"/>
              </w:rPr>
              <w:t>108.0%</w:t>
            </w:r>
          </w:p>
        </w:tc>
        <w:tc>
          <w:tcPr>
            <w:tcW w:w="0" w:type="dxa"/>
            <w:vAlign w:val="bottom"/>
          </w:tcPr>
          <w:p>
            <w:pPr>
              <w:spacing w:after="0"/>
              <w:rPr>
                <w:sz w:val="1"/>
                <w:szCs w:val="1"/>
                <w:color w:val="auto"/>
              </w:rPr>
            </w:pPr>
          </w:p>
        </w:tc>
      </w:tr>
      <w:tr>
        <w:trPr>
          <w:trHeight w:val="235"/>
        </w:trPr>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shd w:val="clear" w:color="auto" w:fill="0171B9"/>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-719455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-702310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-685165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-668020</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-650875</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-633730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-616585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-599440</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-599440</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-599440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-599440</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-719455</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-702310</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-685165</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-668020</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-650875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-633730</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-616585</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-599440</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-736600</wp:posOffset>
            </wp:positionV>
            <wp:extent cx="9855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98552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-1130935</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-1113790</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-1096645</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-1079500</wp:posOffset>
            </wp:positionV>
            <wp:extent cx="825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-1062355</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-1045210</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-1028065</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-1010920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-1010920</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-1148080</wp:posOffset>
            </wp:positionV>
            <wp:extent cx="1011555" cy="1454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011555" cy="14541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-985520</wp:posOffset>
            </wp:positionV>
            <wp:extent cx="111125" cy="4718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11125" cy="47180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-273685</wp:posOffset>
            </wp:positionV>
            <wp:extent cx="2314575" cy="2489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314575" cy="24892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63" w:lineRule="exact"/>
        <w:rPr>
          <w:sz w:val="20"/>
          <w:szCs w:val="20"/>
          <w:color w:val="auto"/>
        </w:rPr>
      </w:pPr>
    </w:p>
    <w:p>
      <w:pPr>
        <w:ind w:left="280" w:right="920" w:firstLine="1106"/>
        <w:spacing w:after="0" w:line="261" w:lineRule="auto"/>
        <w:rPr>
          <w:sz w:val="20"/>
          <w:szCs w:val="20"/>
          <w:color w:val="auto"/>
        </w:rPr>
      </w:pPr>
      <w:r>
        <w:rPr>
          <w:rFonts w:ascii="Arial" w:cs="Arial" w:eastAsia="Arial" w:hAnsi="Arial"/>
          <w:sz w:val="16"/>
          <w:szCs w:val="16"/>
          <w:b w:val="1"/>
          <w:bCs w:val="1"/>
          <w:color w:val="FFFFFF"/>
        </w:rPr>
        <w:t>2021-2023 Operating Measures Score (Operating Measure Percentages 30 – 170% with linear interpolation along the payout curve)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-377825</wp:posOffset>
            </wp:positionV>
            <wp:extent cx="3360420" cy="17316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60420" cy="1731645"/>
                    </a:xfrm>
                    <a:prstGeom prst="rect">
                      <a:avLst/>
                    </a:prstGeom>
                    <a:noFill/>
                  </pic:spPr>
                </pic:pic>
              </a:graphicData>
            </a:graphic>
          </wp:anchor>
        </w:drawing>
      </w:r>
    </w:p>
    <w:p>
      <w:pPr>
        <w:jc w:val="center"/>
        <w:ind w:left="240"/>
        <w:spacing w:after="0"/>
        <w:rPr>
          <w:sz w:val="20"/>
          <w:szCs w:val="20"/>
          <w:color w:val="auto"/>
        </w:rPr>
      </w:pPr>
      <w:r>
        <w:rPr>
          <w:rFonts w:ascii="Arial" w:cs="Arial" w:eastAsia="Arial" w:hAnsi="Arial"/>
          <w:sz w:val="16"/>
          <w:szCs w:val="16"/>
          <w:color w:val="auto"/>
        </w:rPr>
        <w:t>Operating Measure Percentages are Equally Weighted</w:t>
      </w:r>
    </w:p>
    <w:p>
      <w:pPr>
        <w:spacing w:after="0" w:line="5" w:lineRule="exact"/>
        <w:rPr>
          <w:sz w:val="20"/>
          <w:szCs w:val="20"/>
          <w:color w:val="auto"/>
        </w:rPr>
      </w:pPr>
    </w:p>
    <w:p>
      <w:pPr>
        <w:jc w:val="center"/>
        <w:ind w:left="240"/>
        <w:spacing w:after="0"/>
        <w:rPr>
          <w:sz w:val="20"/>
          <w:szCs w:val="20"/>
          <w:color w:val="auto"/>
        </w:rPr>
      </w:pPr>
      <w:r>
        <w:rPr>
          <w:rFonts w:ascii="Arial" w:cs="Arial" w:eastAsia="Arial" w:hAnsi="Arial"/>
          <w:sz w:val="16"/>
          <w:szCs w:val="16"/>
          <w:color w:val="auto"/>
        </w:rPr>
        <w:t>for Each of the Three Years</w:t>
      </w: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132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0171B9"/>
              </w:rPr>
              <w:t>Non-GAAP</w:t>
            </w:r>
            <w:r>
              <w:rPr>
                <w:rFonts w:ascii="Arial" w:cs="Arial" w:eastAsia="Arial" w:hAnsi="Arial"/>
                <w:sz w:val="21"/>
                <w:szCs w:val="21"/>
                <w:b w:val="1"/>
                <w:bCs w:val="1"/>
                <w:color w:val="0171B9"/>
                <w:vertAlign w:val="superscript"/>
              </w:rPr>
              <w:t>(1)(2)</w:t>
            </w:r>
          </w:p>
        </w:tc>
        <w:tc>
          <w:tcPr>
            <w:tcW w:w="88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0171B9"/>
              </w:rPr>
              <w:t>2021-2023</w:t>
            </w:r>
          </w:p>
        </w:tc>
        <w:tc>
          <w:tcPr>
            <w:tcW w:w="0" w:type="dxa"/>
            <w:vAlign w:val="bottom"/>
          </w:tcPr>
          <w:p>
            <w:pPr>
              <w:spacing w:after="0"/>
              <w:rPr>
                <w:sz w:val="1"/>
                <w:szCs w:val="1"/>
                <w:color w:val="auto"/>
              </w:rPr>
            </w:pPr>
          </w:p>
        </w:tc>
      </w:tr>
      <w:tr>
        <w:trPr>
          <w:trHeight w:val="162"/>
        </w:trPr>
        <w:tc>
          <w:tcPr>
            <w:tcW w:w="1320" w:type="dxa"/>
            <w:vAlign w:val="bottom"/>
            <w:tcBorders>
              <w:right w:val="single" w:sz="8" w:color="auto"/>
            </w:tcBorders>
            <w:vMerge w:val="continue"/>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0171B9"/>
              </w:rPr>
              <w:t>Average</w:t>
            </w:r>
          </w:p>
        </w:tc>
        <w:tc>
          <w:tcPr>
            <w:tcW w:w="0" w:type="dxa"/>
            <w:vAlign w:val="bottom"/>
          </w:tcPr>
          <w:p>
            <w:pPr>
              <w:spacing w:after="0"/>
              <w:rPr>
                <w:sz w:val="1"/>
                <w:szCs w:val="1"/>
                <w:color w:val="auto"/>
              </w:rPr>
            </w:pPr>
          </w:p>
        </w:tc>
      </w:tr>
      <w:tr>
        <w:trPr>
          <w:trHeight w:val="162"/>
        </w:trPr>
        <w:tc>
          <w:tcPr>
            <w:tcW w:w="1320" w:type="dxa"/>
            <w:vAlign w:val="bottom"/>
            <w:tcBorders>
              <w:right w:val="single" w:sz="8" w:color="auto"/>
            </w:tcBorders>
          </w:tcPr>
          <w:p>
            <w:pPr>
              <w:ind w:left="160"/>
              <w:spacing w:after="0"/>
              <w:rPr>
                <w:sz w:val="20"/>
                <w:szCs w:val="20"/>
                <w:color w:val="auto"/>
              </w:rPr>
            </w:pPr>
            <w:r>
              <w:rPr>
                <w:rFonts w:ascii="Arial" w:cs="Arial" w:eastAsia="Arial" w:hAnsi="Arial"/>
                <w:sz w:val="14"/>
                <w:szCs w:val="14"/>
                <w:b w:val="1"/>
                <w:bCs w:val="1"/>
                <w:color w:val="0171B9"/>
              </w:rPr>
              <w:t>Operating</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0171B9"/>
                <w:w w:val="95"/>
              </w:rPr>
              <w:t>2021</w:t>
            </w:r>
            <w:r>
              <w:rPr>
                <w:rFonts w:ascii="Arial" w:cs="Arial" w:eastAsia="Arial" w:hAnsi="Arial"/>
                <w:sz w:val="21"/>
                <w:szCs w:val="21"/>
                <w:b w:val="1"/>
                <w:bCs w:val="1"/>
                <w:color w:val="0171B9"/>
                <w:w w:val="95"/>
                <w:vertAlign w:val="superscript"/>
              </w:rPr>
              <w:t>(2)</w:t>
            </w:r>
          </w:p>
        </w:tc>
        <w:tc>
          <w:tcPr>
            <w:tcW w:w="90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0171B9"/>
              </w:rPr>
              <w:t>Operating</w:t>
            </w:r>
          </w:p>
        </w:tc>
        <w:tc>
          <w:tcPr>
            <w:tcW w:w="0" w:type="dxa"/>
            <w:vAlign w:val="bottom"/>
          </w:tcPr>
          <w:p>
            <w:pPr>
              <w:spacing w:after="0"/>
              <w:rPr>
                <w:sz w:val="1"/>
                <w:szCs w:val="1"/>
                <w:color w:val="auto"/>
              </w:rPr>
            </w:pPr>
          </w:p>
        </w:tc>
      </w:tr>
      <w:tr>
        <w:trPr>
          <w:trHeight w:val="175"/>
        </w:trPr>
        <w:tc>
          <w:tcPr>
            <w:tcW w:w="13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0171B9"/>
              </w:rPr>
              <w:t>Measures</w:t>
            </w:r>
          </w:p>
        </w:tc>
        <w:tc>
          <w:tcPr>
            <w:tcW w:w="880" w:type="dxa"/>
            <w:vAlign w:val="bottom"/>
            <w:tcBorders>
              <w:bottom w:val="single" w:sz="8" w:color="auto"/>
              <w:right w:val="single" w:sz="8" w:color="auto"/>
            </w:tcBorders>
            <w:vMerge w:val="continue"/>
          </w:tcPr>
          <w:p>
            <w:pPr>
              <w:spacing w:after="0"/>
              <w:rPr>
                <w:sz w:val="15"/>
                <w:szCs w:val="15"/>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0171B9"/>
              </w:rPr>
              <w:t>2022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0171B9"/>
              </w:rPr>
              <w:t>2023</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171B9"/>
              </w:rPr>
              <w:t>Measures</w:t>
            </w:r>
          </w:p>
        </w:tc>
        <w:tc>
          <w:tcPr>
            <w:tcW w:w="0" w:type="dxa"/>
            <w:vAlign w:val="bottom"/>
          </w:tcPr>
          <w:p>
            <w:pPr>
              <w:spacing w:after="0"/>
              <w:rPr>
                <w:sz w:val="1"/>
                <w:szCs w:val="1"/>
                <w:color w:val="auto"/>
              </w:rPr>
            </w:pPr>
          </w:p>
        </w:tc>
      </w:tr>
      <w:tr>
        <w:trPr>
          <w:trHeight w:val="164"/>
        </w:trPr>
        <w:tc>
          <w:tcPr>
            <w:tcW w:w="1320" w:type="dxa"/>
            <w:vAlign w:val="bottom"/>
            <w:tcBorders>
              <w:right w:val="single" w:sz="8" w:color="auto"/>
            </w:tcBorders>
            <w:shd w:val="clear" w:color="auto" w:fill="0171B9"/>
          </w:tcPr>
          <w:p>
            <w:pPr>
              <w:jc w:val="center"/>
              <w:ind w:left="45"/>
              <w:spacing w:after="0" w:line="165" w:lineRule="exact"/>
              <w:rPr>
                <w:sz w:val="20"/>
                <w:szCs w:val="20"/>
                <w:color w:val="auto"/>
              </w:rPr>
            </w:pPr>
            <w:r>
              <w:rPr>
                <w:rFonts w:ascii="Arial" w:cs="Arial" w:eastAsia="Arial" w:hAnsi="Arial"/>
                <w:sz w:val="16"/>
                <w:szCs w:val="16"/>
                <w:b w:val="1"/>
                <w:bCs w:val="1"/>
                <w:color w:val="FFFFFF"/>
                <w:w w:val="99"/>
              </w:rPr>
              <w:t>EPS</w:t>
            </w:r>
          </w:p>
        </w:tc>
        <w:tc>
          <w:tcPr>
            <w:tcW w:w="88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125.5%</w:t>
            </w:r>
          </w:p>
        </w:tc>
        <w:tc>
          <w:tcPr>
            <w:tcW w:w="90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w w:val="99"/>
              </w:rPr>
              <w:t>117.8%</w:t>
            </w:r>
          </w:p>
        </w:tc>
        <w:tc>
          <w:tcPr>
            <w:tcW w:w="12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0171B9"/>
              </w:rPr>
              <w:t>Pre-established</w:t>
            </w:r>
          </w:p>
        </w:tc>
        <w:tc>
          <w:tcPr>
            <w:tcW w:w="920" w:type="dxa"/>
            <w:vAlign w:val="bottom"/>
            <w:vMerge w:val="restart"/>
            <w:shd w:val="clear" w:color="auto" w:fill="D8E9F4"/>
          </w:tcPr>
          <w:p>
            <w:pPr>
              <w:jc w:val="center"/>
              <w:spacing w:after="0"/>
              <w:rPr>
                <w:sz w:val="20"/>
                <w:szCs w:val="20"/>
                <w:color w:val="auto"/>
              </w:rPr>
            </w:pPr>
            <w:r>
              <w:rPr>
                <w:rFonts w:ascii="Arial" w:cs="Arial" w:eastAsia="Arial" w:hAnsi="Arial"/>
                <w:sz w:val="16"/>
                <w:szCs w:val="16"/>
                <w:color w:val="auto"/>
                <w:w w:val="99"/>
              </w:rPr>
              <w:t>TBD</w:t>
            </w:r>
          </w:p>
        </w:tc>
        <w:tc>
          <w:tcPr>
            <w:tcW w:w="0" w:type="dxa"/>
            <w:vAlign w:val="bottom"/>
          </w:tcPr>
          <w:p>
            <w:pPr>
              <w:spacing w:after="0"/>
              <w:rPr>
                <w:sz w:val="1"/>
                <w:szCs w:val="1"/>
                <w:color w:val="auto"/>
              </w:rPr>
            </w:pPr>
          </w:p>
        </w:tc>
      </w:tr>
      <w:tr>
        <w:trPr>
          <w:trHeight w:val="214"/>
        </w:trPr>
        <w:tc>
          <w:tcPr>
            <w:tcW w:w="1320" w:type="dxa"/>
            <w:vAlign w:val="bottom"/>
            <w:tcBorders>
              <w:bottom w:val="single" w:sz="8" w:color="auto"/>
              <w:right w:val="single" w:sz="8" w:color="auto"/>
            </w:tcBorders>
            <w:shd w:val="clear" w:color="auto" w:fill="0171B9"/>
          </w:tcPr>
          <w:p>
            <w:pPr>
              <w:jc w:val="center"/>
              <w:ind w:left="65"/>
              <w:spacing w:after="0"/>
              <w:rPr>
                <w:sz w:val="20"/>
                <w:szCs w:val="20"/>
                <w:color w:val="auto"/>
              </w:rPr>
            </w:pPr>
            <w:r>
              <w:rPr>
                <w:rFonts w:ascii="Arial" w:cs="Arial" w:eastAsia="Arial" w:hAnsi="Arial"/>
                <w:sz w:val="16"/>
                <w:szCs w:val="16"/>
                <w:b w:val="1"/>
                <w:bCs w:val="1"/>
                <w:color w:val="FFFFFF"/>
              </w:rPr>
              <w:t>Growth ($)</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($17.11)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($17.81)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0171B9"/>
              </w:rPr>
              <w:t>and to be</w:t>
            </w:r>
          </w:p>
        </w:tc>
        <w:tc>
          <w:tcPr>
            <w:tcW w:w="920" w:type="dxa"/>
            <w:vAlign w:val="bottom"/>
            <w:tcBorders>
              <w:bottom w:val="single" w:sz="8" w:color="auto"/>
            </w:tcBorders>
            <w:vMerge w:val="continue"/>
            <w:shd w:val="clear" w:color="auto" w:fill="D8E9F4"/>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320" w:type="dxa"/>
            <w:vAlign w:val="bottom"/>
            <w:tcBorders>
              <w:right w:val="single" w:sz="8" w:color="auto"/>
            </w:tcBorders>
            <w:shd w:val="clear" w:color="auto" w:fill="80B8DC"/>
          </w:tcPr>
          <w:p>
            <w:pPr>
              <w:jc w:val="center"/>
              <w:ind w:left="65"/>
              <w:spacing w:after="0" w:line="171" w:lineRule="exact"/>
              <w:rPr>
                <w:sz w:val="20"/>
                <w:szCs w:val="20"/>
                <w:color w:val="auto"/>
              </w:rPr>
            </w:pPr>
            <w:r>
              <w:rPr>
                <w:rFonts w:ascii="Arial" w:cs="Arial" w:eastAsia="Arial" w:hAnsi="Arial"/>
                <w:sz w:val="13"/>
                <w:szCs w:val="13"/>
                <w:b w:val="1"/>
                <w:bCs w:val="1"/>
                <w:color w:val="FFFFFF"/>
              </w:rPr>
              <w:t>ROIC</w:t>
            </w:r>
            <w:r>
              <w:rPr>
                <w:rFonts w:ascii="Arial" w:cs="Arial" w:eastAsia="Arial" w:hAnsi="Arial"/>
                <w:sz w:val="19"/>
                <w:szCs w:val="19"/>
                <w:b w:val="1"/>
                <w:bCs w:val="1"/>
                <w:color w:val="FFFFFF"/>
                <w:vertAlign w:val="superscript"/>
              </w:rPr>
              <w:t>(3)</w:t>
            </w:r>
          </w:p>
        </w:tc>
        <w:tc>
          <w:tcPr>
            <w:tcW w:w="88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6"/>
                <w:szCs w:val="16"/>
                <w:color w:val="auto"/>
              </w:rPr>
              <w:t>97.7%</w:t>
            </w:r>
          </w:p>
        </w:tc>
        <w:tc>
          <w:tcPr>
            <w:tcW w:w="90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6"/>
                <w:szCs w:val="16"/>
                <w:color w:val="auto"/>
              </w:rPr>
              <w:t>98.2%</w:t>
            </w:r>
          </w:p>
        </w:tc>
        <w:tc>
          <w:tcPr>
            <w:tcW w:w="126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3"/>
                <w:szCs w:val="13"/>
                <w:color w:val="0171B9"/>
              </w:rPr>
              <w:t>disclosed</w:t>
            </w:r>
            <w:r>
              <w:rPr>
                <w:rFonts w:ascii="Arial" w:cs="Arial" w:eastAsia="Arial" w:hAnsi="Arial"/>
                <w:sz w:val="19"/>
                <w:szCs w:val="19"/>
                <w:color w:val="0171B9"/>
                <w:vertAlign w:val="superscript"/>
              </w:rPr>
              <w:t>(4)</w:t>
            </w:r>
          </w:p>
        </w:tc>
        <w:tc>
          <w:tcPr>
            <w:tcW w:w="920" w:type="dxa"/>
            <w:vAlign w:val="bottom"/>
            <w:vMerge w:val="restart"/>
            <w:shd w:val="clear" w:color="auto" w:fill="D8E9F4"/>
          </w:tcPr>
          <w:p>
            <w:pPr>
              <w:jc w:val="center"/>
              <w:spacing w:after="0"/>
              <w:rPr>
                <w:sz w:val="20"/>
                <w:szCs w:val="20"/>
                <w:color w:val="auto"/>
              </w:rPr>
            </w:pPr>
            <w:r>
              <w:rPr>
                <w:rFonts w:ascii="Arial" w:cs="Arial" w:eastAsia="Arial" w:hAnsi="Arial"/>
                <w:sz w:val="16"/>
                <w:szCs w:val="16"/>
                <w:color w:val="auto"/>
                <w:w w:val="99"/>
              </w:rPr>
              <w:t>TBD</w:t>
            </w:r>
          </w:p>
        </w:tc>
        <w:tc>
          <w:tcPr>
            <w:tcW w:w="0" w:type="dxa"/>
            <w:vAlign w:val="bottom"/>
          </w:tcPr>
          <w:p>
            <w:pPr>
              <w:spacing w:after="0"/>
              <w:rPr>
                <w:sz w:val="1"/>
                <w:szCs w:val="1"/>
                <w:color w:val="auto"/>
              </w:rPr>
            </w:pPr>
          </w:p>
        </w:tc>
      </w:tr>
      <w:tr>
        <w:trPr>
          <w:trHeight w:val="218"/>
        </w:trPr>
        <w:tc>
          <w:tcPr>
            <w:tcW w:w="1320" w:type="dxa"/>
            <w:vAlign w:val="bottom"/>
            <w:tcBorders>
              <w:bottom w:val="single" w:sz="8" w:color="auto"/>
              <w:right w:val="single" w:sz="8" w:color="auto"/>
            </w:tcBorders>
            <w:shd w:val="clear" w:color="auto" w:fill="80B8DC"/>
          </w:tcPr>
          <w:p>
            <w:pPr>
              <w:jc w:val="center"/>
              <w:ind w:left="65"/>
              <w:spacing w:after="0"/>
              <w:rPr>
                <w:sz w:val="20"/>
                <w:szCs w:val="20"/>
                <w:color w:val="auto"/>
              </w:rPr>
            </w:pPr>
            <w:r>
              <w:rPr>
                <w:rFonts w:ascii="Arial" w:cs="Arial" w:eastAsia="Arial" w:hAnsi="Arial"/>
                <w:sz w:val="16"/>
                <w:szCs w:val="16"/>
                <w:b w:val="1"/>
                <w:bCs w:val="1"/>
                <w:color w:val="FFFFFF"/>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(22.2%)</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(23.0%)</w:t>
            </w:r>
          </w:p>
        </w:tc>
        <w:tc>
          <w:tcPr>
            <w:tcW w:w="12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vMerge w:val="continue"/>
            <w:shd w:val="clear" w:color="auto" w:fill="D8E9F4"/>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320" w:type="dxa"/>
            <w:vAlign w:val="bottom"/>
            <w:tcBorders>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shd w:val="clear" w:color="auto" w:fill="0171B9"/>
          </w:tcPr>
          <w:p>
            <w:pPr>
              <w:jc w:val="center"/>
              <w:spacing w:after="0"/>
              <w:rPr>
                <w:sz w:val="20"/>
                <w:szCs w:val="20"/>
                <w:color w:val="auto"/>
              </w:rPr>
            </w:pPr>
            <w:r>
              <w:rPr>
                <w:rFonts w:ascii="Arial" w:cs="Arial" w:eastAsia="Arial" w:hAnsi="Arial"/>
                <w:sz w:val="16"/>
                <w:szCs w:val="16"/>
                <w:color w:val="FFFFFF"/>
              </w:rPr>
              <w:t>111.6%</w:t>
            </w:r>
          </w:p>
        </w:tc>
        <w:tc>
          <w:tcPr>
            <w:tcW w:w="900" w:type="dxa"/>
            <w:vAlign w:val="bottom"/>
            <w:tcBorders>
              <w:bottom w:val="single" w:sz="8" w:color="auto"/>
              <w:right w:val="single" w:sz="8" w:color="auto"/>
            </w:tcBorders>
            <w:shd w:val="clear" w:color="auto" w:fill="0171B9"/>
          </w:tcPr>
          <w:p>
            <w:pPr>
              <w:jc w:val="center"/>
              <w:spacing w:after="0"/>
              <w:rPr>
                <w:sz w:val="20"/>
                <w:szCs w:val="20"/>
                <w:color w:val="auto"/>
              </w:rPr>
            </w:pPr>
            <w:r>
              <w:rPr>
                <w:rFonts w:ascii="Arial" w:cs="Arial" w:eastAsia="Arial" w:hAnsi="Arial"/>
                <w:sz w:val="16"/>
                <w:szCs w:val="16"/>
                <w:color w:val="FFFFFF"/>
                <w:w w:val="99"/>
              </w:rPr>
              <w:t>108.0%</w:t>
            </w:r>
          </w:p>
        </w:tc>
        <w:tc>
          <w:tcPr>
            <w:tcW w:w="1260" w:type="dxa"/>
            <w:vAlign w:val="bottom"/>
            <w:tcBorders>
              <w:bottom w:val="single" w:sz="8" w:color="auto"/>
              <w:right w:val="single" w:sz="8" w:color="auto"/>
            </w:tcBorders>
            <w:shd w:val="clear" w:color="auto" w:fill="0171B9"/>
          </w:tcPr>
          <w:p>
            <w:pPr>
              <w:jc w:val="center"/>
              <w:spacing w:after="0"/>
              <w:rPr>
                <w:sz w:val="20"/>
                <w:szCs w:val="20"/>
                <w:color w:val="auto"/>
              </w:rPr>
            </w:pPr>
            <w:r>
              <w:rPr>
                <w:rFonts w:ascii="Arial" w:cs="Arial" w:eastAsia="Arial" w:hAnsi="Arial"/>
                <w:sz w:val="16"/>
                <w:szCs w:val="16"/>
                <w:color w:val="FFFFFF"/>
                <w:w w:val="99"/>
              </w:rPr>
              <w:t>TBD</w:t>
            </w:r>
          </w:p>
        </w:tc>
        <w:tc>
          <w:tcPr>
            <w:tcW w:w="920" w:type="dxa"/>
            <w:vAlign w:val="bottom"/>
            <w:tcBorders>
              <w:bottom w:val="single" w:sz="8" w:color="auto"/>
            </w:tcBorders>
            <w:shd w:val="clear" w:color="auto" w:fill="0171B9"/>
          </w:tcPr>
          <w:p>
            <w:pPr>
              <w:jc w:val="center"/>
              <w:spacing w:after="0"/>
              <w:rPr>
                <w:sz w:val="20"/>
                <w:szCs w:val="20"/>
                <w:color w:val="auto"/>
              </w:rPr>
            </w:pPr>
            <w:r>
              <w:rPr>
                <w:rFonts w:ascii="Arial" w:cs="Arial" w:eastAsia="Arial" w:hAnsi="Arial"/>
                <w:sz w:val="16"/>
                <w:szCs w:val="16"/>
                <w:b w:val="1"/>
                <w:bCs w:val="1"/>
                <w:color w:val="FFFFFF"/>
                <w:w w:val="97"/>
              </w:rPr>
              <w:t>TBD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1320165</wp:posOffset>
            </wp:positionV>
            <wp:extent cx="77152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1066"/>
        <w:spacing w:after="0"/>
        <w:rPr>
          <w:sz w:val="20"/>
          <w:szCs w:val="20"/>
          <w:color w:val="auto"/>
        </w:rPr>
      </w:pPr>
      <w:r>
        <w:rPr>
          <w:rFonts w:ascii="Arial" w:cs="Arial" w:eastAsia="Arial" w:hAnsi="Arial"/>
          <w:sz w:val="16"/>
          <w:szCs w:val="16"/>
          <w:b w:val="1"/>
          <w:bCs w:val="1"/>
          <w:color w:val="FFFFFF"/>
        </w:rPr>
        <w:t>2021-2023 S&amp;P 500 Relative TSR</w:t>
      </w:r>
      <w:r>
        <w:rPr>
          <w:rFonts w:ascii="Arial" w:cs="Arial" w:eastAsia="Arial" w:hAnsi="Arial"/>
          <w:sz w:val="24"/>
          <w:szCs w:val="24"/>
          <w:b w:val="1"/>
          <w:bCs w:val="1"/>
          <w:color w:val="FFFFFF"/>
          <w:vertAlign w:val="superscript"/>
        </w:rPr>
        <w:t>(5)</w:t>
      </w:r>
      <w:r>
        <w:rPr>
          <w:rFonts w:ascii="Arial" w:cs="Arial" w:eastAsia="Arial" w:hAnsi="Arial"/>
          <w:sz w:val="16"/>
          <w:szCs w:val="16"/>
          <w:b w:val="1"/>
          <w:bCs w:val="1"/>
          <w:color w:val="FFFFFF"/>
        </w:rPr>
        <w:t xml:space="preserve">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-325755</wp:posOffset>
            </wp:positionV>
            <wp:extent cx="3394710" cy="15513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394710" cy="1551305"/>
                    </a:xfrm>
                    <a:prstGeom prst="rect">
                      <a:avLst/>
                    </a:prstGeom>
                    <a:noFill/>
                  </pic:spPr>
                </pic:pic>
              </a:graphicData>
            </a:graphic>
          </wp:anchor>
        </w:drawing>
      </w:r>
    </w:p>
    <w:p>
      <w:pPr>
        <w:spacing w:after="0" w:line="224" w:lineRule="exact"/>
        <w:rPr>
          <w:sz w:val="20"/>
          <w:szCs w:val="20"/>
          <w:color w:val="auto"/>
        </w:rPr>
      </w:pPr>
    </w:p>
    <w:p>
      <w:pPr>
        <w:ind w:left="486"/>
        <w:spacing w:after="0"/>
        <w:rPr>
          <w:sz w:val="20"/>
          <w:szCs w:val="20"/>
          <w:color w:val="auto"/>
        </w:rPr>
      </w:pPr>
      <w:r>
        <w:rPr>
          <w:rFonts w:ascii="Arial" w:cs="Arial" w:eastAsia="Arial" w:hAnsi="Arial"/>
          <w:sz w:val="16"/>
          <w:szCs w:val="16"/>
          <w:color w:val="auto"/>
        </w:rPr>
        <w:t>Payout for Performance Relative to S&amp;P 500 TSR Percentage</w:t>
      </w:r>
    </w:p>
    <w:p>
      <w:pPr>
        <w:spacing w:after="0" w:line="263" w:lineRule="exact"/>
        <w:rPr>
          <w:sz w:val="20"/>
          <w:szCs w:val="20"/>
          <w:color w:val="auto"/>
        </w:rPr>
      </w:pPr>
    </w:p>
    <w:p>
      <w:pPr>
        <w:ind w:left="106"/>
        <w:spacing w:after="0"/>
        <w:rPr>
          <w:sz w:val="20"/>
          <w:szCs w:val="20"/>
          <w:color w:val="auto"/>
        </w:rPr>
      </w:pPr>
      <w:r>
        <w:rPr>
          <w:rFonts w:ascii="Arial" w:cs="Arial" w:eastAsia="Arial" w:hAnsi="Arial"/>
          <w:sz w:val="16"/>
          <w:szCs w:val="16"/>
          <w:color w:val="auto"/>
        </w:rPr>
        <w:t>Amgen TSR ≥ 75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 = 30% (Maximum)</w:t>
      </w:r>
    </w:p>
    <w:p>
      <w:pPr>
        <w:spacing w:after="0" w:line="83" w:lineRule="exact"/>
        <w:rPr>
          <w:sz w:val="20"/>
          <w:szCs w:val="20"/>
          <w:color w:val="auto"/>
        </w:rPr>
      </w:pPr>
    </w:p>
    <w:p>
      <w:pPr>
        <w:ind w:left="106"/>
        <w:spacing w:after="0"/>
        <w:rPr>
          <w:sz w:val="20"/>
          <w:szCs w:val="20"/>
          <w:color w:val="auto"/>
        </w:rPr>
      </w:pPr>
      <w:r>
        <w:rPr>
          <w:rFonts w:ascii="Arial" w:cs="Arial" w:eastAsia="Arial" w:hAnsi="Arial"/>
          <w:sz w:val="16"/>
          <w:szCs w:val="16"/>
          <w:color w:val="auto"/>
        </w:rPr>
        <w:t>Amgen TSR = 50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w:t>
      </w:r>
      <w:r>
        <w:rPr>
          <w:rFonts w:ascii="Arial" w:cs="Arial" w:eastAsia="Arial" w:hAnsi="Arial"/>
          <w:sz w:val="10"/>
          <w:szCs w:val="10"/>
          <w:color w:val="auto"/>
        </w:rPr>
        <w:t>‡</w:t>
      </w:r>
      <w:r>
        <w:rPr>
          <w:rFonts w:ascii="Arial" w:cs="Arial" w:eastAsia="Arial" w:hAnsi="Arial"/>
          <w:sz w:val="16"/>
          <w:szCs w:val="16"/>
          <w:color w:val="auto"/>
        </w:rPr>
        <w:t xml:space="preserve"> = 0% (Target)</w:t>
      </w:r>
    </w:p>
    <w:p>
      <w:pPr>
        <w:spacing w:after="0" w:line="94" w:lineRule="exact"/>
        <w:rPr>
          <w:sz w:val="20"/>
          <w:szCs w:val="20"/>
          <w:color w:val="auto"/>
        </w:rPr>
      </w:pPr>
    </w:p>
    <w:p>
      <w:pPr>
        <w:ind w:left="106"/>
        <w:spacing w:after="0"/>
        <w:rPr>
          <w:sz w:val="20"/>
          <w:szCs w:val="20"/>
          <w:color w:val="auto"/>
        </w:rPr>
      </w:pPr>
      <w:r>
        <w:rPr>
          <w:rFonts w:ascii="Arial" w:cs="Arial" w:eastAsia="Arial" w:hAnsi="Arial"/>
          <w:sz w:val="16"/>
          <w:szCs w:val="16"/>
          <w:color w:val="auto"/>
        </w:rPr>
        <w:t>Amgen TSR ≤ 25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 = -30% (Minimum)</w:t>
      </w:r>
    </w:p>
    <w:p>
      <w:pPr>
        <w:spacing w:after="0" w:line="225" w:lineRule="exact"/>
        <w:rPr>
          <w:sz w:val="20"/>
          <w:szCs w:val="20"/>
          <w:color w:val="auto"/>
        </w:rPr>
      </w:pPr>
    </w:p>
    <w:p>
      <w:pPr>
        <w:ind w:left="166" w:right="20" w:hanging="166"/>
        <w:spacing w:after="0" w:line="258" w:lineRule="auto"/>
        <w:tabs>
          <w:tab w:leader="none" w:pos="166" w:val="left"/>
        </w:tabs>
        <w:numPr>
          <w:ilvl w:val="0"/>
          <w:numId w:val="90"/>
        </w:numPr>
        <w:rPr>
          <w:rFonts w:ascii="Arial" w:cs="Arial" w:eastAsia="Arial" w:hAnsi="Arial"/>
          <w:sz w:val="9"/>
          <w:szCs w:val="9"/>
          <w:color w:val="auto"/>
        </w:rPr>
      </w:pPr>
      <w:r>
        <w:rPr>
          <w:rFonts w:ascii="Arial" w:cs="Arial" w:eastAsia="Arial" w:hAnsi="Arial"/>
          <w:sz w:val="14"/>
          <w:szCs w:val="14"/>
          <w:color w:val="auto"/>
        </w:rPr>
        <w:t>If Amgen’s TSR is less than 0, the relative TSR modifier can be no greater than 0%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60325</wp:posOffset>
            </wp:positionV>
            <wp:extent cx="2888615" cy="9429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888615" cy="9429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74"/>
            <w:col w:w="5366"/>
          </w:cols>
          <w:pgMar w:left="320" w:top="48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540" w:right="20" w:hanging="424"/>
        <w:spacing w:after="0" w:line="217" w:lineRule="auto"/>
        <w:tabs>
          <w:tab w:leader="none" w:pos="540" w:val="left"/>
        </w:tabs>
        <w:numPr>
          <w:ilvl w:val="0"/>
          <w:numId w:val="91"/>
        </w:numPr>
        <w:rPr>
          <w:rFonts w:ascii="Arial" w:cs="Arial" w:eastAsia="Arial" w:hAnsi="Arial"/>
          <w:sz w:val="22"/>
          <w:szCs w:val="22"/>
          <w:color w:val="auto"/>
          <w:vertAlign w:val="superscript"/>
        </w:rPr>
      </w:pPr>
      <w:r>
        <w:rPr>
          <w:rFonts w:ascii="Arial" w:cs="Arial" w:eastAsia="Arial" w:hAnsi="Arial"/>
          <w:sz w:val="14"/>
          <w:szCs w:val="14"/>
          <w:color w:val="auto"/>
        </w:rPr>
        <w:t xml:space="preserve">The 2022 non-GAAP operating measures (EPS growth and ROIC) with respect to the 2021-2023 performance period are as reported and reconciled in </w:t>
      </w:r>
      <w:r>
        <w:rPr>
          <w:rFonts w:ascii="Arial" w:cs="Arial" w:eastAsia="Arial" w:hAnsi="Arial"/>
          <w:sz w:val="14"/>
          <w:szCs w:val="14"/>
          <w:b w:val="1"/>
          <w:bCs w:val="1"/>
          <w:color w:val="auto"/>
        </w:rPr>
        <w:t>Appendix B</w:t>
      </w:r>
      <w:r>
        <w:rPr>
          <w:rFonts w:ascii="Arial" w:cs="Arial" w:eastAsia="Arial" w:hAnsi="Arial"/>
          <w:sz w:val="14"/>
          <w:szCs w:val="14"/>
          <w:color w:val="auto"/>
        </w:rPr>
        <w:t>, except that operating measures were further adjusted to exclude the impact of direct on-going revenues and expenses from the acquisition of TeneoBio, Inc. and ChemoCentryx, Inc. as prescribed by the 2021-2023 performance goals document when it was established in March 2021. For this purpose, non-GAAP net income was increased by $64 million, or $0.12 per share.</w:t>
      </w:r>
    </w:p>
    <w:p>
      <w:pPr>
        <w:ind w:left="540" w:hanging="424"/>
        <w:spacing w:after="0" w:line="187" w:lineRule="auto"/>
        <w:tabs>
          <w:tab w:leader="none" w:pos="540" w:val="left"/>
        </w:tabs>
        <w:numPr>
          <w:ilvl w:val="0"/>
          <w:numId w:val="91"/>
        </w:numPr>
        <w:rPr>
          <w:rFonts w:ascii="Arial" w:cs="Arial" w:eastAsia="Arial" w:hAnsi="Arial"/>
          <w:sz w:val="18"/>
          <w:szCs w:val="18"/>
          <w:color w:val="auto"/>
          <w:vertAlign w:val="superscript"/>
        </w:rPr>
      </w:pPr>
      <w:r>
        <w:rPr>
          <w:rFonts w:ascii="Arial" w:cs="Arial" w:eastAsia="Arial" w:hAnsi="Arial"/>
          <w:sz w:val="12"/>
          <w:szCs w:val="12"/>
          <w:color w:val="auto"/>
        </w:rPr>
        <w:t>Our targets for 2021 performance were disclosed under the 2021–2023 Performance Goals in our 2022 Proxy Statement filed with the SEC on April 5, 2022.</w:t>
      </w:r>
    </w:p>
    <w:p>
      <w:pPr>
        <w:jc w:val="both"/>
        <w:ind w:left="540" w:right="20" w:hanging="424"/>
        <w:spacing w:after="0" w:line="202" w:lineRule="auto"/>
        <w:tabs>
          <w:tab w:leader="none" w:pos="540" w:val="left"/>
        </w:tabs>
        <w:numPr>
          <w:ilvl w:val="0"/>
          <w:numId w:val="91"/>
        </w:numPr>
        <w:rPr>
          <w:rFonts w:ascii="Arial" w:cs="Arial" w:eastAsia="Arial" w:hAnsi="Arial"/>
          <w:sz w:val="22"/>
          <w:szCs w:val="22"/>
          <w:color w:val="auto"/>
          <w:vertAlign w:val="superscript"/>
        </w:rPr>
      </w:pPr>
      <w:r>
        <w:rPr>
          <w:rFonts w:ascii="Arial" w:cs="Arial" w:eastAsia="Arial" w:hAnsi="Arial"/>
          <w:sz w:val="14"/>
          <w:szCs w:val="14"/>
          <w:color w:val="auto"/>
        </w:rPr>
        <w:t>For performance periods commencing on or after January 1, 2020, ROIC includes cash in invested capital to better align with our strategic priority of “Innovative Medicines” (which contemplates pursuit of innovation both internally and externally) by removing certain potential disincentives for acquisitions that could yield innovative medicines and drive shareholder value.</w:t>
      </w:r>
    </w:p>
    <w:p>
      <w:pPr>
        <w:spacing w:after="0" w:line="2" w:lineRule="exact"/>
        <w:rPr>
          <w:rFonts w:ascii="Arial" w:cs="Arial" w:eastAsia="Arial" w:hAnsi="Arial"/>
          <w:sz w:val="22"/>
          <w:szCs w:val="22"/>
          <w:color w:val="auto"/>
          <w:vertAlign w:val="superscript"/>
        </w:rPr>
      </w:pPr>
    </w:p>
    <w:p>
      <w:pPr>
        <w:ind w:left="540" w:hanging="424"/>
        <w:spacing w:after="0" w:line="187" w:lineRule="auto"/>
        <w:tabs>
          <w:tab w:leader="none" w:pos="540" w:val="left"/>
        </w:tabs>
        <w:numPr>
          <w:ilvl w:val="0"/>
          <w:numId w:val="91"/>
        </w:numPr>
        <w:rPr>
          <w:rFonts w:ascii="Arial" w:cs="Arial" w:eastAsia="Arial" w:hAnsi="Arial"/>
          <w:sz w:val="18"/>
          <w:szCs w:val="18"/>
          <w:color w:val="auto"/>
          <w:vertAlign w:val="superscript"/>
        </w:rPr>
      </w:pPr>
      <w:r>
        <w:rPr>
          <w:rFonts w:ascii="Arial" w:cs="Arial" w:eastAsia="Arial" w:hAnsi="Arial"/>
          <w:sz w:val="12"/>
          <w:szCs w:val="12"/>
          <w:color w:val="auto"/>
        </w:rPr>
        <w:t>2023 targets are pre-established, but are not being disclosed at this time as they are competitively sensitive.</w:t>
      </w:r>
    </w:p>
    <w:p>
      <w:pPr>
        <w:ind w:left="540" w:right="20" w:hanging="424"/>
        <w:spacing w:after="0" w:line="193" w:lineRule="auto"/>
        <w:tabs>
          <w:tab w:leader="none" w:pos="540" w:val="left"/>
        </w:tabs>
        <w:numPr>
          <w:ilvl w:val="0"/>
          <w:numId w:val="91"/>
        </w:numPr>
        <w:rPr>
          <w:rFonts w:ascii="Arial" w:cs="Arial" w:eastAsia="Arial" w:hAnsi="Arial"/>
          <w:sz w:val="22"/>
          <w:szCs w:val="22"/>
          <w:color w:val="auto"/>
          <w:vertAlign w:val="superscript"/>
        </w:rPr>
      </w:pPr>
      <w:r>
        <w:rPr>
          <w:rFonts w:ascii="Arial" w:cs="Arial" w:eastAsia="Arial" w:hAnsi="Arial"/>
          <w:sz w:val="14"/>
          <w:szCs w:val="14"/>
          <w:color w:val="auto"/>
        </w:rPr>
        <w:t>TSR Measurement Points = average daily closing price of stock for the first 20 trading days beginning on the grant date and the last 20 trading days of the performance period.</w:t>
      </w:r>
    </w:p>
    <w:p>
      <w:pPr>
        <w:sectPr>
          <w:pgSz w:w="11900" w:h="16838" w:orient="portrait"/>
          <w:cols w:equalWidth="0" w:num="1">
            <w:col w:w="11140"/>
          </w:cols>
          <w:pgMar w:left="320" w:top="486" w:right="439" w:bottom="1440" w:gutter="0" w:footer="0" w:header="0"/>
          <w:type w:val="continuous"/>
        </w:sectPr>
      </w:pPr>
    </w:p>
    <w:p>
      <w:pPr>
        <w:spacing w:after="0" w:line="118"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62</w:t>
      </w:r>
      <w:r>
        <w:rPr>
          <w:sz w:val="20"/>
          <w:szCs w:val="20"/>
          <w:color w:val="auto"/>
        </w:rPr>
        <w:tab/>
      </w:r>
      <w:r>
        <w:rPr>
          <w:sz w:val="1"/>
          <w:szCs w:val="1"/>
          <w:color w:val="auto"/>
        </w:rPr>
        <w:drawing>
          <wp:inline distT="0" distB="0" distL="0" distR="0">
            <wp:extent cx="582930" cy="137160"/>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6960"/>
        <w:spacing w:after="0"/>
        <w:rPr>
          <w:sz w:val="20"/>
          <w:szCs w:val="20"/>
          <w:color w:val="auto"/>
        </w:rPr>
      </w:pPr>
      <w:r>
        <w:rPr>
          <w:rFonts w:ascii="Arial" w:cs="Arial" w:eastAsia="Arial" w:hAnsi="Arial"/>
          <w:sz w:val="21"/>
          <w:szCs w:val="21"/>
          <w:b w:val="1"/>
          <w:bCs w:val="1"/>
          <w:color w:val="FFFFFF"/>
          <w:shd w:val="clear" w:color="auto" w:fill="0171B9"/>
        </w:rPr>
        <w:t>Compensation Discussion and Analysis</w:t>
      </w:r>
    </w:p>
    <w:p>
      <w:pPr>
        <w:spacing w:after="0" w:line="35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2022-2024 Performance Period Goal Design and Award Calculation</w:t>
      </w:r>
    </w:p>
    <w:p>
      <w:pPr>
        <w:spacing w:after="0" w:line="94" w:lineRule="exact"/>
        <w:rPr>
          <w:sz w:val="20"/>
          <w:szCs w:val="20"/>
          <w:color w:val="auto"/>
        </w:rPr>
      </w:pPr>
    </w:p>
    <w:p>
      <w:pPr>
        <w:jc w:val="center"/>
        <w:ind w:left="440" w:right="740"/>
        <w:spacing w:after="0" w:line="241" w:lineRule="auto"/>
        <w:rPr>
          <w:sz w:val="20"/>
          <w:szCs w:val="20"/>
          <w:color w:val="auto"/>
        </w:rPr>
      </w:pPr>
      <w:r>
        <w:rPr>
          <w:rFonts w:ascii="Arial" w:cs="Arial" w:eastAsia="Arial" w:hAnsi="Arial"/>
          <w:sz w:val="20"/>
          <w:szCs w:val="20"/>
          <w:b w:val="1"/>
          <w:bCs w:val="1"/>
          <w:color w:val="0171B9"/>
        </w:rPr>
        <w:t>All operating measures and goals were established at the beginning of the three-year performance period and no alterations were made to respond to changing business conditions (</w:t>
      </w:r>
      <w:r>
        <w:rPr>
          <w:rFonts w:ascii="Arial" w:cs="Arial" w:eastAsia="Arial" w:hAnsi="Arial"/>
          <w:sz w:val="20"/>
          <w:szCs w:val="20"/>
          <w:b w:val="1"/>
          <w:bCs w:val="1"/>
          <w:i w:val="1"/>
          <w:iCs w:val="1"/>
          <w:color w:val="0171B9"/>
        </w:rPr>
        <w:t>i.e.</w:t>
      </w:r>
      <w:r>
        <w:rPr>
          <w:rFonts w:ascii="Arial" w:cs="Arial" w:eastAsia="Arial" w:hAnsi="Arial"/>
          <w:sz w:val="20"/>
          <w:szCs w:val="20"/>
          <w:b w:val="1"/>
          <w:bCs w:val="1"/>
          <w:color w:val="0171B9"/>
        </w:rPr>
        <w:t>, the challenges of the pandemic).</w:t>
      </w:r>
    </w:p>
    <w:p>
      <w:pPr>
        <w:spacing w:after="0" w:line="193"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The Compensation Committee constructed the 2022-2024 performance period (January 1, 2022 to December 31, 2024) design with the same two operating measures as the 2020-2022 and 2021-2023 performance periods of non-GAAP EPS growth and ROIC weighted equally in each year (one-half per measure) and relative TSR modifier (</w:t>
      </w:r>
      <w:r>
        <w:rPr>
          <w:rFonts w:ascii="Arial" w:cs="Arial" w:eastAsia="Arial" w:hAnsi="Arial"/>
          <w:sz w:val="12"/>
          <w:szCs w:val="12"/>
          <w:color w:val="auto"/>
        </w:rPr>
        <w:t>+</w:t>
      </w:r>
      <w:r>
        <w:rPr>
          <w:rFonts w:ascii="Arial" w:cs="Arial" w:eastAsia="Arial" w:hAnsi="Arial"/>
          <w:sz w:val="17"/>
          <w:szCs w:val="17"/>
          <w:color w:val="auto"/>
        </w:rPr>
        <w:t>/-30 percentage points). The TSR modifier cannot exceed target (100%) regardless of our relative TSR performance if our absolute TSR over the performance period is less than zero.</w:t>
      </w:r>
    </w:p>
    <w:p>
      <w:pPr>
        <w:spacing w:after="0" w:line="18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2022 Operating Measures and Performance for the 2022-2024 Performance Period</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Borders>
              <w:right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jc w:val="center"/>
              <w:spacing w:after="0" w:line="163" w:lineRule="exact"/>
              <w:rPr>
                <w:sz w:val="20"/>
                <w:szCs w:val="20"/>
                <w:color w:val="auto"/>
              </w:rPr>
            </w:pPr>
            <w:r>
              <w:rPr>
                <w:rFonts w:ascii="Arial" w:cs="Arial" w:eastAsia="Arial" w:hAnsi="Arial"/>
                <w:sz w:val="13"/>
                <w:szCs w:val="13"/>
                <w:b w:val="1"/>
                <w:bCs w:val="1"/>
                <w:color w:val="auto"/>
              </w:rPr>
              <w:t>Non-GAAP</w:t>
            </w:r>
            <w:r>
              <w:rPr>
                <w:rFonts w:ascii="Arial" w:cs="Arial" w:eastAsia="Arial" w:hAnsi="Arial"/>
                <w:sz w:val="18"/>
                <w:szCs w:val="18"/>
                <w:b w:val="1"/>
                <w:bCs w:val="1"/>
                <w:color w:val="auto"/>
                <w:vertAlign w:val="superscript"/>
              </w:rPr>
              <w:t>(1)</w:t>
            </w:r>
          </w:p>
        </w:tc>
        <w:tc>
          <w:tcPr>
            <w:tcW w:w="960" w:type="dxa"/>
            <w:vAlign w:val="bottom"/>
            <w:tcBorders>
              <w:top w:val="single" w:sz="8" w:color="auto"/>
              <w:right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Minimum</w:t>
            </w:r>
          </w:p>
        </w:tc>
        <w:tc>
          <w:tcPr>
            <w:tcW w:w="940" w:type="dxa"/>
            <w:vAlign w:val="bottom"/>
            <w:tcBorders>
              <w:top w:val="single" w:sz="8" w:color="auto"/>
              <w:right w:val="single" w:sz="8" w:color="auto"/>
            </w:tcBorders>
            <w:vMerge w:val="restart"/>
          </w:tcPr>
          <w:p>
            <w:pPr>
              <w:ind w:left="340"/>
              <w:spacing w:after="0"/>
              <w:rPr>
                <w:sz w:val="20"/>
                <w:szCs w:val="20"/>
                <w:color w:val="auto"/>
              </w:rPr>
            </w:pPr>
            <w:r>
              <w:rPr>
                <w:rFonts w:ascii="Arial" w:cs="Arial" w:eastAsia="Arial" w:hAnsi="Arial"/>
                <w:sz w:val="14"/>
                <w:szCs w:val="14"/>
                <w:b w:val="1"/>
                <w:bCs w:val="1"/>
                <w:color w:val="auto"/>
              </w:rPr>
              <w:t>Low</w:t>
            </w:r>
          </w:p>
        </w:tc>
        <w:tc>
          <w:tcPr>
            <w:tcW w:w="920" w:type="dxa"/>
            <w:vAlign w:val="bottom"/>
            <w:tcBorders>
              <w:top w:val="single" w:sz="8" w:color="auto"/>
              <w:right w:val="single" w:sz="8" w:color="auto"/>
            </w:tcBorders>
            <w:gridSpan w:val="2"/>
            <w:vMerge w:val="restart"/>
          </w:tcPr>
          <w:p>
            <w:pPr>
              <w:ind w:left="260"/>
              <w:spacing w:after="0"/>
              <w:rPr>
                <w:sz w:val="20"/>
                <w:szCs w:val="20"/>
                <w:color w:val="auto"/>
              </w:rPr>
            </w:pPr>
            <w:r>
              <w:rPr>
                <w:rFonts w:ascii="Arial" w:cs="Arial" w:eastAsia="Arial" w:hAnsi="Arial"/>
                <w:sz w:val="14"/>
                <w:szCs w:val="14"/>
                <w:b w:val="1"/>
                <w:bCs w:val="1"/>
                <w:color w:val="auto"/>
              </w:rPr>
              <w:t>Target</w:t>
            </w:r>
          </w:p>
        </w:tc>
        <w:tc>
          <w:tcPr>
            <w:tcW w:w="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vMerge w:val="restart"/>
          </w:tcPr>
          <w:p>
            <w:pPr>
              <w:jc w:val="center"/>
              <w:ind w:left="84"/>
              <w:spacing w:after="0"/>
              <w:rPr>
                <w:sz w:val="20"/>
                <w:szCs w:val="20"/>
                <w:color w:val="auto"/>
              </w:rPr>
            </w:pPr>
            <w:r>
              <w:rPr>
                <w:rFonts w:ascii="Arial" w:cs="Arial" w:eastAsia="Arial" w:hAnsi="Arial"/>
                <w:sz w:val="14"/>
                <w:szCs w:val="14"/>
                <w:b w:val="1"/>
                <w:bCs w:val="1"/>
                <w:color w:val="auto"/>
              </w:rPr>
              <w:t>High</w:t>
            </w:r>
          </w:p>
        </w:tc>
        <w:tc>
          <w:tcPr>
            <w:tcW w:w="180" w:type="dxa"/>
            <w:vAlign w:val="bottom"/>
            <w:tcBorders>
              <w:top w:val="single" w:sz="8" w:color="auto"/>
              <w:right w:val="single" w:sz="8" w:color="auto"/>
            </w:tcBorders>
          </w:tcPr>
          <w:p>
            <w:pPr>
              <w:spacing w:after="0"/>
              <w:rPr>
                <w:sz w:val="14"/>
                <w:szCs w:val="14"/>
                <w:color w:val="auto"/>
              </w:rPr>
            </w:pPr>
          </w:p>
        </w:tc>
        <w:tc>
          <w:tcPr>
            <w:tcW w:w="96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Maximum</w:t>
            </w:r>
          </w:p>
        </w:tc>
        <w:tc>
          <w:tcPr>
            <w:tcW w:w="1140" w:type="dxa"/>
            <w:vAlign w:val="bottom"/>
            <w:tcBorders>
              <w:top w:val="single" w:sz="8" w:color="auto"/>
              <w:right w:val="single" w:sz="8" w:color="auto"/>
            </w:tcBorders>
            <w:vMerge w:val="restart"/>
            <w:shd w:val="clear" w:color="auto" w:fill="0171B9"/>
          </w:tcPr>
          <w:p>
            <w:pPr>
              <w:jc w:val="center"/>
              <w:spacing w:after="0"/>
              <w:rPr>
                <w:sz w:val="20"/>
                <w:szCs w:val="20"/>
                <w:color w:val="auto"/>
              </w:rPr>
            </w:pPr>
            <w:r>
              <w:rPr>
                <w:rFonts w:ascii="Arial" w:cs="Arial" w:eastAsia="Arial" w:hAnsi="Arial"/>
                <w:sz w:val="14"/>
                <w:szCs w:val="14"/>
                <w:b w:val="1"/>
                <w:bCs w:val="1"/>
                <w:color w:val="FFFFFF"/>
              </w:rPr>
              <w:t>2022</w:t>
            </w:r>
          </w:p>
        </w:tc>
        <w:tc>
          <w:tcPr>
            <w:tcW w:w="0" w:type="dxa"/>
            <w:vAlign w:val="bottom"/>
          </w:tcPr>
          <w:p>
            <w:pPr>
              <w:spacing w:after="0"/>
              <w:rPr>
                <w:sz w:val="1"/>
                <w:szCs w:val="1"/>
                <w:color w:val="auto"/>
              </w:rPr>
            </w:pPr>
          </w:p>
        </w:tc>
      </w:tr>
      <w:tr>
        <w:trPr>
          <w:trHeight w:val="149"/>
        </w:trPr>
        <w:tc>
          <w:tcPr>
            <w:tcW w:w="4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Operating</w:t>
            </w:r>
          </w:p>
        </w:tc>
        <w:tc>
          <w:tcPr>
            <w:tcW w:w="960" w:type="dxa"/>
            <w:vAlign w:val="bottom"/>
            <w:tcBorders>
              <w:right w:val="single" w:sz="8" w:color="auto"/>
            </w:tcBorders>
            <w:vMerge w:val="continue"/>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shd w:val="clear" w:color="auto" w:fill="0171B9"/>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0" w:type="dxa"/>
            <w:vAlign w:val="bottom"/>
            <w:tcBorders>
              <w:bottom w:val="single" w:sz="8" w:color="31485D"/>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Measures</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(30%)</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(80%)</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(100%)</w:t>
            </w:r>
          </w:p>
        </w:tc>
        <w:tc>
          <w:tcPr>
            <w:tcW w:w="14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auto"/>
              </w:rPr>
              <w:t>(120%)</w:t>
            </w:r>
          </w:p>
        </w:tc>
        <w:tc>
          <w:tcPr>
            <w:tcW w:w="18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(170%)</w:t>
            </w:r>
          </w:p>
        </w:tc>
        <w:tc>
          <w:tcPr>
            <w:tcW w:w="1140" w:type="dxa"/>
            <w:vAlign w:val="bottom"/>
            <w:tcBorders>
              <w:bottom w:val="single" w:sz="8" w:color="auto"/>
              <w:right w:val="single" w:sz="8" w:color="auto"/>
            </w:tcBorders>
            <w:shd w:val="clear" w:color="auto" w:fill="0171B9"/>
          </w:tcPr>
          <w:p>
            <w:pPr>
              <w:ind w:left="120"/>
              <w:spacing w:after="0"/>
              <w:rPr>
                <w:sz w:val="20"/>
                <w:szCs w:val="20"/>
                <w:color w:val="auto"/>
              </w:rPr>
            </w:pPr>
            <w:r>
              <w:rPr>
                <w:rFonts w:ascii="Arial" w:cs="Arial" w:eastAsia="Arial" w:hAnsi="Arial"/>
                <w:sz w:val="14"/>
                <w:szCs w:val="14"/>
                <w:b w:val="1"/>
                <w:bCs w:val="1"/>
                <w:color w:val="FFFFFF"/>
              </w:rPr>
              <w:t>Performance</w:t>
            </w:r>
          </w:p>
        </w:tc>
        <w:tc>
          <w:tcPr>
            <w:tcW w:w="0" w:type="dxa"/>
            <w:vAlign w:val="bottom"/>
          </w:tcPr>
          <w:p>
            <w:pPr>
              <w:spacing w:after="0"/>
              <w:rPr>
                <w:sz w:val="1"/>
                <w:szCs w:val="1"/>
                <w:color w:val="auto"/>
              </w:rPr>
            </w:pPr>
          </w:p>
        </w:tc>
      </w:tr>
      <w:tr>
        <w:trPr>
          <w:trHeight w:val="292"/>
        </w:trPr>
        <w:tc>
          <w:tcPr>
            <w:tcW w:w="440" w:type="dxa"/>
            <w:vAlign w:val="bottom"/>
            <w:tcBorders>
              <w:right w:val="single" w:sz="8" w:color="auto"/>
            </w:tcBorders>
            <w:shd w:val="clear" w:color="auto" w:fill="31485D"/>
          </w:tcPr>
          <w:p>
            <w:pPr>
              <w:spacing w:after="0"/>
              <w:rPr>
                <w:sz w:val="24"/>
                <w:szCs w:val="24"/>
                <w:color w:val="auto"/>
              </w:rPr>
            </w:pPr>
          </w:p>
        </w:tc>
        <w:tc>
          <w:tcPr>
            <w:tcW w:w="1240" w:type="dxa"/>
            <w:vAlign w:val="bottom"/>
            <w:tcBorders>
              <w:right w:val="single" w:sz="8" w:color="auto"/>
            </w:tcBorders>
            <w:shd w:val="clear" w:color="auto" w:fill="0171B9"/>
          </w:tcPr>
          <w:p>
            <w:pPr>
              <w:jc w:val="center"/>
              <w:spacing w:after="0"/>
              <w:rPr>
                <w:sz w:val="20"/>
                <w:szCs w:val="20"/>
                <w:color w:val="auto"/>
              </w:rPr>
            </w:pPr>
            <w:r>
              <w:rPr>
                <w:rFonts w:ascii="Arial" w:cs="Arial" w:eastAsia="Arial" w:hAnsi="Arial"/>
                <w:sz w:val="16"/>
                <w:szCs w:val="16"/>
                <w:b w:val="1"/>
                <w:bCs w:val="1"/>
                <w:color w:val="FFFFFF"/>
              </w:rPr>
              <w:t>EPS Growth</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≤$15.00</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$16.50</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$17.25</w:t>
            </w: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$18.00</w:t>
            </w:r>
          </w:p>
        </w:tc>
        <w:tc>
          <w:tcPr>
            <w:tcW w:w="18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≥$19.00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114.1%</w:t>
            </w:r>
          </w:p>
        </w:tc>
        <w:tc>
          <w:tcPr>
            <w:tcW w:w="0" w:type="dxa"/>
            <w:vAlign w:val="bottom"/>
          </w:tcPr>
          <w:p>
            <w:pPr>
              <w:spacing w:after="0"/>
              <w:rPr>
                <w:sz w:val="1"/>
                <w:szCs w:val="1"/>
                <w:color w:val="auto"/>
              </w:rPr>
            </w:pPr>
          </w:p>
        </w:tc>
      </w:tr>
      <w:tr>
        <w:trPr>
          <w:trHeight w:val="106"/>
        </w:trPr>
        <w:tc>
          <w:tcPr>
            <w:tcW w:w="440" w:type="dxa"/>
            <w:vAlign w:val="bottom"/>
            <w:tcBorders>
              <w:bottom w:val="single" w:sz="8" w:color="31485D"/>
              <w:right w:val="single" w:sz="8" w:color="auto"/>
            </w:tcBorders>
            <w:shd w:val="clear" w:color="auto" w:fill="31485D"/>
          </w:tcPr>
          <w:p>
            <w:pPr>
              <w:spacing w:after="0"/>
              <w:rPr>
                <w:sz w:val="9"/>
                <w:szCs w:val="9"/>
                <w:color w:val="auto"/>
              </w:rPr>
            </w:pPr>
          </w:p>
        </w:tc>
        <w:tc>
          <w:tcPr>
            <w:tcW w:w="1240" w:type="dxa"/>
            <w:vAlign w:val="bottom"/>
            <w:tcBorders>
              <w:bottom w:val="single" w:sz="8" w:color="0171B9"/>
              <w:right w:val="single" w:sz="8" w:color="auto"/>
            </w:tcBorders>
            <w:vMerge w:val="restart"/>
            <w:shd w:val="clear" w:color="auto" w:fill="0171B9"/>
          </w:tcPr>
          <w:p>
            <w:pPr>
              <w:jc w:val="right"/>
              <w:ind w:right="464"/>
              <w:spacing w:after="0"/>
              <w:rPr>
                <w:sz w:val="20"/>
                <w:szCs w:val="20"/>
                <w:color w:val="auto"/>
              </w:rPr>
            </w:pPr>
            <w:r>
              <w:rPr>
                <w:rFonts w:ascii="Arial" w:cs="Arial" w:eastAsia="Arial" w:hAnsi="Arial"/>
                <w:sz w:val="16"/>
                <w:szCs w:val="16"/>
                <w:color w:val="FFFFFF"/>
              </w:rPr>
              <w:t>($)</w:t>
            </w:r>
          </w:p>
        </w:tc>
        <w:tc>
          <w:tcPr>
            <w:tcW w:w="96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40" w:type="dxa"/>
            <w:vAlign w:val="bottom"/>
            <w:tcBorders>
              <w:bottom w:val="single" w:sz="8" w:color="0171B9"/>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0171B9"/>
            </w:tcBorders>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40" w:type="dxa"/>
            <w:vAlign w:val="bottom"/>
            <w:tcBorders>
              <w:right w:val="single" w:sz="8" w:color="auto"/>
            </w:tcBorders>
            <w:shd w:val="clear" w:color="auto" w:fill="31485D"/>
          </w:tcPr>
          <w:p>
            <w:pPr>
              <w:spacing w:after="0"/>
              <w:rPr>
                <w:sz w:val="5"/>
                <w:szCs w:val="5"/>
                <w:color w:val="auto"/>
              </w:rPr>
            </w:pPr>
          </w:p>
        </w:tc>
        <w:tc>
          <w:tcPr>
            <w:tcW w:w="1240" w:type="dxa"/>
            <w:vAlign w:val="bottom"/>
            <w:tcBorders>
              <w:right w:val="single" w:sz="8" w:color="auto"/>
            </w:tcBorders>
            <w:vMerge w:val="continue"/>
            <w:shd w:val="clear" w:color="auto" w:fill="0171B9"/>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660" w:type="dxa"/>
            <w:vAlign w:val="bottom"/>
            <w:gridSpan w:val="4"/>
            <w:vMerge w:val="restart"/>
          </w:tcPr>
          <w:p>
            <w:pPr>
              <w:ind w:left="400"/>
              <w:spacing w:after="0"/>
              <w:rPr>
                <w:sz w:val="20"/>
                <w:szCs w:val="20"/>
                <w:color w:val="auto"/>
              </w:rPr>
            </w:pPr>
            <w:r>
              <w:rPr>
                <w:rFonts w:ascii="Arial" w:cs="Arial" w:eastAsia="Arial" w:hAnsi="Arial"/>
                <w:sz w:val="16"/>
                <w:szCs w:val="16"/>
                <w:color w:val="0171B9"/>
              </w:rPr>
              <w:t>($17.78 actual)</w:t>
            </w:r>
          </w:p>
        </w:tc>
        <w:tc>
          <w:tcPr>
            <w:tcW w:w="18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40" w:type="dxa"/>
            <w:vAlign w:val="bottom"/>
            <w:tcBorders>
              <w:bottom w:val="single" w:sz="8" w:color="31485D"/>
              <w:right w:val="single" w:sz="8" w:color="auto"/>
            </w:tcBorders>
            <w:shd w:val="clear" w:color="auto" w:fill="31485D"/>
          </w:tcPr>
          <w:p>
            <w:pPr>
              <w:spacing w:after="0"/>
              <w:rPr>
                <w:sz w:val="10"/>
                <w:szCs w:val="10"/>
                <w:color w:val="auto"/>
              </w:rPr>
            </w:pPr>
          </w:p>
        </w:tc>
        <w:tc>
          <w:tcPr>
            <w:tcW w:w="1240" w:type="dxa"/>
            <w:vAlign w:val="bottom"/>
            <w:tcBorders>
              <w:bottom w:val="single" w:sz="8" w:color="auto"/>
              <w:right w:val="single" w:sz="8" w:color="auto"/>
            </w:tcBorders>
            <w:shd w:val="clear" w:color="auto" w:fill="0171B9"/>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660" w:type="dxa"/>
            <w:vAlign w:val="bottom"/>
            <w:tcBorders>
              <w:bottom w:val="single" w:sz="8" w:color="auto"/>
            </w:tcBorders>
            <w:gridSpan w:val="4"/>
            <w:vMerge w:val="continue"/>
          </w:tcPr>
          <w:p>
            <w:pPr>
              <w:spacing w:after="0"/>
              <w:rPr>
                <w:sz w:val="10"/>
                <w:szCs w:val="10"/>
                <w:color w:val="auto"/>
              </w:rPr>
            </w:pPr>
          </w:p>
        </w:tc>
        <w:tc>
          <w:tcPr>
            <w:tcW w:w="18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440" w:type="dxa"/>
            <w:vAlign w:val="bottom"/>
            <w:tcBorders>
              <w:right w:val="single" w:sz="8" w:color="auto"/>
            </w:tcBorders>
            <w:shd w:val="clear" w:color="auto" w:fill="31485D"/>
          </w:tcPr>
          <w:p>
            <w:pPr>
              <w:spacing w:after="0"/>
              <w:rPr>
                <w:sz w:val="24"/>
                <w:szCs w:val="24"/>
                <w:color w:val="auto"/>
              </w:rPr>
            </w:pPr>
          </w:p>
        </w:tc>
        <w:tc>
          <w:tcPr>
            <w:tcW w:w="1240" w:type="dxa"/>
            <w:vAlign w:val="bottom"/>
            <w:tcBorders>
              <w:right w:val="single" w:sz="8" w:color="auto"/>
            </w:tcBorders>
            <w:shd w:val="clear" w:color="auto" w:fill="80B8DC"/>
          </w:tcPr>
          <w:p>
            <w:pPr>
              <w:jc w:val="center"/>
              <w:spacing w:after="0"/>
              <w:rPr>
                <w:sz w:val="20"/>
                <w:szCs w:val="20"/>
                <w:color w:val="auto"/>
              </w:rPr>
            </w:pPr>
            <w:r>
              <w:rPr>
                <w:rFonts w:ascii="Arial" w:cs="Arial" w:eastAsia="Arial" w:hAnsi="Arial"/>
                <w:sz w:val="16"/>
                <w:szCs w:val="16"/>
                <w:b w:val="1"/>
                <w:bCs w:val="1"/>
                <w:color w:val="FFFFFF"/>
                <w:w w:val="90"/>
              </w:rPr>
              <w:t>ROIC</w:t>
            </w:r>
            <w:r>
              <w:rPr>
                <w:rFonts w:ascii="Arial" w:cs="Arial" w:eastAsia="Arial" w:hAnsi="Arial"/>
                <w:sz w:val="24"/>
                <w:szCs w:val="24"/>
                <w:b w:val="1"/>
                <w:bCs w:val="1"/>
                <w:color w:val="FFFFFF"/>
                <w:w w:val="90"/>
                <w:vertAlign w:val="superscript"/>
              </w:rPr>
              <w:t>(2)</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6"/>
              </w:rPr>
              <w:t>≤19%</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21%</w:t>
            </w: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color w:val="auto"/>
              </w:rPr>
              <w:t>22.6%</w:t>
            </w: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vMerge w:val="restart"/>
          </w:tcPr>
          <w:p>
            <w:pPr>
              <w:jc w:val="center"/>
              <w:ind w:left="84"/>
              <w:spacing w:after="0"/>
              <w:rPr>
                <w:sz w:val="20"/>
                <w:szCs w:val="20"/>
                <w:color w:val="auto"/>
              </w:rPr>
            </w:pPr>
            <w:r>
              <w:rPr>
                <w:rFonts w:ascii="Arial" w:cs="Arial" w:eastAsia="Arial" w:hAnsi="Arial"/>
                <w:sz w:val="16"/>
                <w:szCs w:val="16"/>
                <w:color w:val="auto"/>
                <w:w w:val="99"/>
              </w:rPr>
              <w:t>24%</w:t>
            </w:r>
          </w:p>
        </w:tc>
        <w:tc>
          <w:tcPr>
            <w:tcW w:w="18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≥26%</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105.3%</w:t>
            </w:r>
          </w:p>
        </w:tc>
        <w:tc>
          <w:tcPr>
            <w:tcW w:w="0" w:type="dxa"/>
            <w:vAlign w:val="bottom"/>
          </w:tcPr>
          <w:p>
            <w:pPr>
              <w:spacing w:after="0"/>
              <w:rPr>
                <w:sz w:val="1"/>
                <w:szCs w:val="1"/>
                <w:color w:val="auto"/>
              </w:rPr>
            </w:pPr>
          </w:p>
        </w:tc>
      </w:tr>
      <w:tr>
        <w:trPr>
          <w:trHeight w:val="100"/>
        </w:trPr>
        <w:tc>
          <w:tcPr>
            <w:tcW w:w="440" w:type="dxa"/>
            <w:vAlign w:val="bottom"/>
            <w:tcBorders>
              <w:bottom w:val="single" w:sz="8" w:color="31485D"/>
              <w:right w:val="single" w:sz="8" w:color="auto"/>
            </w:tcBorders>
            <w:shd w:val="clear" w:color="auto" w:fill="31485D"/>
          </w:tcPr>
          <w:p>
            <w:pPr>
              <w:spacing w:after="0"/>
              <w:rPr>
                <w:sz w:val="8"/>
                <w:szCs w:val="8"/>
                <w:color w:val="auto"/>
              </w:rPr>
            </w:pPr>
          </w:p>
        </w:tc>
        <w:tc>
          <w:tcPr>
            <w:tcW w:w="1240" w:type="dxa"/>
            <w:vAlign w:val="bottom"/>
            <w:tcBorders>
              <w:bottom w:val="single" w:sz="8" w:color="80B8DC"/>
              <w:right w:val="single" w:sz="8" w:color="auto"/>
            </w:tcBorders>
            <w:vMerge w:val="restart"/>
            <w:shd w:val="clear" w:color="auto" w:fill="80B8DC"/>
          </w:tcPr>
          <w:p>
            <w:pPr>
              <w:jc w:val="right"/>
              <w:ind w:right="424"/>
              <w:spacing w:after="0"/>
              <w:rPr>
                <w:sz w:val="20"/>
                <w:szCs w:val="20"/>
                <w:color w:val="auto"/>
              </w:rPr>
            </w:pPr>
            <w:r>
              <w:rPr>
                <w:rFonts w:ascii="Arial" w:cs="Arial" w:eastAsia="Arial" w:hAnsi="Arial"/>
                <w:sz w:val="16"/>
                <w:szCs w:val="16"/>
                <w:color w:val="FFFFFF"/>
              </w:rPr>
              <w:t>(%)</w:t>
            </w:r>
          </w:p>
        </w:tc>
        <w:tc>
          <w:tcPr>
            <w:tcW w:w="96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Borders>
              <w:bottom w:val="single" w:sz="8" w:color="0171B9"/>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0171B9"/>
            </w:tcBorders>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440" w:type="dxa"/>
            <w:vAlign w:val="bottom"/>
            <w:tcBorders>
              <w:right w:val="single" w:sz="8" w:color="auto"/>
            </w:tcBorders>
            <w:shd w:val="clear" w:color="auto" w:fill="31485D"/>
          </w:tcPr>
          <w:p>
            <w:pPr>
              <w:spacing w:after="0"/>
              <w:rPr>
                <w:sz w:val="6"/>
                <w:szCs w:val="6"/>
                <w:color w:val="auto"/>
              </w:rPr>
            </w:pPr>
          </w:p>
        </w:tc>
        <w:tc>
          <w:tcPr>
            <w:tcW w:w="1240" w:type="dxa"/>
            <w:vAlign w:val="bottom"/>
            <w:tcBorders>
              <w:right w:val="single" w:sz="8" w:color="auto"/>
            </w:tcBorders>
            <w:vMerge w:val="continue"/>
            <w:shd w:val="clear" w:color="auto" w:fill="80B8DC"/>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1660" w:type="dxa"/>
            <w:vAlign w:val="bottom"/>
            <w:gridSpan w:val="4"/>
            <w:vMerge w:val="restart"/>
          </w:tcPr>
          <w:p>
            <w:pPr>
              <w:ind w:left="400"/>
              <w:spacing w:after="0"/>
              <w:rPr>
                <w:sz w:val="20"/>
                <w:szCs w:val="20"/>
                <w:color w:val="auto"/>
              </w:rPr>
            </w:pPr>
            <w:r>
              <w:rPr>
                <w:rFonts w:ascii="Arial" w:cs="Arial" w:eastAsia="Arial" w:hAnsi="Arial"/>
                <w:sz w:val="16"/>
                <w:szCs w:val="16"/>
                <w:color w:val="0171B9"/>
              </w:rPr>
              <w:t>(23.0% actual)</w:t>
            </w:r>
          </w:p>
        </w:tc>
        <w:tc>
          <w:tcPr>
            <w:tcW w:w="18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40" w:type="dxa"/>
            <w:vAlign w:val="bottom"/>
            <w:tcBorders>
              <w:bottom w:val="single" w:sz="8" w:color="31485D"/>
              <w:right w:val="single" w:sz="8" w:color="auto"/>
            </w:tcBorders>
            <w:shd w:val="clear" w:color="auto" w:fill="31485D"/>
          </w:tcPr>
          <w:p>
            <w:pPr>
              <w:spacing w:after="0"/>
              <w:rPr>
                <w:sz w:val="10"/>
                <w:szCs w:val="10"/>
                <w:color w:val="auto"/>
              </w:rPr>
            </w:pPr>
          </w:p>
        </w:tc>
        <w:tc>
          <w:tcPr>
            <w:tcW w:w="1240" w:type="dxa"/>
            <w:vAlign w:val="bottom"/>
            <w:tcBorders>
              <w:bottom w:val="single" w:sz="8" w:color="auto"/>
              <w:right w:val="single" w:sz="8" w:color="auto"/>
            </w:tcBorders>
            <w:shd w:val="clear" w:color="auto" w:fill="80B8DC"/>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660" w:type="dxa"/>
            <w:vAlign w:val="bottom"/>
            <w:tcBorders>
              <w:bottom w:val="single" w:sz="8" w:color="auto"/>
            </w:tcBorders>
            <w:gridSpan w:val="4"/>
            <w:vMerge w:val="continue"/>
          </w:tcPr>
          <w:p>
            <w:pPr>
              <w:spacing w:after="0"/>
              <w:rPr>
                <w:sz w:val="10"/>
                <w:szCs w:val="10"/>
                <w:color w:val="auto"/>
              </w:rPr>
            </w:pPr>
          </w:p>
        </w:tc>
        <w:tc>
          <w:tcPr>
            <w:tcW w:w="18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50"/>
        </w:trPr>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shd w:val="clear" w:color="auto" w:fill="0171B9"/>
          </w:tcPr>
          <w:p>
            <w:pPr>
              <w:jc w:val="center"/>
              <w:spacing w:after="0"/>
              <w:rPr>
                <w:sz w:val="20"/>
                <w:szCs w:val="20"/>
                <w:color w:val="auto"/>
              </w:rPr>
            </w:pPr>
            <w:r>
              <w:rPr>
                <w:rFonts w:ascii="Arial" w:cs="Arial" w:eastAsia="Arial" w:hAnsi="Arial"/>
                <w:sz w:val="16"/>
                <w:szCs w:val="16"/>
                <w:b w:val="1"/>
                <w:bCs w:val="1"/>
                <w:color w:val="FFFFFF"/>
              </w:rPr>
              <w:t>109.7%</w:t>
            </w:r>
          </w:p>
        </w:tc>
        <w:tc>
          <w:tcPr>
            <w:tcW w:w="0" w:type="dxa"/>
            <w:vAlign w:val="bottom"/>
          </w:tcPr>
          <w:p>
            <w:pPr>
              <w:spacing w:after="0"/>
              <w:rPr>
                <w:sz w:val="1"/>
                <w:szCs w:val="1"/>
                <w:color w:val="auto"/>
              </w:rPr>
            </w:pPr>
          </w:p>
        </w:tc>
      </w:tr>
      <w:tr>
        <w:trPr>
          <w:trHeight w:val="235"/>
        </w:trPr>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shd w:val="clear" w:color="auto" w:fill="0171B9"/>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-711200</wp:posOffset>
            </wp:positionV>
            <wp:extent cx="825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-693420</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-676910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-659130</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-642620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-625475</wp:posOffset>
            </wp:positionV>
            <wp:extent cx="825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-607695</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-591185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-728345</wp:posOffset>
            </wp:positionV>
            <wp:extent cx="968375" cy="1454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968375" cy="14541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-1122045</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-1105535</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-1087755</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-1071245</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-1054100</wp:posOffset>
            </wp:positionV>
            <wp:extent cx="825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-1036320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-1019810</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-1002030</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-1139825</wp:posOffset>
            </wp:positionV>
            <wp:extent cx="968375" cy="1460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968375" cy="14605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-976630</wp:posOffset>
            </wp:positionV>
            <wp:extent cx="111125" cy="4718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11125" cy="47180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-231140</wp:posOffset>
            </wp:positionV>
            <wp:extent cx="2905760" cy="21463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905760" cy="21463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130" w:lineRule="exact"/>
        <w:rPr>
          <w:sz w:val="20"/>
          <w:szCs w:val="20"/>
          <w:color w:val="auto"/>
        </w:rPr>
      </w:pPr>
    </w:p>
    <w:p>
      <w:pPr>
        <w:ind w:left="280" w:right="920" w:firstLine="1106"/>
        <w:spacing w:after="0" w:line="261" w:lineRule="auto"/>
        <w:rPr>
          <w:sz w:val="20"/>
          <w:szCs w:val="20"/>
          <w:color w:val="auto"/>
        </w:rPr>
      </w:pPr>
      <w:r>
        <w:rPr>
          <w:rFonts w:ascii="Arial" w:cs="Arial" w:eastAsia="Arial" w:hAnsi="Arial"/>
          <w:sz w:val="16"/>
          <w:szCs w:val="16"/>
          <w:b w:val="1"/>
          <w:bCs w:val="1"/>
          <w:color w:val="FFFFFF"/>
        </w:rPr>
        <w:t>2022-2024 Operating Measures Score (Operating Measure Percentages 30 – 170% with linear interpolation along the payout curve)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-377825</wp:posOffset>
            </wp:positionV>
            <wp:extent cx="3360420" cy="17487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360420" cy="1748790"/>
                    </a:xfrm>
                    <a:prstGeom prst="rect">
                      <a:avLst/>
                    </a:prstGeom>
                    <a:noFill/>
                  </pic:spPr>
                </pic:pic>
              </a:graphicData>
            </a:graphic>
          </wp:anchor>
        </w:drawing>
      </w:r>
    </w:p>
    <w:p>
      <w:pPr>
        <w:jc w:val="center"/>
        <w:ind w:left="240"/>
        <w:spacing w:after="0"/>
        <w:rPr>
          <w:sz w:val="20"/>
          <w:szCs w:val="20"/>
          <w:color w:val="auto"/>
        </w:rPr>
      </w:pPr>
      <w:r>
        <w:rPr>
          <w:rFonts w:ascii="Arial" w:cs="Arial" w:eastAsia="Arial" w:hAnsi="Arial"/>
          <w:sz w:val="16"/>
          <w:szCs w:val="16"/>
          <w:color w:val="auto"/>
        </w:rPr>
        <w:t>Operating Measure Percentages are Equally Weighted</w:t>
      </w:r>
    </w:p>
    <w:p>
      <w:pPr>
        <w:spacing w:after="0" w:line="5" w:lineRule="exact"/>
        <w:rPr>
          <w:sz w:val="20"/>
          <w:szCs w:val="20"/>
          <w:color w:val="auto"/>
        </w:rPr>
      </w:pPr>
    </w:p>
    <w:p>
      <w:pPr>
        <w:jc w:val="center"/>
        <w:ind w:left="240"/>
        <w:spacing w:after="0"/>
        <w:rPr>
          <w:sz w:val="20"/>
          <w:szCs w:val="20"/>
          <w:color w:val="auto"/>
        </w:rPr>
      </w:pPr>
      <w:r>
        <w:rPr>
          <w:rFonts w:ascii="Arial" w:cs="Arial" w:eastAsia="Arial" w:hAnsi="Arial"/>
          <w:sz w:val="16"/>
          <w:szCs w:val="16"/>
          <w:color w:val="auto"/>
        </w:rPr>
        <w:t>for Each of the Three Years</w:t>
      </w: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1280" w:type="dxa"/>
            <w:vAlign w:val="bottom"/>
            <w:tcBorders>
              <w:top w:val="single" w:sz="8" w:color="auto"/>
              <w:right w:val="single" w:sz="8" w:color="auto"/>
            </w:tcBorders>
            <w:vMerge w:val="restart"/>
          </w:tcPr>
          <w:p>
            <w:pPr>
              <w:jc w:val="center"/>
              <w:ind w:left="66"/>
              <w:spacing w:after="0"/>
              <w:rPr>
                <w:sz w:val="20"/>
                <w:szCs w:val="20"/>
                <w:color w:val="auto"/>
              </w:rPr>
            </w:pPr>
            <w:r>
              <w:rPr>
                <w:rFonts w:ascii="Arial" w:cs="Arial" w:eastAsia="Arial" w:hAnsi="Arial"/>
                <w:sz w:val="14"/>
                <w:szCs w:val="14"/>
                <w:b w:val="1"/>
                <w:bCs w:val="1"/>
                <w:color w:val="0171B9"/>
                <w:w w:val="95"/>
              </w:rPr>
              <w:t>Non-GAAP</w:t>
            </w:r>
            <w:r>
              <w:rPr>
                <w:rFonts w:ascii="Arial" w:cs="Arial" w:eastAsia="Arial" w:hAnsi="Arial"/>
                <w:sz w:val="21"/>
                <w:szCs w:val="21"/>
                <w:b w:val="1"/>
                <w:bCs w:val="1"/>
                <w:color w:val="0171B9"/>
                <w:w w:val="95"/>
                <w:vertAlign w:val="superscript"/>
              </w:rPr>
              <w:t>(1)(2)</w:t>
            </w:r>
          </w:p>
        </w:tc>
        <w:tc>
          <w:tcPr>
            <w:tcW w:w="102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0171B9"/>
              </w:rPr>
              <w:t>2022-2024</w:t>
            </w:r>
          </w:p>
        </w:tc>
        <w:tc>
          <w:tcPr>
            <w:tcW w:w="0" w:type="dxa"/>
            <w:vAlign w:val="bottom"/>
          </w:tcPr>
          <w:p>
            <w:pPr>
              <w:spacing w:after="0"/>
              <w:rPr>
                <w:sz w:val="1"/>
                <w:szCs w:val="1"/>
                <w:color w:val="auto"/>
              </w:rPr>
            </w:pPr>
          </w:p>
        </w:tc>
      </w:tr>
      <w:tr>
        <w:trPr>
          <w:trHeight w:val="162"/>
        </w:trPr>
        <w:tc>
          <w:tcPr>
            <w:tcW w:w="1280" w:type="dxa"/>
            <w:vAlign w:val="bottom"/>
            <w:tcBorders>
              <w:right w:val="single" w:sz="8" w:color="auto"/>
            </w:tcBorders>
            <w:vMerge w:val="continue"/>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171B9"/>
              </w:rPr>
              <w:t>Average</w:t>
            </w:r>
          </w:p>
        </w:tc>
        <w:tc>
          <w:tcPr>
            <w:tcW w:w="0" w:type="dxa"/>
            <w:vAlign w:val="bottom"/>
          </w:tcPr>
          <w:p>
            <w:pPr>
              <w:spacing w:after="0"/>
              <w:rPr>
                <w:sz w:val="1"/>
                <w:szCs w:val="1"/>
                <w:color w:val="auto"/>
              </w:rPr>
            </w:pPr>
          </w:p>
        </w:tc>
      </w:tr>
      <w:tr>
        <w:trPr>
          <w:trHeight w:val="162"/>
        </w:trPr>
        <w:tc>
          <w:tcPr>
            <w:tcW w:w="1280" w:type="dxa"/>
            <w:vAlign w:val="bottom"/>
            <w:tcBorders>
              <w:right w:val="single" w:sz="8" w:color="auto"/>
            </w:tcBorders>
          </w:tcPr>
          <w:p>
            <w:pPr>
              <w:jc w:val="center"/>
              <w:ind w:left="46"/>
              <w:spacing w:after="0"/>
              <w:rPr>
                <w:sz w:val="20"/>
                <w:szCs w:val="20"/>
                <w:color w:val="auto"/>
              </w:rPr>
            </w:pPr>
            <w:r>
              <w:rPr>
                <w:rFonts w:ascii="Arial" w:cs="Arial" w:eastAsia="Arial" w:hAnsi="Arial"/>
                <w:sz w:val="14"/>
                <w:szCs w:val="14"/>
                <w:b w:val="1"/>
                <w:bCs w:val="1"/>
                <w:color w:val="0171B9"/>
              </w:rPr>
              <w:t>Operating</w:t>
            </w:r>
          </w:p>
        </w:tc>
        <w:tc>
          <w:tcPr>
            <w:tcW w:w="102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171B9"/>
              </w:rPr>
              <w:t>Operating</w:t>
            </w:r>
          </w:p>
        </w:tc>
        <w:tc>
          <w:tcPr>
            <w:tcW w:w="0" w:type="dxa"/>
            <w:vAlign w:val="bottom"/>
          </w:tcPr>
          <w:p>
            <w:pPr>
              <w:spacing w:after="0"/>
              <w:rPr>
                <w:sz w:val="1"/>
                <w:szCs w:val="1"/>
                <w:color w:val="auto"/>
              </w:rPr>
            </w:pPr>
          </w:p>
        </w:tc>
      </w:tr>
      <w:tr>
        <w:trPr>
          <w:trHeight w:val="175"/>
        </w:trPr>
        <w:tc>
          <w:tcPr>
            <w:tcW w:w="1280" w:type="dxa"/>
            <w:vAlign w:val="bottom"/>
            <w:tcBorders>
              <w:bottom w:val="single" w:sz="8" w:color="auto"/>
              <w:right w:val="single" w:sz="8" w:color="auto"/>
            </w:tcBorders>
          </w:tcPr>
          <w:p>
            <w:pPr>
              <w:jc w:val="center"/>
              <w:ind w:left="66"/>
              <w:spacing w:after="0"/>
              <w:rPr>
                <w:sz w:val="20"/>
                <w:szCs w:val="20"/>
                <w:color w:val="auto"/>
              </w:rPr>
            </w:pPr>
            <w:r>
              <w:rPr>
                <w:rFonts w:ascii="Arial" w:cs="Arial" w:eastAsia="Arial" w:hAnsi="Arial"/>
                <w:sz w:val="14"/>
                <w:szCs w:val="14"/>
                <w:b w:val="1"/>
                <w:bCs w:val="1"/>
                <w:color w:val="0171B9"/>
              </w:rPr>
              <w:t>Measures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0171B9"/>
              </w:rPr>
              <w:t>2022</w:t>
            </w:r>
          </w:p>
        </w:tc>
        <w:tc>
          <w:tcPr>
            <w:tcW w:w="9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b w:val="1"/>
                <w:bCs w:val="1"/>
                <w:color w:val="0171B9"/>
              </w:rPr>
              <w:t>2023</w:t>
            </w:r>
          </w:p>
        </w:tc>
        <w:tc>
          <w:tcPr>
            <w:tcW w:w="10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b w:val="1"/>
                <w:bCs w:val="1"/>
                <w:color w:val="0171B9"/>
              </w:rPr>
              <w:t>2024</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171B9"/>
              </w:rPr>
              <w:t>Measures</w:t>
            </w:r>
          </w:p>
        </w:tc>
        <w:tc>
          <w:tcPr>
            <w:tcW w:w="0" w:type="dxa"/>
            <w:vAlign w:val="bottom"/>
          </w:tcPr>
          <w:p>
            <w:pPr>
              <w:spacing w:after="0"/>
              <w:rPr>
                <w:sz w:val="1"/>
                <w:szCs w:val="1"/>
                <w:color w:val="auto"/>
              </w:rPr>
            </w:pPr>
          </w:p>
        </w:tc>
      </w:tr>
      <w:tr>
        <w:trPr>
          <w:trHeight w:val="164"/>
        </w:trPr>
        <w:tc>
          <w:tcPr>
            <w:tcW w:w="1280" w:type="dxa"/>
            <w:vAlign w:val="bottom"/>
            <w:tcBorders>
              <w:right w:val="single" w:sz="8" w:color="auto"/>
            </w:tcBorders>
            <w:shd w:val="clear" w:color="auto" w:fill="0171B9"/>
          </w:tcPr>
          <w:p>
            <w:pPr>
              <w:jc w:val="center"/>
              <w:ind w:left="46"/>
              <w:spacing w:after="0" w:line="165" w:lineRule="exact"/>
              <w:rPr>
                <w:sz w:val="20"/>
                <w:szCs w:val="20"/>
                <w:color w:val="auto"/>
              </w:rPr>
            </w:pPr>
            <w:r>
              <w:rPr>
                <w:rFonts w:ascii="Arial" w:cs="Arial" w:eastAsia="Arial" w:hAnsi="Arial"/>
                <w:sz w:val="16"/>
                <w:szCs w:val="16"/>
                <w:b w:val="1"/>
                <w:bCs w:val="1"/>
                <w:color w:val="FFFFFF"/>
                <w:w w:val="99"/>
              </w:rPr>
              <w:t>EPS</w:t>
            </w:r>
          </w:p>
        </w:tc>
        <w:tc>
          <w:tcPr>
            <w:tcW w:w="10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114.1%</w:t>
            </w:r>
          </w:p>
        </w:tc>
        <w:tc>
          <w:tcPr>
            <w:tcW w:w="19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0171B9"/>
              </w:rPr>
              <w:t>Pre-established</w:t>
            </w:r>
          </w:p>
        </w:tc>
        <w:tc>
          <w:tcPr>
            <w:tcW w:w="1000" w:type="dxa"/>
            <w:vAlign w:val="bottom"/>
            <w:vMerge w:val="restart"/>
            <w:shd w:val="clear" w:color="auto" w:fill="D8E9F4"/>
          </w:tcPr>
          <w:p>
            <w:pPr>
              <w:jc w:val="center"/>
              <w:spacing w:after="0"/>
              <w:rPr>
                <w:sz w:val="20"/>
                <w:szCs w:val="20"/>
                <w:color w:val="auto"/>
              </w:rPr>
            </w:pPr>
            <w:r>
              <w:rPr>
                <w:rFonts w:ascii="Arial" w:cs="Arial" w:eastAsia="Arial" w:hAnsi="Arial"/>
                <w:sz w:val="16"/>
                <w:szCs w:val="16"/>
                <w:color w:val="auto"/>
                <w:w w:val="99"/>
              </w:rPr>
              <w:t>TBD</w:t>
            </w:r>
          </w:p>
        </w:tc>
        <w:tc>
          <w:tcPr>
            <w:tcW w:w="0" w:type="dxa"/>
            <w:vAlign w:val="bottom"/>
          </w:tcPr>
          <w:p>
            <w:pPr>
              <w:spacing w:after="0"/>
              <w:rPr>
                <w:sz w:val="1"/>
                <w:szCs w:val="1"/>
                <w:color w:val="auto"/>
              </w:rPr>
            </w:pPr>
          </w:p>
        </w:tc>
      </w:tr>
      <w:tr>
        <w:trPr>
          <w:trHeight w:val="221"/>
        </w:trPr>
        <w:tc>
          <w:tcPr>
            <w:tcW w:w="1280" w:type="dxa"/>
            <w:vAlign w:val="bottom"/>
            <w:tcBorders>
              <w:bottom w:val="single" w:sz="8" w:color="0171B9"/>
              <w:right w:val="single" w:sz="8" w:color="auto"/>
            </w:tcBorders>
            <w:shd w:val="clear" w:color="auto" w:fill="0171B9"/>
          </w:tcPr>
          <w:p>
            <w:pPr>
              <w:jc w:val="center"/>
              <w:ind w:left="66"/>
              <w:spacing w:after="0" w:line="168" w:lineRule="exact"/>
              <w:rPr>
                <w:sz w:val="20"/>
                <w:szCs w:val="20"/>
                <w:color w:val="auto"/>
              </w:rPr>
            </w:pPr>
            <w:r>
              <w:rPr>
                <w:rFonts w:ascii="Arial" w:cs="Arial" w:eastAsia="Arial" w:hAnsi="Arial"/>
                <w:sz w:val="16"/>
                <w:szCs w:val="16"/>
                <w:b w:val="1"/>
                <w:bCs w:val="1"/>
                <w:color w:val="FFFFFF"/>
              </w:rPr>
              <w:t>Growth ($)</w:t>
            </w:r>
          </w:p>
        </w:tc>
        <w:tc>
          <w:tcPr>
            <w:tcW w:w="102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color w:val="auto"/>
              </w:rPr>
              <w:t>($17.78)</w:t>
            </w:r>
          </w:p>
        </w:tc>
        <w:tc>
          <w:tcPr>
            <w:tcW w:w="1980" w:type="dxa"/>
            <w:vAlign w:val="bottom"/>
            <w:tcBorders>
              <w:right w:val="single" w:sz="8" w:color="auto"/>
            </w:tcBorders>
            <w:gridSpan w:val="2"/>
            <w:vMerge w:val="continue"/>
          </w:tcPr>
          <w:p>
            <w:pPr>
              <w:spacing w:after="0"/>
              <w:rPr>
                <w:sz w:val="19"/>
                <w:szCs w:val="19"/>
                <w:color w:val="auto"/>
              </w:rPr>
            </w:pPr>
          </w:p>
        </w:tc>
        <w:tc>
          <w:tcPr>
            <w:tcW w:w="1000" w:type="dxa"/>
            <w:vAlign w:val="bottom"/>
            <w:tcBorders>
              <w:bottom w:val="single" w:sz="8" w:color="D8E9F4"/>
            </w:tcBorders>
            <w:vMerge w:val="continue"/>
            <w:shd w:val="clear" w:color="auto" w:fill="D8E9F4"/>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280" w:type="dxa"/>
            <w:vAlign w:val="bottom"/>
            <w:tcBorders>
              <w:top w:val="single" w:sz="8" w:color="auto"/>
              <w:right w:val="single" w:sz="8" w:color="auto"/>
            </w:tcBorders>
            <w:shd w:val="clear" w:color="auto" w:fill="80B8DC"/>
          </w:tcPr>
          <w:p>
            <w:pPr>
              <w:jc w:val="center"/>
              <w:ind w:left="66"/>
              <w:spacing w:after="0" w:line="142" w:lineRule="exact"/>
              <w:rPr>
                <w:sz w:val="20"/>
                <w:szCs w:val="20"/>
                <w:color w:val="auto"/>
              </w:rPr>
            </w:pPr>
            <w:r>
              <w:rPr>
                <w:rFonts w:ascii="Arial" w:cs="Arial" w:eastAsia="Arial" w:hAnsi="Arial"/>
                <w:sz w:val="11"/>
                <w:szCs w:val="11"/>
                <w:b w:val="1"/>
                <w:bCs w:val="1"/>
                <w:color w:val="FFFFFF"/>
              </w:rPr>
              <w:t>ROIC</w:t>
            </w:r>
            <w:r>
              <w:rPr>
                <w:rFonts w:ascii="Arial" w:cs="Arial" w:eastAsia="Arial" w:hAnsi="Arial"/>
                <w:sz w:val="16"/>
                <w:szCs w:val="16"/>
                <w:b w:val="1"/>
                <w:bCs w:val="1"/>
                <w:color w:val="FFFFFF"/>
                <w:vertAlign w:val="superscript"/>
              </w:rPr>
              <w:t>(2)</w:t>
            </w:r>
          </w:p>
        </w:tc>
        <w:tc>
          <w:tcPr>
            <w:tcW w:w="1020" w:type="dxa"/>
            <w:vAlign w:val="bottom"/>
            <w:tcBorders>
              <w:top w:val="single" w:sz="8" w:color="auto"/>
              <w:right w:val="single" w:sz="8" w:color="auto"/>
            </w:tcBorders>
          </w:tcPr>
          <w:p>
            <w:pPr>
              <w:jc w:val="center"/>
              <w:spacing w:after="0" w:line="142" w:lineRule="exact"/>
              <w:rPr>
                <w:sz w:val="20"/>
                <w:szCs w:val="20"/>
                <w:color w:val="auto"/>
              </w:rPr>
            </w:pPr>
            <w:r>
              <w:rPr>
                <w:rFonts w:ascii="Arial" w:cs="Arial" w:eastAsia="Arial" w:hAnsi="Arial"/>
                <w:sz w:val="16"/>
                <w:szCs w:val="16"/>
                <w:color w:val="auto"/>
              </w:rPr>
              <w:t>105.3%</w:t>
            </w:r>
          </w:p>
        </w:tc>
        <w:tc>
          <w:tcPr>
            <w:tcW w:w="1980" w:type="dxa"/>
            <w:vAlign w:val="bottom"/>
            <w:tcBorders>
              <w:right w:val="single" w:sz="8" w:color="auto"/>
            </w:tcBorders>
            <w:gridSpan w:val="2"/>
          </w:tcPr>
          <w:p>
            <w:pPr>
              <w:jc w:val="center"/>
              <w:spacing w:after="0" w:line="123" w:lineRule="exact"/>
              <w:rPr>
                <w:sz w:val="20"/>
                <w:szCs w:val="20"/>
                <w:color w:val="auto"/>
              </w:rPr>
            </w:pPr>
            <w:r>
              <w:rPr>
                <w:rFonts w:ascii="Arial" w:cs="Arial" w:eastAsia="Arial" w:hAnsi="Arial"/>
                <w:sz w:val="14"/>
                <w:szCs w:val="14"/>
                <w:color w:val="0171B9"/>
              </w:rPr>
              <w:t>and to be</w:t>
            </w:r>
          </w:p>
        </w:tc>
        <w:tc>
          <w:tcPr>
            <w:tcW w:w="1000" w:type="dxa"/>
            <w:vAlign w:val="bottom"/>
            <w:tcBorders>
              <w:top w:val="single" w:sz="8" w:color="auto"/>
            </w:tcBorders>
            <w:shd w:val="clear" w:color="auto" w:fill="D8E9F4"/>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280" w:type="dxa"/>
            <w:vAlign w:val="bottom"/>
            <w:tcBorders>
              <w:bottom w:val="single" w:sz="8" w:color="auto"/>
              <w:right w:val="single" w:sz="8" w:color="auto"/>
            </w:tcBorders>
            <w:shd w:val="clear" w:color="auto" w:fill="80B8DC"/>
          </w:tcPr>
          <w:p>
            <w:pPr>
              <w:jc w:val="center"/>
              <w:ind w:left="66"/>
              <w:spacing w:after="0"/>
              <w:rPr>
                <w:sz w:val="20"/>
                <w:szCs w:val="20"/>
                <w:color w:val="auto"/>
              </w:rPr>
            </w:pPr>
            <w:r>
              <w:rPr>
                <w:rFonts w:ascii="Arial" w:cs="Arial" w:eastAsia="Arial" w:hAnsi="Arial"/>
                <w:sz w:val="16"/>
                <w:szCs w:val="16"/>
                <w:b w:val="1"/>
                <w:bCs w:val="1"/>
                <w:color w:val="FFFFFF"/>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(23.0%)</w:t>
            </w:r>
          </w:p>
        </w:tc>
        <w:tc>
          <w:tcPr>
            <w:tcW w:w="1980" w:type="dxa"/>
            <w:vAlign w:val="bottom"/>
            <w:tcBorders>
              <w:bottom w:val="single" w:sz="8" w:color="auto"/>
              <w:right w:val="single" w:sz="8" w:color="auto"/>
            </w:tcBorders>
            <w:gridSpan w:val="2"/>
          </w:tcPr>
          <w:p>
            <w:pPr>
              <w:jc w:val="center"/>
              <w:spacing w:after="0" w:line="243" w:lineRule="exact"/>
              <w:rPr>
                <w:sz w:val="20"/>
                <w:szCs w:val="20"/>
                <w:color w:val="auto"/>
              </w:rPr>
            </w:pPr>
            <w:r>
              <w:rPr>
                <w:rFonts w:ascii="Arial" w:cs="Arial" w:eastAsia="Arial" w:hAnsi="Arial"/>
                <w:sz w:val="16"/>
                <w:szCs w:val="16"/>
                <w:color w:val="0171B9"/>
                <w:w w:val="97"/>
              </w:rPr>
              <w:t>disclosed</w:t>
            </w:r>
            <w:r>
              <w:rPr>
                <w:rFonts w:ascii="Arial" w:cs="Arial" w:eastAsia="Arial" w:hAnsi="Arial"/>
                <w:sz w:val="24"/>
                <w:szCs w:val="24"/>
                <w:color w:val="0171B9"/>
                <w:w w:val="97"/>
                <w:vertAlign w:val="superscript"/>
              </w:rPr>
              <w:t>(3)</w:t>
            </w:r>
          </w:p>
        </w:tc>
        <w:tc>
          <w:tcPr>
            <w:tcW w:w="1000" w:type="dxa"/>
            <w:vAlign w:val="bottom"/>
            <w:tcBorders>
              <w:bottom w:val="single" w:sz="8" w:color="auto"/>
            </w:tcBorders>
            <w:shd w:val="clear" w:color="auto" w:fill="D8E9F4"/>
          </w:tcPr>
          <w:p>
            <w:pPr>
              <w:jc w:val="center"/>
              <w:spacing w:after="0"/>
              <w:rPr>
                <w:sz w:val="20"/>
                <w:szCs w:val="20"/>
                <w:color w:val="auto"/>
              </w:rPr>
            </w:pPr>
            <w:r>
              <w:rPr>
                <w:rFonts w:ascii="Arial" w:cs="Arial" w:eastAsia="Arial" w:hAnsi="Arial"/>
                <w:sz w:val="16"/>
                <w:szCs w:val="16"/>
                <w:color w:val="auto"/>
                <w:w w:val="99"/>
              </w:rPr>
              <w:t>TBD</w:t>
            </w:r>
          </w:p>
        </w:tc>
        <w:tc>
          <w:tcPr>
            <w:tcW w:w="0" w:type="dxa"/>
            <w:vAlign w:val="bottom"/>
          </w:tcPr>
          <w:p>
            <w:pPr>
              <w:spacing w:after="0"/>
              <w:rPr>
                <w:sz w:val="1"/>
                <w:szCs w:val="1"/>
                <w:color w:val="auto"/>
              </w:rPr>
            </w:pPr>
          </w:p>
        </w:tc>
      </w:tr>
      <w:tr>
        <w:trPr>
          <w:trHeight w:val="257"/>
        </w:trPr>
        <w:tc>
          <w:tcPr>
            <w:tcW w:w="1280" w:type="dxa"/>
            <w:vAlign w:val="bottom"/>
            <w:tcBorders>
              <w:right w:val="single" w:sz="8" w:color="auto"/>
            </w:tcBorders>
          </w:tcPr>
          <w:p>
            <w:pPr>
              <w:spacing w:after="0"/>
              <w:rPr>
                <w:sz w:val="22"/>
                <w:szCs w:val="22"/>
                <w:color w:val="auto"/>
              </w:rPr>
            </w:pPr>
          </w:p>
        </w:tc>
        <w:tc>
          <w:tcPr>
            <w:tcW w:w="1020" w:type="dxa"/>
            <w:vAlign w:val="bottom"/>
            <w:tcBorders>
              <w:bottom w:val="single" w:sz="8" w:color="0171B9"/>
              <w:right w:val="single" w:sz="8" w:color="auto"/>
            </w:tcBorders>
            <w:shd w:val="clear" w:color="auto" w:fill="0171B9"/>
          </w:tcPr>
          <w:p>
            <w:pPr>
              <w:jc w:val="center"/>
              <w:spacing w:after="0"/>
              <w:rPr>
                <w:sz w:val="20"/>
                <w:szCs w:val="20"/>
                <w:color w:val="auto"/>
              </w:rPr>
            </w:pPr>
            <w:r>
              <w:rPr>
                <w:rFonts w:ascii="Arial" w:cs="Arial" w:eastAsia="Arial" w:hAnsi="Arial"/>
                <w:sz w:val="16"/>
                <w:szCs w:val="16"/>
                <w:color w:val="FFFFFF"/>
              </w:rPr>
              <w:t>109.7%</w:t>
            </w:r>
          </w:p>
        </w:tc>
        <w:tc>
          <w:tcPr>
            <w:tcW w:w="940" w:type="dxa"/>
            <w:vAlign w:val="bottom"/>
            <w:tcBorders>
              <w:bottom w:val="single" w:sz="8" w:color="0171B9"/>
              <w:right w:val="single" w:sz="8" w:color="auto"/>
            </w:tcBorders>
            <w:shd w:val="clear" w:color="auto" w:fill="0171B9"/>
          </w:tcPr>
          <w:p>
            <w:pPr>
              <w:ind w:left="320"/>
              <w:spacing w:after="0"/>
              <w:rPr>
                <w:sz w:val="20"/>
                <w:szCs w:val="20"/>
                <w:color w:val="auto"/>
              </w:rPr>
            </w:pPr>
            <w:r>
              <w:rPr>
                <w:rFonts w:ascii="Arial" w:cs="Arial" w:eastAsia="Arial" w:hAnsi="Arial"/>
                <w:sz w:val="16"/>
                <w:szCs w:val="16"/>
                <w:color w:val="FFFFFF"/>
              </w:rPr>
              <w:t>TBD</w:t>
            </w:r>
          </w:p>
        </w:tc>
        <w:tc>
          <w:tcPr>
            <w:tcW w:w="1040" w:type="dxa"/>
            <w:vAlign w:val="bottom"/>
            <w:tcBorders>
              <w:bottom w:val="single" w:sz="8" w:color="0171B9"/>
              <w:right w:val="single" w:sz="8" w:color="auto"/>
            </w:tcBorders>
            <w:shd w:val="clear" w:color="auto" w:fill="0171B9"/>
          </w:tcPr>
          <w:p>
            <w:pPr>
              <w:ind w:left="360"/>
              <w:spacing w:after="0"/>
              <w:rPr>
                <w:sz w:val="20"/>
                <w:szCs w:val="20"/>
                <w:color w:val="auto"/>
              </w:rPr>
            </w:pPr>
            <w:r>
              <w:rPr>
                <w:rFonts w:ascii="Arial" w:cs="Arial" w:eastAsia="Arial" w:hAnsi="Arial"/>
                <w:sz w:val="16"/>
                <w:szCs w:val="16"/>
                <w:color w:val="FFFFFF"/>
              </w:rPr>
              <w:t>TBD</w:t>
            </w:r>
          </w:p>
        </w:tc>
        <w:tc>
          <w:tcPr>
            <w:tcW w:w="1000" w:type="dxa"/>
            <w:vAlign w:val="bottom"/>
            <w:tcBorders>
              <w:bottom w:val="single" w:sz="8" w:color="0171B9"/>
            </w:tcBorders>
            <w:shd w:val="clear" w:color="auto" w:fill="0171B9"/>
          </w:tcPr>
          <w:p>
            <w:pPr>
              <w:jc w:val="center"/>
              <w:spacing w:after="0"/>
              <w:rPr>
                <w:sz w:val="20"/>
                <w:szCs w:val="20"/>
                <w:color w:val="auto"/>
              </w:rPr>
            </w:pPr>
            <w:r>
              <w:rPr>
                <w:rFonts w:ascii="Arial" w:cs="Arial" w:eastAsia="Arial" w:hAnsi="Arial"/>
                <w:sz w:val="16"/>
                <w:szCs w:val="16"/>
                <w:b w:val="1"/>
                <w:bCs w:val="1"/>
                <w:color w:val="FFFFFF"/>
                <w:w w:val="97"/>
              </w:rPr>
              <w:t>TBD</w:t>
            </w:r>
          </w:p>
        </w:tc>
        <w:tc>
          <w:tcPr>
            <w:tcW w:w="0" w:type="dxa"/>
            <w:vAlign w:val="bottom"/>
          </w:tcPr>
          <w:p>
            <w:pPr>
              <w:spacing w:after="0"/>
              <w:rPr>
                <w:sz w:val="1"/>
                <w:szCs w:val="1"/>
                <w:color w:val="auto"/>
              </w:rPr>
            </w:pP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1414145</wp:posOffset>
            </wp:positionV>
            <wp:extent cx="77152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left="1106"/>
        <w:spacing w:after="0"/>
        <w:rPr>
          <w:sz w:val="20"/>
          <w:szCs w:val="20"/>
          <w:color w:val="auto"/>
        </w:rPr>
      </w:pPr>
      <w:r>
        <w:rPr>
          <w:rFonts w:ascii="Arial" w:cs="Arial" w:eastAsia="Arial" w:hAnsi="Arial"/>
          <w:sz w:val="16"/>
          <w:szCs w:val="16"/>
          <w:b w:val="1"/>
          <w:bCs w:val="1"/>
          <w:color w:val="FFFFFF"/>
        </w:rPr>
        <w:t>2022-2024 S&amp;P 500 Relative TSR</w:t>
      </w:r>
      <w:r>
        <w:rPr>
          <w:rFonts w:ascii="Arial" w:cs="Arial" w:eastAsia="Arial" w:hAnsi="Arial"/>
          <w:sz w:val="24"/>
          <w:szCs w:val="24"/>
          <w:b w:val="1"/>
          <w:bCs w:val="1"/>
          <w:color w:val="FFFFFF"/>
          <w:vertAlign w:val="superscript"/>
        </w:rPr>
        <w:t>(4)</w:t>
      </w:r>
      <w:r>
        <w:rPr>
          <w:rFonts w:ascii="Arial" w:cs="Arial" w:eastAsia="Arial" w:hAnsi="Arial"/>
          <w:sz w:val="16"/>
          <w:szCs w:val="16"/>
          <w:b w:val="1"/>
          <w:bCs w:val="1"/>
          <w:color w:val="FFFFFF"/>
        </w:rPr>
        <w:t xml:space="preserve">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-325755</wp:posOffset>
            </wp:positionV>
            <wp:extent cx="3394710" cy="16459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394710" cy="1645920"/>
                    </a:xfrm>
                    <a:prstGeom prst="rect">
                      <a:avLst/>
                    </a:prstGeom>
                    <a:noFill/>
                  </pic:spPr>
                </pic:pic>
              </a:graphicData>
            </a:graphic>
          </wp:anchor>
        </w:drawing>
      </w:r>
    </w:p>
    <w:p>
      <w:pPr>
        <w:spacing w:after="0" w:line="224" w:lineRule="exact"/>
        <w:rPr>
          <w:sz w:val="20"/>
          <w:szCs w:val="20"/>
          <w:color w:val="auto"/>
        </w:rPr>
      </w:pPr>
    </w:p>
    <w:p>
      <w:pPr>
        <w:ind w:left="526"/>
        <w:spacing w:after="0"/>
        <w:rPr>
          <w:sz w:val="20"/>
          <w:szCs w:val="20"/>
          <w:color w:val="auto"/>
        </w:rPr>
      </w:pPr>
      <w:r>
        <w:rPr>
          <w:rFonts w:ascii="Arial" w:cs="Arial" w:eastAsia="Arial" w:hAnsi="Arial"/>
          <w:sz w:val="16"/>
          <w:szCs w:val="16"/>
          <w:color w:val="auto"/>
        </w:rPr>
        <w:t>Payout for Performance Relative to S&amp;P 500 TSR Percentage</w:t>
      </w:r>
    </w:p>
    <w:p>
      <w:pPr>
        <w:spacing w:after="0" w:line="304" w:lineRule="exact"/>
        <w:rPr>
          <w:sz w:val="20"/>
          <w:szCs w:val="20"/>
          <w:color w:val="auto"/>
        </w:rPr>
      </w:pPr>
    </w:p>
    <w:p>
      <w:pPr>
        <w:ind w:left="146"/>
        <w:spacing w:after="0"/>
        <w:rPr>
          <w:sz w:val="20"/>
          <w:szCs w:val="20"/>
          <w:color w:val="auto"/>
        </w:rPr>
      </w:pPr>
      <w:r>
        <w:rPr>
          <w:rFonts w:ascii="Arial" w:cs="Arial" w:eastAsia="Arial" w:hAnsi="Arial"/>
          <w:sz w:val="16"/>
          <w:szCs w:val="16"/>
          <w:color w:val="auto"/>
        </w:rPr>
        <w:t>Amgen TSR ≥ 75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 = 30% (Maximum)</w:t>
      </w:r>
    </w:p>
    <w:p>
      <w:pPr>
        <w:spacing w:after="0" w:line="164" w:lineRule="exact"/>
        <w:rPr>
          <w:sz w:val="20"/>
          <w:szCs w:val="20"/>
          <w:color w:val="auto"/>
        </w:rPr>
      </w:pPr>
    </w:p>
    <w:p>
      <w:pPr>
        <w:ind w:left="146"/>
        <w:spacing w:after="0"/>
        <w:rPr>
          <w:sz w:val="20"/>
          <w:szCs w:val="20"/>
          <w:color w:val="auto"/>
        </w:rPr>
      </w:pPr>
      <w:r>
        <w:rPr>
          <w:rFonts w:ascii="Arial" w:cs="Arial" w:eastAsia="Arial" w:hAnsi="Arial"/>
          <w:sz w:val="16"/>
          <w:szCs w:val="16"/>
          <w:color w:val="auto"/>
        </w:rPr>
        <w:t>Amgen TSR = 50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w:t>
      </w:r>
      <w:r>
        <w:rPr>
          <w:rFonts w:ascii="Arial" w:cs="Arial" w:eastAsia="Arial" w:hAnsi="Arial"/>
          <w:sz w:val="10"/>
          <w:szCs w:val="10"/>
          <w:color w:val="auto"/>
        </w:rPr>
        <w:t>‡</w:t>
      </w:r>
      <w:r>
        <w:rPr>
          <w:rFonts w:ascii="Arial" w:cs="Arial" w:eastAsia="Arial" w:hAnsi="Arial"/>
          <w:sz w:val="16"/>
          <w:szCs w:val="16"/>
          <w:color w:val="auto"/>
        </w:rPr>
        <w:t xml:space="preserve"> = 0% (Target)</w:t>
      </w:r>
    </w:p>
    <w:p>
      <w:pPr>
        <w:spacing w:after="0" w:line="135" w:lineRule="exact"/>
        <w:rPr>
          <w:sz w:val="20"/>
          <w:szCs w:val="20"/>
          <w:color w:val="auto"/>
        </w:rPr>
      </w:pPr>
    </w:p>
    <w:p>
      <w:pPr>
        <w:ind w:left="146"/>
        <w:spacing w:after="0"/>
        <w:rPr>
          <w:sz w:val="20"/>
          <w:szCs w:val="20"/>
          <w:color w:val="auto"/>
        </w:rPr>
      </w:pPr>
      <w:r>
        <w:rPr>
          <w:rFonts w:ascii="Arial" w:cs="Arial" w:eastAsia="Arial" w:hAnsi="Arial"/>
          <w:sz w:val="16"/>
          <w:szCs w:val="16"/>
          <w:color w:val="auto"/>
        </w:rPr>
        <w:t>Amgen TSR ≤ 25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 = -30% (Minimum)</w:t>
      </w:r>
    </w:p>
    <w:p>
      <w:pPr>
        <w:spacing w:after="0" w:line="265" w:lineRule="exact"/>
        <w:rPr>
          <w:sz w:val="20"/>
          <w:szCs w:val="20"/>
          <w:color w:val="auto"/>
        </w:rPr>
      </w:pPr>
    </w:p>
    <w:p>
      <w:pPr>
        <w:ind w:left="286" w:right="20" w:hanging="286"/>
        <w:spacing w:after="0" w:line="258" w:lineRule="auto"/>
        <w:tabs>
          <w:tab w:leader="none" w:pos="286" w:val="left"/>
        </w:tabs>
        <w:numPr>
          <w:ilvl w:val="0"/>
          <w:numId w:val="92"/>
        </w:numPr>
        <w:rPr>
          <w:rFonts w:ascii="Arial" w:cs="Arial" w:eastAsia="Arial" w:hAnsi="Arial"/>
          <w:sz w:val="9"/>
          <w:szCs w:val="9"/>
          <w:color w:val="auto"/>
        </w:rPr>
      </w:pPr>
      <w:r>
        <w:rPr>
          <w:rFonts w:ascii="Arial" w:cs="Arial" w:eastAsia="Arial" w:hAnsi="Arial"/>
          <w:sz w:val="14"/>
          <w:szCs w:val="14"/>
          <w:color w:val="auto"/>
        </w:rPr>
        <w:t>If Amgen’s TSR is less than 0, the relative TSR modifier can be no greater than 0%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60325</wp:posOffset>
            </wp:positionV>
            <wp:extent cx="2880360" cy="9258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880360" cy="925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34"/>
            <w:col w:w="5406"/>
          </w:cols>
          <w:pgMar w:left="320" w:top="48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540" w:hanging="424"/>
        <w:spacing w:after="0" w:line="217" w:lineRule="auto"/>
        <w:tabs>
          <w:tab w:leader="none" w:pos="540" w:val="left"/>
        </w:tabs>
        <w:numPr>
          <w:ilvl w:val="0"/>
          <w:numId w:val="93"/>
        </w:numPr>
        <w:rPr>
          <w:rFonts w:ascii="Arial" w:cs="Arial" w:eastAsia="Arial" w:hAnsi="Arial"/>
          <w:sz w:val="22"/>
          <w:szCs w:val="22"/>
          <w:color w:val="auto"/>
          <w:vertAlign w:val="superscript"/>
        </w:rPr>
      </w:pPr>
      <w:r>
        <w:rPr>
          <w:rFonts w:ascii="Arial" w:cs="Arial" w:eastAsia="Arial" w:hAnsi="Arial"/>
          <w:sz w:val="14"/>
          <w:szCs w:val="14"/>
          <w:color w:val="auto"/>
        </w:rPr>
        <w:t xml:space="preserve">The 2022 non-GAAP operating measures (EPS growth and ROIC) with respect to the 2022-2024 performance period are as reported and reconciled in </w:t>
      </w:r>
      <w:r>
        <w:rPr>
          <w:rFonts w:ascii="Arial" w:cs="Arial" w:eastAsia="Arial" w:hAnsi="Arial"/>
          <w:sz w:val="14"/>
          <w:szCs w:val="14"/>
          <w:b w:val="1"/>
          <w:bCs w:val="1"/>
          <w:color w:val="auto"/>
        </w:rPr>
        <w:t>Appendix B</w:t>
      </w:r>
      <w:r>
        <w:rPr>
          <w:rFonts w:ascii="Arial" w:cs="Arial" w:eastAsia="Arial" w:hAnsi="Arial"/>
          <w:sz w:val="14"/>
          <w:szCs w:val="14"/>
          <w:color w:val="auto"/>
        </w:rPr>
        <w:t>, except that operating measures were further adjusted to exclude the impact of direct on-going revenues and expenses from the acquisition of ChemoCentryx, Inc. as prescribed by the 2022-2024 performance goals document when it was established in March 2022. For this purpose, non-GAAP net income was increased by $50 million, or $0.09 per share.</w:t>
      </w:r>
    </w:p>
    <w:p>
      <w:pPr>
        <w:jc w:val="both"/>
        <w:ind w:left="540" w:right="20" w:hanging="424"/>
        <w:spacing w:after="0" w:line="202" w:lineRule="auto"/>
        <w:tabs>
          <w:tab w:leader="none" w:pos="540" w:val="left"/>
        </w:tabs>
        <w:numPr>
          <w:ilvl w:val="0"/>
          <w:numId w:val="93"/>
        </w:numPr>
        <w:rPr>
          <w:rFonts w:ascii="Arial" w:cs="Arial" w:eastAsia="Arial" w:hAnsi="Arial"/>
          <w:sz w:val="22"/>
          <w:szCs w:val="22"/>
          <w:color w:val="auto"/>
          <w:vertAlign w:val="superscript"/>
        </w:rPr>
      </w:pPr>
      <w:r>
        <w:rPr>
          <w:rFonts w:ascii="Arial" w:cs="Arial" w:eastAsia="Arial" w:hAnsi="Arial"/>
          <w:sz w:val="14"/>
          <w:szCs w:val="14"/>
          <w:color w:val="auto"/>
        </w:rPr>
        <w:t>For performance periods commencing on or after January 1, 2020, ROIC includes cash in invested capital to better align with our strategic priority of “Innovative Medicines” (which contemplates pursuit of innovation both internally and externally) by removing certain potential disincentives for acquisitions that could yield innovative medicines and drive shareholder value.</w:t>
      </w:r>
    </w:p>
    <w:p>
      <w:pPr>
        <w:spacing w:after="0" w:line="2" w:lineRule="exact"/>
        <w:rPr>
          <w:rFonts w:ascii="Arial" w:cs="Arial" w:eastAsia="Arial" w:hAnsi="Arial"/>
          <w:sz w:val="22"/>
          <w:szCs w:val="22"/>
          <w:color w:val="auto"/>
          <w:vertAlign w:val="superscript"/>
        </w:rPr>
      </w:pPr>
    </w:p>
    <w:p>
      <w:pPr>
        <w:ind w:left="540" w:hanging="424"/>
        <w:spacing w:after="0" w:line="187" w:lineRule="auto"/>
        <w:tabs>
          <w:tab w:leader="none" w:pos="540" w:val="left"/>
        </w:tabs>
        <w:numPr>
          <w:ilvl w:val="0"/>
          <w:numId w:val="93"/>
        </w:numPr>
        <w:rPr>
          <w:rFonts w:ascii="Arial" w:cs="Arial" w:eastAsia="Arial" w:hAnsi="Arial"/>
          <w:sz w:val="18"/>
          <w:szCs w:val="18"/>
          <w:color w:val="auto"/>
          <w:vertAlign w:val="superscript"/>
        </w:rPr>
      </w:pPr>
      <w:r>
        <w:rPr>
          <w:rFonts w:ascii="Arial" w:cs="Arial" w:eastAsia="Arial" w:hAnsi="Arial"/>
          <w:sz w:val="12"/>
          <w:szCs w:val="12"/>
          <w:color w:val="auto"/>
        </w:rPr>
        <w:t>2023 and 2024 targets are pre-established, but are not being disclosed at this time as they are competitively sensitive.</w:t>
      </w:r>
    </w:p>
    <w:p>
      <w:pPr>
        <w:ind w:left="540" w:right="20" w:hanging="424"/>
        <w:spacing w:after="0" w:line="193" w:lineRule="auto"/>
        <w:tabs>
          <w:tab w:leader="none" w:pos="540" w:val="left"/>
        </w:tabs>
        <w:numPr>
          <w:ilvl w:val="0"/>
          <w:numId w:val="93"/>
        </w:numPr>
        <w:rPr>
          <w:rFonts w:ascii="Arial" w:cs="Arial" w:eastAsia="Arial" w:hAnsi="Arial"/>
          <w:sz w:val="22"/>
          <w:szCs w:val="22"/>
          <w:color w:val="auto"/>
          <w:vertAlign w:val="superscript"/>
        </w:rPr>
      </w:pPr>
      <w:r>
        <w:rPr>
          <w:rFonts w:ascii="Arial" w:cs="Arial" w:eastAsia="Arial" w:hAnsi="Arial"/>
          <w:sz w:val="14"/>
          <w:szCs w:val="14"/>
          <w:color w:val="auto"/>
        </w:rPr>
        <w:t>TSR Measurement Points = average daily closing price of stock for the first 20 trading days beginning on the grant date and the last 20 trading days of the performance period.</w:t>
      </w:r>
    </w:p>
    <w:p>
      <w:pPr>
        <w:sectPr>
          <w:pgSz w:w="11900" w:h="16838" w:orient="portrait"/>
          <w:cols w:equalWidth="0" w:num="1">
            <w:col w:w="11140"/>
          </w:cols>
          <w:pgMar w:left="320" w:top="486" w:right="439" w:bottom="1440" w:gutter="0" w:footer="0" w:header="0"/>
          <w:type w:val="continuous"/>
        </w:sectPr>
      </w:pPr>
    </w:p>
    <w:p>
      <w:pPr>
        <w:spacing w:after="0" w:line="118" w:lineRule="exact"/>
        <w:rPr>
          <w:sz w:val="20"/>
          <w:szCs w:val="20"/>
          <w:color w:val="auto"/>
        </w:r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Compensation Discussion and Analysis</w:t>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120" w:right="920"/>
        <w:spacing w:after="0" w:line="271" w:lineRule="auto"/>
        <w:rPr>
          <w:sz w:val="20"/>
          <w:szCs w:val="20"/>
          <w:color w:val="auto"/>
        </w:rPr>
      </w:pPr>
      <w:r>
        <w:rPr>
          <w:rFonts w:ascii="Arial" w:cs="Arial" w:eastAsia="Arial" w:hAnsi="Arial"/>
          <w:sz w:val="18"/>
          <w:szCs w:val="18"/>
          <w:b w:val="1"/>
          <w:bCs w:val="1"/>
          <w:color w:val="auto"/>
        </w:rPr>
        <w:t>Performance Award Goal Design for the 2023–2025 Performance Period</w:t>
      </w:r>
    </w:p>
    <w:p>
      <w:pPr>
        <w:spacing w:after="0" w:line="62"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As part of its regular review and consideration of the performance award program, the Compensation Committee evaluated potential performance award goal designs for the 2023-2025 performance period (January 1, 2023 to December 31, 2025) with input from management and FW Cook at its December 2022 and March 2023 meetings. Based on such evaluations, the Compensation Committee retained the 2022-2024 performance period goal design for the 2023-2025 performance period, including the requirement that the TSR modifier could not effect a payout greater than target if our absolute TSR over the performance period was less than zero.</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Equivalents</w:t>
      </w:r>
    </w:p>
    <w:p>
      <w:pPr>
        <w:spacing w:after="0" w:line="120"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RSUs and performance units have dividend equivalent rights. Such dividend equivalents are payable only when, and to the extent that, the underlying RSUs and performance units are vested, earned, and converted to shares of Common Stock. The dividend equivalents may be paid in stock (with cash paid for fractional shares) or in cash at the Compensation Committee’s election. Stock options do not have dividend equivalent rights.</w:t>
      </w:r>
    </w:p>
    <w:p>
      <w:pPr>
        <w:spacing w:after="0" w:line="188"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b w:val="1"/>
          <w:bCs w:val="1"/>
          <w:color w:val="auto"/>
        </w:rPr>
        <w:t>Plan Minimum Vesting Period of One Year; Actual Minimum Generally Two Years</w:t>
      </w:r>
    </w:p>
    <w:p>
      <w:pPr>
        <w:spacing w:after="0" w:line="62"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Mindful of stockholder concerns and best practices, our equity incentive plan requires that at least 95% of all equity awards, including RSUs, restricted stock, stock options, performance awards, and</w:t>
      </w:r>
    </w:p>
    <w:p>
      <w:pPr>
        <w:spacing w:after="0" w:line="273"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64</w:t>
      </w:r>
      <w:r>
        <w:rPr>
          <w:sz w:val="20"/>
          <w:szCs w:val="20"/>
          <w:color w:val="auto"/>
        </w:rPr>
        <w:tab/>
      </w:r>
      <w:r>
        <w:rPr>
          <w:sz w:val="1"/>
          <w:szCs w:val="1"/>
          <w:color w:val="auto"/>
        </w:rPr>
        <w:drawing>
          <wp:inline distT="0" distB="0" distL="0" distR="0">
            <wp:extent cx="582930" cy="137160"/>
            <wp:effectExtent l="0" t="0" r="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dividend equivalents granted to staff members (including NEOs) will be subject to a minimum vesting period of no less than one year. Our annual stock option and RSU grants generally vest over four years in three approximately equal annual installments on the second, third, and fourth anniversaries of the grant date. This delayed vesting schedule further underscores the long-term focus of our LTI equity award program and enhances retention of staff members.</w:t>
      </w:r>
    </w:p>
    <w:p>
      <w:pPr>
        <w:spacing w:after="0" w:line="188"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color w:val="auto"/>
        </w:rPr>
        <w:t>Long-Term Incentive Equity Awards Granted to Named Executive Officers in 2023</w:t>
      </w:r>
    </w:p>
    <w:p>
      <w:pPr>
        <w:spacing w:after="0" w:line="6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March 2023, the Compensation Committee reviewed the LTI equity award grant values proposed to be granted to NEOs in 2023. The Compensation Committee approved an LTI equity award value of the same value ($15.9 million) for Mr. Bradway in 2023 as that of 2022 to recognize his successful leadership and execution of the Company’s strategic priorities as well as his experience and tenure in his role. The Compensation Committee also maintained LTI equity award grant values to those of 2022 for each of the other NEOs. In recognition of the successful leadership of their respective functions, scope of responsibilities across roles, and experience, the Compensation Committee approved LTI grant values of $5 million for Mr. Gordon, $4.5 million for each of Dr. Reese and Mr. Griffith, and $4.2 million for Mr. Santos. The Compensation Committee concluded that the LTI equity award values granted were appropriate because they recognize and reward strong execution by our executives with compensation that is substantially at risk, performance-based, and focused on the longer-term.</w:t>
      </w:r>
    </w:p>
    <w:p>
      <w:pPr>
        <w:sectPr>
          <w:pgSz w:w="11900" w:h="16838" w:orient="portrait"/>
          <w:cols w:equalWidth="0" w:num="2">
            <w:col w:w="5400" w:space="340"/>
            <w:col w:w="5400"/>
          </w:cols>
          <w:pgMar w:left="320" w:top="486" w:right="4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Compensation Discussion and Analysis</w:t>
      </w:r>
    </w:p>
    <w:p>
      <w:pPr>
        <w:sectPr>
          <w:pgSz w:w="11900" w:h="16838" w:orient="portrait"/>
          <w:cols w:equalWidth="0" w:num="1">
            <w:col w:w="11140"/>
          </w:cols>
          <w:pgMar w:left="320" w:top="486" w:right="439" w:bottom="1440" w:gutter="0" w:footer="0" w:header="0"/>
        </w:sectPr>
      </w:pPr>
    </w:p>
    <w:p>
      <w:pPr>
        <w:spacing w:after="0" w:line="3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Annual Cash Incentive Awards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Incentive Plan</w:t>
      </w:r>
    </w:p>
    <w:p>
      <w:pPr>
        <w:spacing w:after="0" w:line="120"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Annual cash incentive awards to our NEOs are generally made under our stockholder-approved Executive Incentive Plan, or EIP, which employs a formula that establishes a maximum award possible for each participant based on our non-GAAP net income.</w:t>
      </w:r>
      <w:r>
        <w:rPr>
          <w:rFonts w:ascii="Arial" w:cs="Arial" w:eastAsia="Arial" w:hAnsi="Arial"/>
          <w:sz w:val="12"/>
          <w:szCs w:val="12"/>
          <w:color w:val="auto"/>
        </w:rPr>
        <w:t>(1)</w:t>
      </w:r>
      <w:r>
        <w:rPr>
          <w:rFonts w:ascii="Arial" w:cs="Arial" w:eastAsia="Arial" w:hAnsi="Arial"/>
          <w:sz w:val="17"/>
          <w:szCs w:val="17"/>
          <w:color w:val="auto"/>
        </w:rPr>
        <w:t xml:space="preserve"> For 2022, each of our NEOs was a participant in the EIP. This year, as in the past, actual awards under the EIP are determined by the Compensation Committee using its negative discretion under the EIP, with award determinations based on Company performance against the composite final score of the pre-established 2022 Company performance goals. In evaluating and confirming this approach, the Compensation Committee also considers the contributions of each participant’s role to our success during the year.</w:t>
      </w:r>
    </w:p>
    <w:p>
      <w:pPr>
        <w:spacing w:after="0" w:line="99"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In March 2022, the Compensation Committee determined for the EIP participants, the definition of non-GAAP net income</w:t>
      </w:r>
      <w:r>
        <w:rPr>
          <w:rFonts w:ascii="Arial" w:cs="Arial" w:eastAsia="Arial" w:hAnsi="Arial"/>
          <w:sz w:val="12"/>
          <w:szCs w:val="12"/>
          <w:color w:val="auto"/>
        </w:rPr>
        <w:t>(1)</w:t>
      </w:r>
      <w:r>
        <w:rPr>
          <w:rFonts w:ascii="Arial" w:cs="Arial" w:eastAsia="Arial" w:hAnsi="Arial"/>
          <w:sz w:val="17"/>
          <w:szCs w:val="17"/>
          <w:color w:val="auto"/>
        </w:rPr>
        <w:t>, the maximum award payable for each participant, and the target annual cash incentive award opportunities. In addition, the Compensation Committee determined the plan design for the Global Management Incentive Plan, or GMIP, and Global Performance Incentive Plan, or GPIP, and the 2022 Company performance goals and weightings, and the percentages payable for threshold, target, and maximum performance.</w:t>
      </w:r>
    </w:p>
    <w:p>
      <w:pPr>
        <w:spacing w:after="0" w:line="94"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The maximum award under the EIP continued to be expressed as the EIP non-GAAP net income</w:t>
      </w:r>
      <w:r>
        <w:rPr>
          <w:rFonts w:ascii="Arial" w:cs="Arial" w:eastAsia="Arial" w:hAnsi="Arial"/>
          <w:sz w:val="12"/>
          <w:szCs w:val="12"/>
          <w:color w:val="auto"/>
        </w:rPr>
        <w:t>(1)</w:t>
      </w:r>
      <w:r>
        <w:rPr>
          <w:rFonts w:ascii="Arial" w:cs="Arial" w:eastAsia="Arial" w:hAnsi="Arial"/>
          <w:sz w:val="17"/>
          <w:szCs w:val="17"/>
          <w:color w:val="auto"/>
        </w:rPr>
        <w:t xml:space="preserve"> definition and, consistent with past years, was 0.125% for our CEO and 0.075% for each of the other NEOs. As discussed previously, both historically and in 2022, the Compensation Committee has paid well below the maximum award permitted under the EIP based on a practice of exercising negative discretion by using the Company performance goals composite final score under our GMIP as applied to the participant’s target annual cash incentive award opportunity to determine actual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183515</wp:posOffset>
            </wp:positionV>
            <wp:extent cx="77152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color w:val="0171B9"/>
        </w:rPr>
        <w:t>Target Annual Cash Incentive Award Opportunity</w:t>
      </w:r>
    </w:p>
    <w:p>
      <w:pPr>
        <w:spacing w:after="0" w:line="11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After review of market data and consultation with FW Cook, the Compensation Committee determined that the target annual cash incentive award opportunities for our NEOs would remain the same as those of 2021 (150% of base salary for Mr. Bradway and 100% for each of the other NEOs).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Company Performance Goals</w:t>
      </w:r>
    </w:p>
    <w:p>
      <w:pPr>
        <w:spacing w:after="0" w:line="120"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While all of the goals measure single-year performance, taken as a whole, they are intended to positively position us for both near- and long-term success, support our strategic priorities, and create stockholder value. The 2022 Company performance goals approved by the Compensation Committee were based on our 2022 budget and forecast at the time of such approval and are discussed on the following page.</w:t>
      </w:r>
    </w:p>
    <w:p>
      <w:pPr>
        <w:spacing w:after="0" w:line="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For the 2022 Company performance goals, in March 2022, management recommended, and the Compensation Committee reviewed and concurred with, replacing the “Digital Transformation” goal with the new annual priority of “Process Simplification and Automation” to focus our entire Company on activities to drive end-to-end simplification of our processes, strive to significantly increase the appropriate use of automation technologies across the Company, and accelerate adoption of digital automation at all levels of our organization. Additionally, after the successful adoption and delivery of our 2021 ESG goal, our Compensation Committee adopted an expanded ESG goal for our 2022 Company performance goals to continue to challenge ourselves by advancing towards our 2027 environmental sustainability goals and by expanding the number of leaders accountable for action in support of our diversity, inclusion, and belonging program.</w:t>
      </w:r>
    </w:p>
    <w:p>
      <w:pPr>
        <w:spacing w:after="0" w:line="688"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53"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22"/>
          <w:szCs w:val="22"/>
          <w:color w:val="auto"/>
          <w:vertAlign w:val="superscript"/>
        </w:rPr>
      </w:pPr>
      <w:r>
        <w:rPr>
          <w:rFonts w:ascii="Arial" w:cs="Arial" w:eastAsia="Arial" w:hAnsi="Arial"/>
          <w:sz w:val="14"/>
          <w:szCs w:val="14"/>
          <w:color w:val="auto"/>
        </w:rPr>
        <w:t xml:space="preserve">Non-GAAP net income for purposes of the EIP is as reported and reconciled in </w:t>
      </w:r>
      <w:r>
        <w:rPr>
          <w:rFonts w:ascii="Arial" w:cs="Arial" w:eastAsia="Arial" w:hAnsi="Arial"/>
          <w:sz w:val="14"/>
          <w:szCs w:val="14"/>
          <w:b w:val="1"/>
          <w:bCs w:val="1"/>
          <w:color w:val="auto"/>
        </w:rPr>
        <w:t>Appendix B</w:t>
      </w:r>
      <w:r>
        <w:rPr>
          <w:rFonts w:ascii="Arial" w:cs="Arial" w:eastAsia="Arial" w:hAnsi="Arial"/>
          <w:sz w:val="14"/>
          <w:szCs w:val="14"/>
          <w:color w:val="auto"/>
        </w:rPr>
        <w:t>.</w:t>
      </w:r>
    </w:p>
    <w:p>
      <w:pPr>
        <w:spacing w:after="0" w:line="117"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6960"/>
        <w:spacing w:after="0"/>
        <w:rPr>
          <w:sz w:val="20"/>
          <w:szCs w:val="20"/>
          <w:color w:val="auto"/>
        </w:rPr>
      </w:pPr>
      <w:r>
        <w:rPr>
          <w:rFonts w:ascii="Arial" w:cs="Arial" w:eastAsia="Arial" w:hAnsi="Arial"/>
          <w:sz w:val="21"/>
          <w:szCs w:val="21"/>
          <w:b w:val="1"/>
          <w:bCs w:val="1"/>
          <w:color w:val="FFFFFF"/>
          <w:shd w:val="clear" w:color="auto" w:fill="0171B9"/>
        </w:rPr>
        <w:t>Compensation Discussion and Analysis</w:t>
      </w:r>
    </w:p>
    <w:p>
      <w:pPr>
        <w:spacing w:after="0" w:line="35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171B9"/>
        </w:rPr>
        <w:t>2022 Company Performance Goals and Results</w:t>
      </w:r>
    </w:p>
    <w:p>
      <w:pPr>
        <w:spacing w:after="0" w:line="115"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7"/>
          <w:szCs w:val="17"/>
          <w:color w:val="auto"/>
        </w:rPr>
        <w:t>The table below sets forth the goals established, the weighting of each goal, and our actual performance for 2022. Payouts can range from 0% to a maximum of 225% of target annual cash incentive award opportunity for each metric and the final Company Performance Goals Score cannot exceed 225%. For additional discussion regarding our performance, please see “Aligning Pay With Performance” and “Implementation of Our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149860</wp:posOffset>
            </wp:positionV>
            <wp:extent cx="6995160" cy="1797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225" w:lineRule="exact"/>
        <w:rPr>
          <w:sz w:val="20"/>
          <w:szCs w:val="20"/>
          <w:color w:val="auto"/>
        </w:rPr>
      </w:pPr>
    </w:p>
    <w:p>
      <w:pPr>
        <w:ind w:left="200"/>
        <w:spacing w:after="0"/>
        <w:tabs>
          <w:tab w:leader="none" w:pos="8520" w:val="left"/>
        </w:tabs>
        <w:rPr>
          <w:sz w:val="20"/>
          <w:szCs w:val="20"/>
          <w:color w:val="auto"/>
        </w:rPr>
      </w:pPr>
      <w:r>
        <w:rPr>
          <w:rFonts w:ascii="Arial" w:cs="Arial" w:eastAsia="Arial" w:hAnsi="Arial"/>
          <w:sz w:val="16"/>
          <w:szCs w:val="16"/>
          <w:b w:val="1"/>
          <w:bCs w:val="1"/>
          <w:color w:val="FFFFFF"/>
        </w:rPr>
        <w:t>Deliver Results (60% weighting)</w:t>
      </w:r>
      <w:r>
        <w:rPr>
          <w:sz w:val="20"/>
          <w:szCs w:val="20"/>
          <w:color w:val="auto"/>
        </w:rPr>
        <w:tab/>
      </w:r>
      <w:r>
        <w:rPr>
          <w:rFonts w:ascii="Arial" w:cs="Arial" w:eastAsia="Arial" w:hAnsi="Arial"/>
          <w:sz w:val="16"/>
          <w:szCs w:val="16"/>
          <w:b w:val="1"/>
          <w:bCs w:val="1"/>
          <w:color w:val="FFFFFF"/>
        </w:rPr>
        <w:t>Weighted Score Achieved 69.4%</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058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95160" cy="805815"/>
                    </a:xfrm>
                    <a:prstGeom prst="rect">
                      <a:avLst/>
                    </a:prstGeom>
                    <a:noFill/>
                  </pic:spPr>
                </pic:pic>
              </a:graphicData>
            </a:graphic>
          </wp:anchor>
        </w:drawing>
      </w:r>
    </w:p>
    <w:p>
      <w:pPr>
        <w:spacing w:after="0" w:line="75" w:lineRule="exact"/>
        <w:rPr>
          <w:sz w:val="20"/>
          <w:szCs w:val="20"/>
          <w:color w:val="auto"/>
        </w:rPr>
      </w:pPr>
    </w:p>
    <w:p>
      <w:pPr>
        <w:jc w:val="both"/>
        <w:ind w:left="200" w:right="120"/>
        <w:spacing w:after="0" w:line="238" w:lineRule="auto"/>
        <w:rPr>
          <w:sz w:val="20"/>
          <w:szCs w:val="20"/>
          <w:color w:val="auto"/>
        </w:rPr>
      </w:pPr>
      <w:r>
        <w:rPr>
          <w:rFonts w:ascii="Arial" w:cs="Arial" w:eastAsia="Arial" w:hAnsi="Arial"/>
          <w:sz w:val="17"/>
          <w:szCs w:val="17"/>
          <w:color w:val="auto"/>
        </w:rPr>
        <w:t>These goals are consistent with the fundamental importance of financial performance to us and our stockholders in both the near- and long-term, equally focused on top- and bottom-line growth, and assigned the largest percentage. No amounts can be earned for below-threshold performance for our financial metrics.</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27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Goals</w:t>
            </w:r>
          </w:p>
        </w:tc>
        <w:tc>
          <w:tcPr>
            <w:tcW w:w="294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6"/>
                <w:szCs w:val="16"/>
                <w:b w:val="1"/>
                <w:bCs w:val="1"/>
                <w:color w:val="auto"/>
              </w:rPr>
              <w:t>Weighting</w:t>
            </w:r>
          </w:p>
        </w:tc>
        <w:tc>
          <w:tcPr>
            <w:tcW w:w="138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6"/>
                <w:szCs w:val="16"/>
                <w:b w:val="1"/>
                <w:bCs w:val="1"/>
                <w:color w:val="auto"/>
              </w:rPr>
              <w:t>Threshold</w:t>
            </w:r>
          </w:p>
        </w:tc>
        <w:tc>
          <w:tcPr>
            <w:tcW w:w="124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6"/>
                <w:szCs w:val="16"/>
                <w:b w:val="1"/>
                <w:bCs w:val="1"/>
                <w:color w:val="auto"/>
              </w:rPr>
              <w:t>Target</w:t>
            </w:r>
          </w:p>
        </w:tc>
        <w:tc>
          <w:tcPr>
            <w:tcW w:w="14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6"/>
                <w:szCs w:val="16"/>
                <w:b w:val="1"/>
                <w:bCs w:val="1"/>
                <w:color w:val="auto"/>
              </w:rPr>
              <w:t>Maximum</w:t>
            </w:r>
          </w:p>
        </w:tc>
        <w:tc>
          <w:tcPr>
            <w:tcW w:w="12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Achieved</w:t>
            </w:r>
          </w:p>
        </w:tc>
      </w:tr>
      <w:tr>
        <w:trPr>
          <w:trHeight w:val="201"/>
        </w:trPr>
        <w:tc>
          <w:tcPr>
            <w:tcW w:w="2740" w:type="dxa"/>
            <w:vAlign w:val="bottom"/>
          </w:tcPr>
          <w:p>
            <w:pPr>
              <w:ind w:left="80"/>
              <w:spacing w:after="0"/>
              <w:rPr>
                <w:sz w:val="20"/>
                <w:szCs w:val="20"/>
                <w:color w:val="auto"/>
              </w:rPr>
            </w:pPr>
            <w:r>
              <w:rPr>
                <w:rFonts w:ascii="Arial" w:cs="Arial" w:eastAsia="Arial" w:hAnsi="Arial"/>
                <w:sz w:val="16"/>
                <w:szCs w:val="16"/>
                <w:b w:val="1"/>
                <w:bCs w:val="1"/>
                <w:i w:val="1"/>
                <w:iCs w:val="1"/>
                <w:color w:val="0171B9"/>
              </w:rPr>
              <w:t>Revenues</w:t>
            </w:r>
          </w:p>
        </w:tc>
        <w:tc>
          <w:tcPr>
            <w:tcW w:w="2940" w:type="dxa"/>
            <w:vAlign w:val="bottom"/>
          </w:tcPr>
          <w:p>
            <w:pPr>
              <w:jc w:val="right"/>
              <w:ind w:right="197"/>
              <w:spacing w:after="0"/>
              <w:rPr>
                <w:sz w:val="20"/>
                <w:szCs w:val="20"/>
                <w:color w:val="auto"/>
              </w:rPr>
            </w:pPr>
            <w:r>
              <w:rPr>
                <w:rFonts w:ascii="Arial" w:cs="Arial" w:eastAsia="Arial" w:hAnsi="Arial"/>
                <w:sz w:val="17"/>
                <w:szCs w:val="17"/>
                <w:color w:val="auto"/>
              </w:rPr>
              <w:t>30%</w:t>
            </w:r>
          </w:p>
        </w:tc>
        <w:tc>
          <w:tcPr>
            <w:tcW w:w="1380" w:type="dxa"/>
            <w:vAlign w:val="bottom"/>
          </w:tcPr>
          <w:p>
            <w:pPr>
              <w:jc w:val="right"/>
              <w:ind w:right="257"/>
              <w:spacing w:after="0"/>
              <w:rPr>
                <w:sz w:val="20"/>
                <w:szCs w:val="20"/>
                <w:color w:val="auto"/>
              </w:rPr>
            </w:pPr>
            <w:r>
              <w:rPr>
                <w:rFonts w:ascii="Arial" w:cs="Arial" w:eastAsia="Arial" w:hAnsi="Arial"/>
                <w:sz w:val="17"/>
                <w:szCs w:val="17"/>
                <w:color w:val="auto"/>
              </w:rPr>
              <w:t>$24,050</w:t>
            </w:r>
          </w:p>
        </w:tc>
        <w:tc>
          <w:tcPr>
            <w:tcW w:w="1240" w:type="dxa"/>
            <w:vAlign w:val="bottom"/>
          </w:tcPr>
          <w:p>
            <w:pPr>
              <w:jc w:val="right"/>
              <w:ind w:right="197"/>
              <w:spacing w:after="0"/>
              <w:rPr>
                <w:sz w:val="20"/>
                <w:szCs w:val="20"/>
                <w:color w:val="auto"/>
              </w:rPr>
            </w:pPr>
            <w:r>
              <w:rPr>
                <w:rFonts w:ascii="Arial" w:cs="Arial" w:eastAsia="Arial" w:hAnsi="Arial"/>
                <w:sz w:val="17"/>
                <w:szCs w:val="17"/>
                <w:color w:val="auto"/>
              </w:rPr>
              <w:t>$25,857</w:t>
            </w:r>
          </w:p>
        </w:tc>
        <w:tc>
          <w:tcPr>
            <w:tcW w:w="1460" w:type="dxa"/>
            <w:vAlign w:val="bottom"/>
          </w:tcPr>
          <w:p>
            <w:pPr>
              <w:jc w:val="right"/>
              <w:ind w:right="337"/>
              <w:spacing w:after="0"/>
              <w:rPr>
                <w:sz w:val="20"/>
                <w:szCs w:val="20"/>
                <w:color w:val="auto"/>
              </w:rPr>
            </w:pPr>
            <w:r>
              <w:rPr>
                <w:rFonts w:ascii="Arial" w:cs="Arial" w:eastAsia="Arial" w:hAnsi="Arial"/>
                <w:sz w:val="17"/>
                <w:szCs w:val="17"/>
                <w:color w:val="auto"/>
              </w:rPr>
              <w:t>$27,650</w:t>
            </w: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$26,323</w:t>
            </w:r>
          </w:p>
        </w:tc>
      </w:tr>
      <w:tr>
        <w:trPr>
          <w:trHeight w:val="195"/>
        </w:trPr>
        <w:tc>
          <w:tcPr>
            <w:tcW w:w="27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60" w:type="dxa"/>
            <w:vAlign w:val="bottom"/>
          </w:tcPr>
          <w:p>
            <w:pPr>
              <w:jc w:val="right"/>
              <w:ind w:right="38"/>
              <w:spacing w:after="0"/>
              <w:rPr>
                <w:sz w:val="20"/>
                <w:szCs w:val="20"/>
                <w:color w:val="auto"/>
              </w:rPr>
            </w:pPr>
            <w:r>
              <w:rPr>
                <w:rFonts w:ascii="Arial" w:cs="Arial" w:eastAsia="Arial" w:hAnsi="Arial"/>
                <w:sz w:val="16"/>
                <w:szCs w:val="16"/>
                <w:color w:val="0171B9"/>
              </w:rPr>
              <w:t>120.7%</w:t>
            </w:r>
          </w:p>
        </w:tc>
      </w:tr>
    </w:tbl>
    <w:p>
      <w:pPr>
        <w:spacing w:after="0" w:line="121" w:lineRule="exact"/>
        <w:rPr>
          <w:sz w:val="20"/>
          <w:szCs w:val="20"/>
          <w:color w:val="auto"/>
        </w:rPr>
      </w:pPr>
    </w:p>
    <w:p>
      <w:pPr>
        <w:jc w:val="both"/>
        <w:ind w:left="120" w:right="120"/>
        <w:spacing w:after="0" w:line="243" w:lineRule="auto"/>
        <w:rPr>
          <w:sz w:val="20"/>
          <w:szCs w:val="20"/>
          <w:color w:val="auto"/>
        </w:rPr>
      </w:pPr>
      <w:r>
        <w:rPr>
          <w:rFonts w:ascii="Arial" w:cs="Arial" w:eastAsia="Arial" w:hAnsi="Arial"/>
          <w:sz w:val="17"/>
          <w:szCs w:val="17"/>
          <w:color w:val="auto"/>
        </w:rPr>
        <w:t>Our revenues goal target was derived from the midpoint of our February 2022 revenue guidance (between $25.4 and $26.5 billion) and bracketed our 2021 actual revenues of $26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26670</wp:posOffset>
            </wp:positionV>
            <wp:extent cx="69951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5200"/>
        <w:spacing w:after="0" w:line="211" w:lineRule="auto"/>
        <w:tabs>
          <w:tab w:leader="none" w:pos="6320" w:val="left"/>
          <w:tab w:leader="none" w:pos="7640" w:val="left"/>
          <w:tab w:leader="none" w:pos="8860" w:val="left"/>
          <w:tab w:leader="none" w:pos="10500" w:val="left"/>
        </w:tabs>
        <w:rPr>
          <w:sz w:val="20"/>
          <w:szCs w:val="20"/>
          <w:color w:val="auto"/>
        </w:rPr>
      </w:pPr>
      <w:r>
        <w:rPr>
          <w:rFonts w:ascii="Arial" w:cs="Arial" w:eastAsia="Arial" w:hAnsi="Arial"/>
          <w:sz w:val="16"/>
          <w:szCs w:val="16"/>
          <w:color w:val="auto"/>
        </w:rPr>
        <w:t>30%</w:t>
      </w:r>
      <w:r>
        <w:rPr>
          <w:sz w:val="20"/>
          <w:szCs w:val="20"/>
          <w:color w:val="auto"/>
        </w:rPr>
        <w:tab/>
      </w:r>
      <w:r>
        <w:rPr>
          <w:rFonts w:ascii="Arial" w:cs="Arial" w:eastAsia="Arial" w:hAnsi="Arial"/>
          <w:sz w:val="16"/>
          <w:szCs w:val="16"/>
          <w:color w:val="auto"/>
        </w:rPr>
        <w:t>$8,219</w:t>
      </w:r>
      <w:r>
        <w:rPr>
          <w:sz w:val="20"/>
          <w:szCs w:val="20"/>
          <w:color w:val="auto"/>
        </w:rPr>
        <w:tab/>
      </w:r>
      <w:r>
        <w:rPr>
          <w:rFonts w:ascii="Arial" w:cs="Arial" w:eastAsia="Arial" w:hAnsi="Arial"/>
          <w:sz w:val="16"/>
          <w:szCs w:val="16"/>
          <w:color w:val="auto"/>
        </w:rPr>
        <w:t>$9,319</w:t>
      </w:r>
      <w:r>
        <w:rPr>
          <w:sz w:val="20"/>
          <w:szCs w:val="20"/>
          <w:color w:val="auto"/>
        </w:rPr>
        <w:tab/>
      </w:r>
      <w:r>
        <w:rPr>
          <w:rFonts w:ascii="Arial" w:cs="Arial" w:eastAsia="Arial" w:hAnsi="Arial"/>
          <w:sz w:val="16"/>
          <w:szCs w:val="16"/>
          <w:color w:val="auto"/>
        </w:rPr>
        <w:t>$10,419</w:t>
      </w:r>
      <w:r>
        <w:rPr>
          <w:sz w:val="20"/>
          <w:szCs w:val="20"/>
          <w:color w:val="auto"/>
        </w:rPr>
        <w:tab/>
      </w:r>
      <w:r>
        <w:rPr>
          <w:rFonts w:ascii="Arial" w:cs="Arial" w:eastAsia="Arial" w:hAnsi="Arial"/>
          <w:sz w:val="16"/>
          <w:szCs w:val="16"/>
          <w:color w:val="auto"/>
        </w:rPr>
        <w:t>$9,570</w:t>
      </w:r>
    </w:p>
    <w:tbl>
      <w:tblPr>
        <w:tblLayout w:type="fixed"/>
        <w:tblInd w:w="200" w:type="dxa"/>
        <w:tblCellMar>
          <w:top w:w="0" w:type="dxa"/>
          <w:left w:w="0" w:type="dxa"/>
          <w:bottom w:w="0" w:type="dxa"/>
          <w:right w:w="0" w:type="dxa"/>
        </w:tblCellMar>
      </w:tblPr>
      <w:tr>
        <w:trPr>
          <w:trHeight w:val="245"/>
        </w:trPr>
        <w:tc>
          <w:tcPr>
            <w:tcW w:w="6080" w:type="dxa"/>
            <w:vAlign w:val="bottom"/>
          </w:tcPr>
          <w:p>
            <w:pPr>
              <w:spacing w:after="0" w:line="245" w:lineRule="exact"/>
              <w:rPr>
                <w:sz w:val="20"/>
                <w:szCs w:val="20"/>
                <w:color w:val="auto"/>
              </w:rPr>
            </w:pPr>
            <w:r>
              <w:rPr>
                <w:rFonts w:ascii="Arial" w:cs="Arial" w:eastAsia="Arial" w:hAnsi="Arial"/>
                <w:sz w:val="16"/>
                <w:szCs w:val="16"/>
                <w:b w:val="1"/>
                <w:bCs w:val="1"/>
                <w:i w:val="1"/>
                <w:iCs w:val="1"/>
                <w:color w:val="0171B9"/>
              </w:rPr>
              <w:t>Non-GAAP Net Income</w:t>
            </w:r>
            <w:r>
              <w:rPr>
                <w:rFonts w:ascii="Arial" w:cs="Arial" w:eastAsia="Arial" w:hAnsi="Arial"/>
                <w:sz w:val="24"/>
                <w:szCs w:val="24"/>
                <w:b w:val="1"/>
                <w:bCs w:val="1"/>
                <w:i w:val="1"/>
                <w:iCs w:val="1"/>
                <w:color w:val="0171B9"/>
                <w:vertAlign w:val="superscript"/>
              </w:rPr>
              <w:t>(1)</w:t>
            </w:r>
          </w:p>
        </w:tc>
        <w:tc>
          <w:tcPr>
            <w:tcW w:w="4740" w:type="dxa"/>
            <w:vAlign w:val="bottom"/>
            <w:vMerge w:val="restart"/>
          </w:tcPr>
          <w:p>
            <w:pPr>
              <w:jc w:val="right"/>
              <w:spacing w:after="0"/>
              <w:rPr>
                <w:sz w:val="20"/>
                <w:szCs w:val="20"/>
                <w:color w:val="auto"/>
              </w:rPr>
            </w:pPr>
            <w:r>
              <w:rPr>
                <w:rFonts w:ascii="Arial" w:cs="Arial" w:eastAsia="Arial" w:hAnsi="Arial"/>
                <w:sz w:val="16"/>
                <w:szCs w:val="16"/>
                <w:color w:val="0171B9"/>
              </w:rPr>
              <w:t>110.5%</w:t>
            </w:r>
          </w:p>
        </w:tc>
        <w:tc>
          <w:tcPr>
            <w:tcW w:w="0" w:type="dxa"/>
            <w:vAlign w:val="bottom"/>
          </w:tcPr>
          <w:p>
            <w:pPr>
              <w:spacing w:after="0"/>
              <w:rPr>
                <w:sz w:val="1"/>
                <w:szCs w:val="1"/>
                <w:color w:val="auto"/>
              </w:rPr>
            </w:pPr>
          </w:p>
        </w:tc>
      </w:tr>
      <w:tr>
        <w:trPr>
          <w:trHeight w:val="48"/>
        </w:trPr>
        <w:tc>
          <w:tcPr>
            <w:tcW w:w="6080" w:type="dxa"/>
            <w:vAlign w:val="bottom"/>
          </w:tcPr>
          <w:p>
            <w:pPr>
              <w:spacing w:after="0"/>
              <w:rPr>
                <w:sz w:val="4"/>
                <w:szCs w:val="4"/>
                <w:color w:val="auto"/>
              </w:rPr>
            </w:pPr>
          </w:p>
        </w:tc>
        <w:tc>
          <w:tcPr>
            <w:tcW w:w="4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Our non-GAAP net income target was correlated to the midpoint of our February 2022 non-GAAP EPS guidance (between $17.00 and $18.00) and bracketed our 2021 actual non-GAAP EPS</w:t>
      </w:r>
      <w:r>
        <w:rPr>
          <w:rFonts w:ascii="Arial" w:cs="Arial" w:eastAsia="Arial" w:hAnsi="Arial"/>
          <w:sz w:val="12"/>
          <w:szCs w:val="12"/>
          <w:color w:val="auto"/>
        </w:rPr>
        <w:t>(1)</w:t>
      </w:r>
      <w:r>
        <w:rPr>
          <w:rFonts w:ascii="Arial" w:cs="Arial" w:eastAsia="Arial" w:hAnsi="Arial"/>
          <w:sz w:val="17"/>
          <w:szCs w:val="17"/>
          <w:color w:val="auto"/>
        </w:rPr>
        <w:t xml:space="preserve"> of $17.10.</w:t>
      </w:r>
    </w:p>
    <w:p>
      <w:pPr>
        <w:spacing w:after="0" w:line="90"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Due to the focus of and execution by our executive leaders and the efforts of our entire Company, our financial performance exceeded expectations, resulting in performance above target for Revenues and non-GAAP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146685</wp:posOffset>
            </wp:positionV>
            <wp:extent cx="6995160" cy="1543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220" w:lineRule="exact"/>
        <w:rPr>
          <w:sz w:val="20"/>
          <w:szCs w:val="20"/>
          <w:color w:val="auto"/>
        </w:rPr>
      </w:pPr>
    </w:p>
    <w:p>
      <w:pPr>
        <w:ind w:left="200"/>
        <w:spacing w:after="0"/>
        <w:tabs>
          <w:tab w:leader="none" w:pos="8320" w:val="left"/>
        </w:tabs>
        <w:rPr>
          <w:sz w:val="20"/>
          <w:szCs w:val="20"/>
          <w:color w:val="auto"/>
        </w:rPr>
      </w:pPr>
      <w:r>
        <w:rPr>
          <w:rFonts w:ascii="Arial" w:cs="Arial" w:eastAsia="Arial" w:hAnsi="Arial"/>
          <w:sz w:val="16"/>
          <w:szCs w:val="16"/>
          <w:b w:val="1"/>
          <w:bCs w:val="1"/>
          <w:color w:val="FFFFFF"/>
        </w:rPr>
        <w:t>Progress Innovative Pipeline (30% weighting)</w:t>
      </w:r>
      <w:r>
        <w:rPr>
          <w:sz w:val="20"/>
          <w:szCs w:val="20"/>
          <w:color w:val="auto"/>
        </w:rPr>
        <w:tab/>
      </w:r>
      <w:r>
        <w:rPr>
          <w:rFonts w:ascii="Arial" w:cs="Arial" w:eastAsia="Arial" w:hAnsi="Arial"/>
          <w:sz w:val="16"/>
          <w:szCs w:val="16"/>
          <w:b w:val="1"/>
          <w:bCs w:val="1"/>
          <w:color w:val="FFFFFF"/>
        </w:rPr>
        <w:t>Weighted Score Achieved 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5657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5160" cy="565785"/>
                    </a:xfrm>
                    <a:prstGeom prst="rect">
                      <a:avLst/>
                    </a:prstGeom>
                    <a:noFill/>
                  </pic:spPr>
                </pic:pic>
              </a:graphicData>
            </a:graphic>
          </wp:anchor>
        </w:drawing>
      </w:r>
    </w:p>
    <w:p>
      <w:pPr>
        <w:spacing w:after="0" w:line="78" w:lineRule="exact"/>
        <w:rPr>
          <w:sz w:val="20"/>
          <w:szCs w:val="20"/>
          <w:color w:val="auto"/>
        </w:rPr>
      </w:pPr>
    </w:p>
    <w:p>
      <w:pPr>
        <w:jc w:val="both"/>
        <w:ind w:left="200" w:right="280"/>
        <w:spacing w:after="0" w:line="238" w:lineRule="auto"/>
        <w:rPr>
          <w:sz w:val="20"/>
          <w:szCs w:val="20"/>
          <w:color w:val="auto"/>
        </w:rPr>
      </w:pPr>
      <w:r>
        <w:rPr>
          <w:rFonts w:ascii="Arial" w:cs="Arial" w:eastAsia="Arial" w:hAnsi="Arial"/>
          <w:sz w:val="17"/>
          <w:szCs w:val="17"/>
          <w:color w:val="auto"/>
        </w:rPr>
        <w:t>Measures progress on both early- and later-stage programs and product candidates to focus us on executing key clinical studies and delivering a robust product pipeline at all stages of the development continuum, which we believe is critical to our continued success over both the near- and long-term.</w:t>
      </w:r>
    </w:p>
    <w:p>
      <w:pPr>
        <w:spacing w:after="0" w:line="5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Goals</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Weighting</w:t>
            </w:r>
          </w:p>
        </w:tc>
        <w:tc>
          <w:tcPr>
            <w:tcW w:w="63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Results</w:t>
            </w: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Achieved</w:t>
            </w:r>
          </w:p>
        </w:tc>
        <w:tc>
          <w:tcPr>
            <w:tcW w:w="0" w:type="dxa"/>
            <w:vAlign w:val="bottom"/>
          </w:tcPr>
          <w:p>
            <w:pPr>
              <w:spacing w:after="0"/>
              <w:rPr>
                <w:sz w:val="1"/>
                <w:szCs w:val="1"/>
                <w:color w:val="auto"/>
              </w:rPr>
            </w:pPr>
          </w:p>
        </w:tc>
      </w:tr>
      <w:tr>
        <w:trPr>
          <w:trHeight w:val="193"/>
        </w:trPr>
        <w:tc>
          <w:tcPr>
            <w:tcW w:w="2860" w:type="dxa"/>
            <w:vAlign w:val="bottom"/>
          </w:tcPr>
          <w:p>
            <w:pPr>
              <w:ind w:left="100"/>
              <w:spacing w:after="0"/>
              <w:rPr>
                <w:sz w:val="20"/>
                <w:szCs w:val="20"/>
                <w:color w:val="auto"/>
              </w:rPr>
            </w:pPr>
            <w:r>
              <w:rPr>
                <w:rFonts w:ascii="Arial" w:cs="Arial" w:eastAsia="Arial" w:hAnsi="Arial"/>
                <w:sz w:val="14"/>
                <w:szCs w:val="14"/>
                <w:b w:val="1"/>
                <w:bCs w:val="1"/>
                <w:i w:val="1"/>
                <w:iCs w:val="1"/>
                <w:color w:val="0171B9"/>
              </w:rPr>
              <w:t>Advance Early Pipeline—</w:t>
            </w:r>
          </w:p>
        </w:tc>
        <w:tc>
          <w:tcPr>
            <w:tcW w:w="7200" w:type="dxa"/>
            <w:vAlign w:val="bottom"/>
            <w:gridSpan w:val="2"/>
          </w:tcPr>
          <w:p>
            <w:pPr>
              <w:ind w:left="480"/>
              <w:spacing w:after="0"/>
              <w:rPr>
                <w:sz w:val="20"/>
                <w:szCs w:val="20"/>
                <w:color w:val="auto"/>
              </w:rPr>
            </w:pPr>
            <w:r>
              <w:rPr>
                <w:rFonts w:ascii="Arial" w:cs="Arial" w:eastAsia="Arial" w:hAnsi="Arial"/>
                <w:sz w:val="14"/>
                <w:szCs w:val="14"/>
                <w:color w:val="auto"/>
              </w:rPr>
              <w:t xml:space="preserve">10%   </w:t>
            </w:r>
            <w:r>
              <w:rPr>
                <w:rFonts w:ascii="Arial" w:cs="Arial" w:eastAsia="Arial" w:hAnsi="Arial"/>
                <w:sz w:val="14"/>
                <w:szCs w:val="14"/>
                <w:color w:val="0171B9"/>
              </w:rPr>
              <w:t>•</w:t>
            </w:r>
            <w:r>
              <w:rPr>
                <w:rFonts w:ascii="Arial" w:cs="Arial" w:eastAsia="Arial" w:hAnsi="Arial"/>
                <w:sz w:val="14"/>
                <w:szCs w:val="14"/>
                <w:color w:val="auto"/>
              </w:rPr>
              <w:t xml:space="preserve">   We generated six new product teams (formed when a molecule has been judged to have the</w:t>
            </w:r>
          </w:p>
        </w:tc>
        <w:tc>
          <w:tcPr>
            <w:tcW w:w="960" w:type="dxa"/>
            <w:vAlign w:val="bottom"/>
          </w:tcPr>
          <w:p>
            <w:pPr>
              <w:jc w:val="right"/>
              <w:ind w:right="142"/>
              <w:spacing w:after="0"/>
              <w:rPr>
                <w:sz w:val="20"/>
                <w:szCs w:val="20"/>
                <w:color w:val="auto"/>
              </w:rPr>
            </w:pPr>
            <w:r>
              <w:rPr>
                <w:rFonts w:ascii="Arial" w:cs="Arial" w:eastAsia="Arial" w:hAnsi="Arial"/>
                <w:sz w:val="16"/>
                <w:szCs w:val="16"/>
                <w:color w:val="0171B9"/>
              </w:rPr>
              <w:t>81.8%</w:t>
            </w:r>
          </w:p>
        </w:tc>
        <w:tc>
          <w:tcPr>
            <w:tcW w:w="0" w:type="dxa"/>
            <w:vAlign w:val="bottom"/>
          </w:tcPr>
          <w:p>
            <w:pPr>
              <w:spacing w:after="0"/>
              <w:rPr>
                <w:sz w:val="1"/>
                <w:szCs w:val="1"/>
                <w:color w:val="auto"/>
              </w:rPr>
            </w:pPr>
          </w:p>
        </w:tc>
      </w:tr>
      <w:tr>
        <w:trPr>
          <w:trHeight w:val="162"/>
        </w:trPr>
        <w:tc>
          <w:tcPr>
            <w:tcW w:w="2860" w:type="dxa"/>
            <w:vAlign w:val="bottom"/>
          </w:tcPr>
          <w:p>
            <w:pPr>
              <w:ind w:left="100"/>
              <w:spacing w:after="0"/>
              <w:rPr>
                <w:sz w:val="20"/>
                <w:szCs w:val="20"/>
                <w:color w:val="auto"/>
              </w:rPr>
            </w:pPr>
            <w:r>
              <w:rPr>
                <w:rFonts w:ascii="Arial" w:cs="Arial" w:eastAsia="Arial" w:hAnsi="Arial"/>
                <w:sz w:val="14"/>
                <w:szCs w:val="14"/>
                <w:i w:val="1"/>
                <w:iCs w:val="1"/>
                <w:color w:val="auto"/>
              </w:rPr>
              <w:t>Focused on incentivizing early-stage</w:t>
            </w:r>
          </w:p>
        </w:tc>
        <w:tc>
          <w:tcPr>
            <w:tcW w:w="860" w:type="dxa"/>
            <w:vAlign w:val="bottom"/>
          </w:tcPr>
          <w:p>
            <w:pPr>
              <w:spacing w:after="0"/>
              <w:rPr>
                <w:sz w:val="14"/>
                <w:szCs w:val="14"/>
                <w:color w:val="auto"/>
              </w:rPr>
            </w:pPr>
          </w:p>
        </w:tc>
        <w:tc>
          <w:tcPr>
            <w:tcW w:w="6340" w:type="dxa"/>
            <w:vAlign w:val="bottom"/>
          </w:tcPr>
          <w:p>
            <w:pPr>
              <w:ind w:left="280"/>
              <w:spacing w:after="0"/>
              <w:rPr>
                <w:sz w:val="20"/>
                <w:szCs w:val="20"/>
                <w:color w:val="auto"/>
              </w:rPr>
            </w:pPr>
            <w:r>
              <w:rPr>
                <w:rFonts w:ascii="Arial" w:cs="Arial" w:eastAsia="Arial" w:hAnsi="Arial"/>
                <w:sz w:val="14"/>
                <w:szCs w:val="14"/>
                <w:color w:val="auto"/>
              </w:rPr>
              <w:t>potential to be safe and effective in humans) for product candidates being studied in</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80"/>
              <w:spacing w:after="0"/>
              <w:rPr>
                <w:sz w:val="20"/>
                <w:szCs w:val="20"/>
                <w:color w:val="auto"/>
              </w:rPr>
            </w:pPr>
            <w:r>
              <w:rPr>
                <w:rFonts w:ascii="Arial" w:cs="Arial" w:eastAsia="Arial" w:hAnsi="Arial"/>
                <w:sz w:val="14"/>
                <w:szCs w:val="14"/>
                <w:i w:val="1"/>
                <w:iCs w:val="1"/>
                <w:color w:val="auto"/>
              </w:rPr>
              <w:t>innovation discovery activities important to</w:t>
            </w:r>
          </w:p>
        </w:tc>
        <w:tc>
          <w:tcPr>
            <w:tcW w:w="860" w:type="dxa"/>
            <w:vAlign w:val="bottom"/>
          </w:tcPr>
          <w:p>
            <w:pPr>
              <w:spacing w:after="0"/>
              <w:rPr>
                <w:sz w:val="14"/>
                <w:szCs w:val="14"/>
                <w:color w:val="auto"/>
              </w:rPr>
            </w:pPr>
          </w:p>
        </w:tc>
        <w:tc>
          <w:tcPr>
            <w:tcW w:w="6340" w:type="dxa"/>
            <w:vAlign w:val="bottom"/>
          </w:tcPr>
          <w:p>
            <w:pPr>
              <w:ind w:left="280"/>
              <w:spacing w:after="0"/>
              <w:rPr>
                <w:sz w:val="20"/>
                <w:szCs w:val="20"/>
                <w:color w:val="auto"/>
              </w:rPr>
            </w:pPr>
            <w:r>
              <w:rPr>
                <w:rFonts w:ascii="Arial" w:cs="Arial" w:eastAsia="Arial" w:hAnsi="Arial"/>
                <w:sz w:val="14"/>
                <w:szCs w:val="14"/>
                <w:color w:val="auto"/>
              </w:rPr>
              <w:t>inflammation (asthma, atopic dermatitis, and systematic lupus erythematosus), cardiovascular</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60" w:type="dxa"/>
            <w:vAlign w:val="bottom"/>
          </w:tcPr>
          <w:p>
            <w:pPr>
              <w:ind w:left="80"/>
              <w:spacing w:after="0"/>
              <w:rPr>
                <w:sz w:val="20"/>
                <w:szCs w:val="20"/>
                <w:color w:val="auto"/>
              </w:rPr>
            </w:pPr>
            <w:r>
              <w:rPr>
                <w:rFonts w:ascii="Arial" w:cs="Arial" w:eastAsia="Arial" w:hAnsi="Arial"/>
                <w:sz w:val="14"/>
                <w:szCs w:val="14"/>
                <w:i w:val="1"/>
                <w:iCs w:val="1"/>
                <w:color w:val="auto"/>
              </w:rPr>
              <w:t>our long-term success</w:t>
            </w:r>
          </w:p>
        </w:tc>
        <w:tc>
          <w:tcPr>
            <w:tcW w:w="860" w:type="dxa"/>
            <w:vAlign w:val="bottom"/>
          </w:tcPr>
          <w:p>
            <w:pPr>
              <w:spacing w:after="0"/>
              <w:rPr>
                <w:sz w:val="15"/>
                <w:szCs w:val="15"/>
                <w:color w:val="auto"/>
              </w:rPr>
            </w:pPr>
          </w:p>
        </w:tc>
        <w:tc>
          <w:tcPr>
            <w:tcW w:w="6340" w:type="dxa"/>
            <w:vAlign w:val="bottom"/>
          </w:tcPr>
          <w:p>
            <w:pPr>
              <w:ind w:left="280"/>
              <w:spacing w:after="0"/>
              <w:rPr>
                <w:sz w:val="20"/>
                <w:szCs w:val="20"/>
                <w:color w:val="auto"/>
              </w:rPr>
            </w:pPr>
            <w:r>
              <w:rPr>
                <w:rFonts w:ascii="Arial" w:cs="Arial" w:eastAsia="Arial" w:hAnsi="Arial"/>
                <w:sz w:val="14"/>
                <w:szCs w:val="14"/>
                <w:color w:val="auto"/>
              </w:rPr>
              <w:t>(for obesity and/or nonalcoholic steatohepatitis (NASH)), and oncology (for the treatment of</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340" w:type="dxa"/>
            <w:vAlign w:val="bottom"/>
          </w:tcPr>
          <w:p>
            <w:pPr>
              <w:ind w:left="280"/>
              <w:spacing w:after="0"/>
              <w:rPr>
                <w:sz w:val="20"/>
                <w:szCs w:val="20"/>
                <w:color w:val="auto"/>
              </w:rPr>
            </w:pPr>
            <w:r>
              <w:rPr>
                <w:rFonts w:ascii="Arial" w:cs="Arial" w:eastAsia="Arial" w:hAnsi="Arial"/>
                <w:sz w:val="14"/>
                <w:szCs w:val="14"/>
                <w:color w:val="auto"/>
              </w:rPr>
              <w:t>solid tumors and SCLC).</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340" w:type="dxa"/>
            <w:vAlign w:val="bottom"/>
          </w:tcPr>
          <w:p>
            <w:pPr>
              <w:ind w:left="120"/>
              <w:spacing w:after="0"/>
              <w:rPr>
                <w:sz w:val="20"/>
                <w:szCs w:val="20"/>
                <w:color w:val="auto"/>
              </w:rPr>
            </w:pPr>
            <w:r>
              <w:rPr>
                <w:rFonts w:ascii="Arial" w:cs="Arial" w:eastAsia="Arial" w:hAnsi="Arial"/>
                <w:sz w:val="14"/>
                <w:szCs w:val="14"/>
                <w:color w:val="0171B9"/>
              </w:rPr>
              <w:t>•</w:t>
            </w:r>
            <w:r>
              <w:rPr>
                <w:rFonts w:ascii="Arial" w:cs="Arial" w:eastAsia="Arial" w:hAnsi="Arial"/>
                <w:sz w:val="14"/>
                <w:szCs w:val="14"/>
                <w:color w:val="000000"/>
              </w:rPr>
              <w:t xml:space="preserve">   We initiated five first-in-human studies, including for product candidates being studied as a</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340" w:type="dxa"/>
            <w:vAlign w:val="bottom"/>
          </w:tcPr>
          <w:p>
            <w:pPr>
              <w:ind w:left="280"/>
              <w:spacing w:after="0"/>
              <w:rPr>
                <w:sz w:val="20"/>
                <w:szCs w:val="20"/>
                <w:color w:val="auto"/>
              </w:rPr>
            </w:pPr>
            <w:r>
              <w:rPr>
                <w:rFonts w:ascii="Arial" w:cs="Arial" w:eastAsia="Arial" w:hAnsi="Arial"/>
                <w:sz w:val="14"/>
                <w:szCs w:val="14"/>
                <w:color w:val="auto"/>
              </w:rPr>
              <w:t>treatment for obesity and in oncology (including for the treatment of solid tumors, prostate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340" w:type="dxa"/>
            <w:vAlign w:val="bottom"/>
          </w:tcPr>
          <w:p>
            <w:pPr>
              <w:ind w:left="280"/>
              <w:spacing w:after="0"/>
              <w:rPr>
                <w:sz w:val="20"/>
                <w:szCs w:val="20"/>
                <w:color w:val="auto"/>
              </w:rPr>
            </w:pPr>
            <w:r>
              <w:rPr>
                <w:rFonts w:ascii="Arial" w:cs="Arial" w:eastAsia="Arial" w:hAnsi="Arial"/>
                <w:sz w:val="14"/>
                <w:szCs w:val="14"/>
                <w:color w:val="auto"/>
              </w:rPr>
              <w:t>cancer, and hematologic malignancies).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Arial" w:cs="Arial" w:eastAsia="Arial" w:hAnsi="Arial"/>
                <w:sz w:val="14"/>
                <w:szCs w:val="14"/>
                <w:color w:val="0171B9"/>
              </w:rPr>
              <w:t>•</w:t>
            </w:r>
            <w:r>
              <w:rPr>
                <w:rFonts w:ascii="Arial" w:cs="Arial" w:eastAsia="Arial" w:hAnsi="Arial"/>
                <w:sz w:val="14"/>
                <w:szCs w:val="14"/>
                <w:color w:val="000000"/>
              </w:rPr>
              <w:t xml:space="preserve">   We advanced two clinical-stage programs: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340" w:type="dxa"/>
            <w:vAlign w:val="bottom"/>
          </w:tcPr>
          <w:p>
            <w:pPr>
              <w:ind w:left="280"/>
              <w:spacing w:after="0"/>
              <w:rPr>
                <w:sz w:val="20"/>
                <w:szCs w:val="20"/>
                <w:color w:val="auto"/>
              </w:rPr>
            </w:pPr>
            <w:r>
              <w:rPr>
                <w:rFonts w:ascii="Arial" w:cs="Arial" w:eastAsia="Arial" w:hAnsi="Arial"/>
                <w:sz w:val="14"/>
                <w:szCs w:val="14"/>
                <w:color w:val="auto"/>
              </w:rPr>
              <w:t>-   AMG 133 (a multispecific that inhibits the gastric inhibitory polypeptide receptor (GIPR) and</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340" w:type="dxa"/>
            <w:vAlign w:val="bottom"/>
          </w:tcPr>
          <w:p>
            <w:pPr>
              <w:ind w:left="440"/>
              <w:spacing w:after="0"/>
              <w:rPr>
                <w:sz w:val="20"/>
                <w:szCs w:val="20"/>
                <w:color w:val="auto"/>
              </w:rPr>
            </w:pPr>
            <w:r>
              <w:rPr>
                <w:rFonts w:ascii="Arial" w:cs="Arial" w:eastAsia="Arial" w:hAnsi="Arial"/>
                <w:sz w:val="14"/>
                <w:szCs w:val="14"/>
                <w:color w:val="auto"/>
              </w:rPr>
              <w:t>activates the glucagon-like peptide receptor (GLP-1R)) is being investigated as a treatment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340" w:type="dxa"/>
            <w:vAlign w:val="bottom"/>
          </w:tcPr>
          <w:p>
            <w:pPr>
              <w:ind w:left="440"/>
              <w:spacing w:after="0"/>
              <w:rPr>
                <w:sz w:val="20"/>
                <w:szCs w:val="20"/>
                <w:color w:val="auto"/>
              </w:rPr>
            </w:pPr>
            <w:r>
              <w:rPr>
                <w:rFonts w:ascii="Arial" w:cs="Arial" w:eastAsia="Arial" w:hAnsi="Arial"/>
                <w:sz w:val="14"/>
                <w:szCs w:val="14"/>
                <w:color w:val="auto"/>
              </w:rPr>
              <w:t>for obesity; and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340" w:type="dxa"/>
            <w:vAlign w:val="bottom"/>
          </w:tcPr>
          <w:p>
            <w:pPr>
              <w:ind w:left="280"/>
              <w:spacing w:after="0"/>
              <w:rPr>
                <w:sz w:val="20"/>
                <w:szCs w:val="20"/>
                <w:color w:val="auto"/>
              </w:rPr>
            </w:pPr>
            <w:r>
              <w:rPr>
                <w:rFonts w:ascii="Arial" w:cs="Arial" w:eastAsia="Arial" w:hAnsi="Arial"/>
                <w:sz w:val="14"/>
                <w:szCs w:val="14"/>
                <w:color w:val="auto"/>
              </w:rPr>
              <w:t>-   TAVNEOS, following our acquisition of ChemoCentryx.</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8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860" w:type="dxa"/>
            <w:vAlign w:val="bottom"/>
          </w:tcPr>
          <w:p>
            <w:pPr>
              <w:ind w:left="100"/>
              <w:spacing w:after="0"/>
              <w:rPr>
                <w:sz w:val="20"/>
                <w:szCs w:val="20"/>
                <w:color w:val="auto"/>
              </w:rPr>
            </w:pPr>
            <w:r>
              <w:rPr>
                <w:rFonts w:ascii="Arial" w:cs="Arial" w:eastAsia="Arial" w:hAnsi="Arial"/>
                <w:sz w:val="14"/>
                <w:szCs w:val="14"/>
                <w:b w:val="1"/>
                <w:bCs w:val="1"/>
                <w:i w:val="1"/>
                <w:iCs w:val="1"/>
                <w:color w:val="0171B9"/>
              </w:rPr>
              <w:t>Execute Key Clinical Studies and</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6340" w:type="dxa"/>
            <w:vAlign w:val="bottom"/>
          </w:tcPr>
          <w:p>
            <w:pPr>
              <w:ind w:left="120"/>
              <w:spacing w:after="0"/>
              <w:rPr>
                <w:sz w:val="20"/>
                <w:szCs w:val="20"/>
                <w:color w:val="auto"/>
              </w:rPr>
            </w:pPr>
            <w:r>
              <w:rPr>
                <w:rFonts w:ascii="Arial" w:cs="Arial" w:eastAsia="Arial" w:hAnsi="Arial"/>
                <w:sz w:val="14"/>
                <w:szCs w:val="14"/>
                <w:color w:val="0171B9"/>
              </w:rPr>
              <w:t>•</w:t>
            </w:r>
            <w:r>
              <w:rPr>
                <w:rFonts w:ascii="Arial" w:cs="Arial" w:eastAsia="Arial" w:hAnsi="Arial"/>
                <w:sz w:val="14"/>
                <w:szCs w:val="14"/>
                <w:color w:val="000000"/>
              </w:rPr>
              <w:t xml:space="preserve">   We executed on key clinical study milestones for olpasiran (ASCVD), efavaleukin alfa</w:t>
            </w:r>
          </w:p>
        </w:tc>
        <w:tc>
          <w:tcPr>
            <w:tcW w:w="960" w:type="dxa"/>
            <w:vAlign w:val="bottom"/>
          </w:tcPr>
          <w:p>
            <w:pPr>
              <w:jc w:val="right"/>
              <w:ind w:right="142"/>
              <w:spacing w:after="0"/>
              <w:rPr>
                <w:sz w:val="20"/>
                <w:szCs w:val="20"/>
                <w:color w:val="auto"/>
              </w:rPr>
            </w:pPr>
            <w:r>
              <w:rPr>
                <w:rFonts w:ascii="Arial" w:cs="Arial" w:eastAsia="Arial" w:hAnsi="Arial"/>
                <w:sz w:val="16"/>
                <w:szCs w:val="16"/>
                <w:color w:val="0171B9"/>
              </w:rPr>
              <w:t>109.4%</w:t>
            </w:r>
          </w:p>
        </w:tc>
        <w:tc>
          <w:tcPr>
            <w:tcW w:w="0" w:type="dxa"/>
            <w:vAlign w:val="bottom"/>
          </w:tcPr>
          <w:p>
            <w:pPr>
              <w:spacing w:after="0"/>
              <w:rPr>
                <w:sz w:val="1"/>
                <w:szCs w:val="1"/>
                <w:color w:val="auto"/>
              </w:rPr>
            </w:pPr>
          </w:p>
        </w:tc>
      </w:tr>
      <w:tr>
        <w:trPr>
          <w:trHeight w:val="164"/>
        </w:trPr>
        <w:tc>
          <w:tcPr>
            <w:tcW w:w="2860" w:type="dxa"/>
            <w:vAlign w:val="bottom"/>
          </w:tcPr>
          <w:p>
            <w:pPr>
              <w:ind w:left="80"/>
              <w:spacing w:after="0"/>
              <w:rPr>
                <w:sz w:val="20"/>
                <w:szCs w:val="20"/>
                <w:color w:val="auto"/>
              </w:rPr>
            </w:pPr>
            <w:r>
              <w:rPr>
                <w:rFonts w:ascii="Arial" w:cs="Arial" w:eastAsia="Arial" w:hAnsi="Arial"/>
                <w:sz w:val="14"/>
                <w:szCs w:val="14"/>
                <w:b w:val="1"/>
                <w:bCs w:val="1"/>
                <w:i w:val="1"/>
                <w:iCs w:val="1"/>
                <w:color w:val="0171B9"/>
              </w:rPr>
              <w:t>Regulatory Filings—</w:t>
            </w:r>
          </w:p>
        </w:tc>
        <w:tc>
          <w:tcPr>
            <w:tcW w:w="860" w:type="dxa"/>
            <w:vAlign w:val="bottom"/>
          </w:tcPr>
          <w:p>
            <w:pPr>
              <w:spacing w:after="0"/>
              <w:rPr>
                <w:sz w:val="14"/>
                <w:szCs w:val="14"/>
                <w:color w:val="auto"/>
              </w:rPr>
            </w:pPr>
          </w:p>
        </w:tc>
        <w:tc>
          <w:tcPr>
            <w:tcW w:w="6340" w:type="dxa"/>
            <w:vAlign w:val="bottom"/>
          </w:tcPr>
          <w:p>
            <w:pPr>
              <w:ind w:left="280"/>
              <w:spacing w:after="0"/>
              <w:rPr>
                <w:sz w:val="20"/>
                <w:szCs w:val="20"/>
                <w:color w:val="auto"/>
              </w:rPr>
            </w:pPr>
            <w:r>
              <w:rPr>
                <w:rFonts w:ascii="Arial" w:cs="Arial" w:eastAsia="Arial" w:hAnsi="Arial"/>
                <w:sz w:val="14"/>
                <w:szCs w:val="14"/>
                <w:color w:val="auto"/>
              </w:rPr>
              <w:t>(systemic lupus erythematosus and ulcerative colitis), LUMAKRAS (NSCLC), bemarituzumab</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100"/>
              <w:spacing w:after="0"/>
              <w:rPr>
                <w:sz w:val="20"/>
                <w:szCs w:val="20"/>
                <w:color w:val="auto"/>
              </w:rPr>
            </w:pPr>
            <w:r>
              <w:rPr>
                <w:rFonts w:ascii="Arial" w:cs="Arial" w:eastAsia="Arial" w:hAnsi="Arial"/>
                <w:sz w:val="14"/>
                <w:szCs w:val="14"/>
                <w:i w:val="1"/>
                <w:iCs w:val="1"/>
                <w:color w:val="auto"/>
              </w:rPr>
              <w:t>Designed to reward speed and</w:t>
            </w:r>
          </w:p>
        </w:tc>
        <w:tc>
          <w:tcPr>
            <w:tcW w:w="860" w:type="dxa"/>
            <w:vAlign w:val="bottom"/>
          </w:tcPr>
          <w:p>
            <w:pPr>
              <w:spacing w:after="0"/>
              <w:rPr>
                <w:sz w:val="14"/>
                <w:szCs w:val="14"/>
                <w:color w:val="auto"/>
              </w:rPr>
            </w:pPr>
          </w:p>
        </w:tc>
        <w:tc>
          <w:tcPr>
            <w:tcW w:w="6340" w:type="dxa"/>
            <w:vAlign w:val="bottom"/>
          </w:tcPr>
          <w:p>
            <w:pPr>
              <w:ind w:left="280"/>
              <w:spacing w:after="0"/>
              <w:rPr>
                <w:sz w:val="20"/>
                <w:szCs w:val="20"/>
                <w:color w:val="auto"/>
              </w:rPr>
            </w:pPr>
            <w:r>
              <w:rPr>
                <w:rFonts w:ascii="Arial" w:cs="Arial" w:eastAsia="Arial" w:hAnsi="Arial"/>
                <w:sz w:val="14"/>
                <w:szCs w:val="14"/>
                <w:color w:val="auto"/>
              </w:rPr>
              <w:t>(NSCLC),  tarlatamab  (SCLC),  and  ABP  654  (biosimilar  candidate  to  STELARA</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80"/>
              <w:spacing w:after="0"/>
              <w:rPr>
                <w:sz w:val="20"/>
                <w:szCs w:val="20"/>
                <w:color w:val="auto"/>
              </w:rPr>
            </w:pPr>
            <w:r>
              <w:rPr>
                <w:rFonts w:ascii="Arial" w:cs="Arial" w:eastAsia="Arial" w:hAnsi="Arial"/>
                <w:sz w:val="14"/>
                <w:szCs w:val="14"/>
                <w:i w:val="1"/>
                <w:iCs w:val="1"/>
                <w:color w:val="auto"/>
              </w:rPr>
              <w:t>effectiveness to maximize the value of our</w:t>
            </w:r>
          </w:p>
        </w:tc>
        <w:tc>
          <w:tcPr>
            <w:tcW w:w="860" w:type="dxa"/>
            <w:vAlign w:val="bottom"/>
          </w:tcPr>
          <w:p>
            <w:pPr>
              <w:spacing w:after="0"/>
              <w:rPr>
                <w:sz w:val="14"/>
                <w:szCs w:val="14"/>
                <w:color w:val="auto"/>
              </w:rPr>
            </w:pPr>
          </w:p>
        </w:tc>
        <w:tc>
          <w:tcPr>
            <w:tcW w:w="6340" w:type="dxa"/>
            <w:vAlign w:val="bottom"/>
          </w:tcPr>
          <w:p>
            <w:pPr>
              <w:ind w:left="280"/>
              <w:spacing w:after="0"/>
              <w:rPr>
                <w:sz w:val="20"/>
                <w:szCs w:val="20"/>
                <w:color w:val="auto"/>
              </w:rPr>
            </w:pPr>
            <w:r>
              <w:rPr>
                <w:rFonts w:ascii="Arial" w:cs="Arial" w:eastAsia="Arial" w:hAnsi="Arial"/>
                <w:sz w:val="14"/>
                <w:szCs w:val="14"/>
                <w:color w:val="auto"/>
              </w:rPr>
              <w:t>(ustekinumab)) and ABP 959 (biosimilar candidate to SOLIRIS (eculizumab)).</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80"/>
              <w:spacing w:after="0"/>
              <w:rPr>
                <w:sz w:val="20"/>
                <w:szCs w:val="20"/>
                <w:color w:val="auto"/>
              </w:rPr>
            </w:pPr>
            <w:r>
              <w:rPr>
                <w:rFonts w:ascii="Arial" w:cs="Arial" w:eastAsia="Arial" w:hAnsi="Arial"/>
                <w:sz w:val="14"/>
                <w:szCs w:val="14"/>
                <w:i w:val="1"/>
                <w:iCs w:val="1"/>
                <w:color w:val="auto"/>
              </w:rPr>
              <w:t>assets and deliver on our mission to serve</w:t>
            </w:r>
          </w:p>
        </w:tc>
        <w:tc>
          <w:tcPr>
            <w:tcW w:w="860" w:type="dxa"/>
            <w:vAlign w:val="bottom"/>
          </w:tcPr>
          <w:p>
            <w:pPr>
              <w:spacing w:after="0"/>
              <w:rPr>
                <w:sz w:val="14"/>
                <w:szCs w:val="14"/>
                <w:color w:val="auto"/>
              </w:rPr>
            </w:pPr>
          </w:p>
        </w:tc>
        <w:tc>
          <w:tcPr>
            <w:tcW w:w="6340" w:type="dxa"/>
            <w:vAlign w:val="bottom"/>
            <w:vMerge w:val="restart"/>
          </w:tcPr>
          <w:p>
            <w:pPr>
              <w:ind w:left="120"/>
              <w:spacing w:after="0"/>
              <w:rPr>
                <w:sz w:val="20"/>
                <w:szCs w:val="20"/>
                <w:color w:val="auto"/>
              </w:rPr>
            </w:pPr>
            <w:r>
              <w:rPr>
                <w:rFonts w:ascii="Arial" w:cs="Arial" w:eastAsia="Arial" w:hAnsi="Arial"/>
                <w:sz w:val="14"/>
                <w:szCs w:val="14"/>
                <w:color w:val="0171B9"/>
              </w:rPr>
              <w:t>•</w:t>
            </w:r>
            <w:r>
              <w:rPr>
                <w:rFonts w:ascii="Arial" w:cs="Arial" w:eastAsia="Arial" w:hAnsi="Arial"/>
                <w:sz w:val="14"/>
                <w:szCs w:val="14"/>
                <w:color w:val="000000"/>
              </w:rPr>
              <w:t xml:space="preserve">   We completed key regulatory milestones, including:</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60" w:type="dxa"/>
            <w:vAlign w:val="bottom"/>
          </w:tcPr>
          <w:p>
            <w:pPr>
              <w:ind w:left="80"/>
              <w:spacing w:after="0"/>
              <w:rPr>
                <w:sz w:val="20"/>
                <w:szCs w:val="20"/>
                <w:color w:val="auto"/>
              </w:rPr>
            </w:pPr>
            <w:r>
              <w:rPr>
                <w:rFonts w:ascii="Arial" w:cs="Arial" w:eastAsia="Arial" w:hAnsi="Arial"/>
                <w:sz w:val="14"/>
                <w:szCs w:val="14"/>
                <w:i w:val="1"/>
                <w:iCs w:val="1"/>
                <w:color w:val="auto"/>
              </w:rPr>
              <w:t>patients</w:t>
            </w:r>
          </w:p>
        </w:tc>
        <w:tc>
          <w:tcPr>
            <w:tcW w:w="860" w:type="dxa"/>
            <w:vAlign w:val="bottom"/>
          </w:tcPr>
          <w:p>
            <w:pPr>
              <w:spacing w:after="0"/>
              <w:rPr>
                <w:sz w:val="16"/>
                <w:szCs w:val="16"/>
                <w:color w:val="auto"/>
              </w:rPr>
            </w:pPr>
          </w:p>
        </w:tc>
        <w:tc>
          <w:tcPr>
            <w:tcW w:w="634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4120"/>
        <w:spacing w:after="0"/>
        <w:rPr>
          <w:sz w:val="20"/>
          <w:szCs w:val="20"/>
          <w:color w:val="auto"/>
        </w:rPr>
      </w:pPr>
      <w:r>
        <w:rPr>
          <w:rFonts w:ascii="Arial" w:cs="Arial" w:eastAsia="Arial" w:hAnsi="Arial"/>
          <w:sz w:val="14"/>
          <w:szCs w:val="14"/>
          <w:color w:val="auto"/>
        </w:rPr>
        <w:t>-   Approvals in the European Union and Japan for LUMAKRAS (NSCLC);</w:t>
      </w:r>
    </w:p>
    <w:p>
      <w:pPr>
        <w:spacing w:after="0" w:line="123" w:lineRule="exact"/>
        <w:rPr>
          <w:sz w:val="20"/>
          <w:szCs w:val="20"/>
          <w:color w:val="auto"/>
        </w:rPr>
      </w:pPr>
    </w:p>
    <w:p>
      <w:pPr>
        <w:ind w:left="4280" w:right="1080" w:hanging="160"/>
        <w:spacing w:after="0" w:line="273" w:lineRule="auto"/>
        <w:rPr>
          <w:sz w:val="20"/>
          <w:szCs w:val="20"/>
          <w:color w:val="auto"/>
        </w:rPr>
      </w:pPr>
      <w:r>
        <w:rPr>
          <w:rFonts w:ascii="Arial" w:cs="Arial" w:eastAsia="Arial" w:hAnsi="Arial"/>
          <w:sz w:val="14"/>
          <w:szCs w:val="14"/>
          <w:color w:val="auto"/>
        </w:rPr>
        <w:t>-   Submissions in the U.S. for ABP 654 (biosimilar candidate to STELARA (ustekinumab)) and AMJEVITA (biosimilar candidate to HUMIRA (adalimumab)); and</w:t>
      </w:r>
    </w:p>
    <w:p>
      <w:pPr>
        <w:spacing w:after="0" w:line="79" w:lineRule="exact"/>
        <w:rPr>
          <w:sz w:val="20"/>
          <w:szCs w:val="20"/>
          <w:color w:val="auto"/>
        </w:rPr>
      </w:pPr>
    </w:p>
    <w:p>
      <w:pPr>
        <w:ind w:left="4280" w:right="1060" w:hanging="160"/>
        <w:spacing w:after="0" w:line="273" w:lineRule="auto"/>
        <w:rPr>
          <w:sz w:val="20"/>
          <w:szCs w:val="20"/>
          <w:color w:val="auto"/>
        </w:rPr>
      </w:pPr>
      <w:r>
        <w:rPr>
          <w:rFonts w:ascii="Arial" w:cs="Arial" w:eastAsia="Arial" w:hAnsi="Arial"/>
          <w:sz w:val="14"/>
          <w:szCs w:val="14"/>
          <w:color w:val="auto"/>
        </w:rPr>
        <w:t>-   Submission in the European Union for ABP 959 (biosimilar candidate to SOLIRIS (eculizumab)).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wp:posOffset>
            </wp:positionV>
            <wp:extent cx="699516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113665</wp:posOffset>
            </wp:positionV>
            <wp:extent cx="77152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18" w:lineRule="exact"/>
        <w:rPr>
          <w:sz w:val="20"/>
          <w:szCs w:val="20"/>
          <w:color w:val="auto"/>
        </w:rPr>
      </w:pPr>
    </w:p>
    <w:p>
      <w:pPr>
        <w:ind w:left="540" w:right="20" w:hanging="424"/>
        <w:spacing w:after="0" w:line="193" w:lineRule="auto"/>
        <w:tabs>
          <w:tab w:leader="none" w:pos="540" w:val="left"/>
        </w:tabs>
        <w:numPr>
          <w:ilvl w:val="0"/>
          <w:numId w:val="95"/>
        </w:numPr>
        <w:rPr>
          <w:rFonts w:ascii="Arial" w:cs="Arial" w:eastAsia="Arial" w:hAnsi="Arial"/>
          <w:sz w:val="22"/>
          <w:szCs w:val="22"/>
          <w:color w:val="auto"/>
          <w:vertAlign w:val="superscript"/>
        </w:rPr>
      </w:pPr>
      <w:r>
        <w:rPr>
          <w:rFonts w:ascii="Arial" w:cs="Arial" w:eastAsia="Arial" w:hAnsi="Arial"/>
          <w:sz w:val="14"/>
          <w:szCs w:val="14"/>
          <w:color w:val="auto"/>
        </w:rPr>
        <w:t xml:space="preserve">Non-GAAP net income for purposes of the 2022 Company performance goals of our annual cash incentive plan and non-GAAP EPS are reported and reconciled in </w:t>
      </w:r>
      <w:r>
        <w:rPr>
          <w:rFonts w:ascii="Arial" w:cs="Arial" w:eastAsia="Arial" w:hAnsi="Arial"/>
          <w:sz w:val="14"/>
          <w:szCs w:val="14"/>
          <w:b w:val="1"/>
          <w:bCs w:val="1"/>
          <w:color w:val="auto"/>
        </w:rPr>
        <w:t>Appendix B</w:t>
      </w:r>
      <w:r>
        <w:rPr>
          <w:rFonts w:ascii="Arial" w:cs="Arial" w:eastAsia="Arial" w:hAnsi="Arial"/>
          <w:sz w:val="14"/>
          <w:szCs w:val="14"/>
          <w:color w:val="auto"/>
        </w:rPr>
        <w:t>.</w:t>
      </w:r>
    </w:p>
    <w:p>
      <w:pPr>
        <w:sectPr>
          <w:pgSz w:w="11900" w:h="16838" w:orient="portrait"/>
          <w:cols w:equalWidth="0" w:num="1">
            <w:col w:w="11140"/>
          </w:cols>
          <w:pgMar w:left="320" w:top="486" w:right="439" w:bottom="1440" w:gutter="0" w:footer="0" w:header="0"/>
        </w:sectPr>
      </w:pPr>
    </w:p>
    <w:p>
      <w:pPr>
        <w:spacing w:after="0" w:line="118"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66</w:t>
      </w:r>
      <w:r>
        <w:rPr>
          <w:sz w:val="20"/>
          <w:szCs w:val="20"/>
          <w:color w:val="auto"/>
        </w:rPr>
        <w:tab/>
      </w:r>
      <w:r>
        <w:rPr>
          <w:sz w:val="1"/>
          <w:szCs w:val="1"/>
          <w:color w:val="auto"/>
        </w:rPr>
        <w:drawing>
          <wp:inline distT="0" distB="0" distL="0" distR="0">
            <wp:extent cx="582930" cy="137160"/>
            <wp:effectExtent l="0" t="0" r="0" b="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6960"/>
        <w:spacing w:after="0"/>
        <w:rPr>
          <w:sz w:val="20"/>
          <w:szCs w:val="20"/>
          <w:color w:val="auto"/>
        </w:rPr>
      </w:pPr>
      <w:r>
        <w:rPr>
          <w:rFonts w:ascii="Arial" w:cs="Arial" w:eastAsia="Arial" w:hAnsi="Arial"/>
          <w:sz w:val="21"/>
          <w:szCs w:val="21"/>
          <w:b w:val="1"/>
          <w:bCs w:val="1"/>
          <w:color w:val="FFFFFF"/>
          <w:shd w:val="clear" w:color="auto" w:fill="0171B9"/>
        </w:rPr>
        <w:t>Compensation Discussion and Analysis</w:t>
      </w:r>
    </w:p>
    <w:p>
      <w:pPr>
        <w:spacing w:after="0" w:line="365"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3320" w:type="dxa"/>
            <w:vAlign w:val="bottom"/>
            <w:tcBorders>
              <w:top w:val="single" w:sz="8" w:color="auto"/>
              <w:bottom w:val="single" w:sz="8" w:color="auto"/>
            </w:tcBorders>
            <w:gridSpan w:val="2"/>
            <w:shd w:val="clear" w:color="auto" w:fill="0171B9"/>
          </w:tcPr>
          <w:p>
            <w:pPr>
              <w:ind w:left="80"/>
              <w:spacing w:after="0"/>
              <w:rPr>
                <w:sz w:val="20"/>
                <w:szCs w:val="20"/>
                <w:color w:val="auto"/>
              </w:rPr>
            </w:pPr>
            <w:r>
              <w:rPr>
                <w:rFonts w:ascii="Arial" w:cs="Arial" w:eastAsia="Arial" w:hAnsi="Arial"/>
                <w:sz w:val="16"/>
                <w:szCs w:val="16"/>
                <w:b w:val="1"/>
                <w:bCs w:val="1"/>
                <w:color w:val="FFFFFF"/>
              </w:rPr>
              <w:t>Deliver Annual Priorities (10% weighting)</w:t>
            </w:r>
          </w:p>
        </w:tc>
        <w:tc>
          <w:tcPr>
            <w:tcW w:w="7700" w:type="dxa"/>
            <w:vAlign w:val="bottom"/>
            <w:tcBorders>
              <w:top w:val="single" w:sz="8" w:color="auto"/>
              <w:bottom w:val="single" w:sz="8" w:color="auto"/>
            </w:tcBorders>
            <w:gridSpan w:val="2"/>
            <w:shd w:val="clear" w:color="auto" w:fill="0171B9"/>
          </w:tcPr>
          <w:p>
            <w:pPr>
              <w:ind w:left="5060"/>
              <w:spacing w:after="0"/>
              <w:rPr>
                <w:sz w:val="20"/>
                <w:szCs w:val="20"/>
                <w:color w:val="auto"/>
              </w:rPr>
            </w:pPr>
            <w:r>
              <w:rPr>
                <w:rFonts w:ascii="Arial" w:cs="Arial" w:eastAsia="Arial" w:hAnsi="Arial"/>
                <w:sz w:val="17"/>
                <w:szCs w:val="17"/>
                <w:b w:val="1"/>
                <w:bCs w:val="1"/>
                <w:color w:val="FFFFFF"/>
              </w:rPr>
              <w:t>Weighted Score Achieved 21.7%</w:t>
            </w:r>
          </w:p>
        </w:tc>
        <w:tc>
          <w:tcPr>
            <w:tcW w:w="0" w:type="dxa"/>
            <w:vAlign w:val="bottom"/>
          </w:tcPr>
          <w:p>
            <w:pPr>
              <w:spacing w:after="0"/>
              <w:rPr>
                <w:sz w:val="1"/>
                <w:szCs w:val="1"/>
                <w:color w:val="auto"/>
              </w:rPr>
            </w:pPr>
          </w:p>
        </w:tc>
      </w:tr>
      <w:tr>
        <w:trPr>
          <w:trHeight w:val="203"/>
        </w:trPr>
        <w:tc>
          <w:tcPr>
            <w:tcW w:w="2440" w:type="dxa"/>
            <w:vAlign w:val="bottom"/>
            <w:tcBorders>
              <w:bottom w:val="single" w:sz="8" w:color="auto"/>
            </w:tcBorders>
            <w:shd w:val="clear" w:color="auto" w:fill="CCE2F1"/>
          </w:tcPr>
          <w:p>
            <w:pPr>
              <w:ind w:left="80"/>
              <w:spacing w:after="0"/>
              <w:rPr>
                <w:sz w:val="20"/>
                <w:szCs w:val="20"/>
                <w:color w:val="auto"/>
              </w:rPr>
            </w:pPr>
            <w:r>
              <w:rPr>
                <w:rFonts w:ascii="Arial" w:cs="Arial" w:eastAsia="Arial" w:hAnsi="Arial"/>
                <w:sz w:val="14"/>
                <w:szCs w:val="14"/>
                <w:b w:val="1"/>
                <w:bCs w:val="1"/>
                <w:color w:val="auto"/>
              </w:rPr>
              <w:t>Goals</w:t>
            </w:r>
          </w:p>
        </w:tc>
        <w:tc>
          <w:tcPr>
            <w:tcW w:w="880" w:type="dxa"/>
            <w:vAlign w:val="bottom"/>
            <w:tcBorders>
              <w:bottom w:val="single" w:sz="8" w:color="auto"/>
            </w:tcBorders>
            <w:shd w:val="clear" w:color="auto" w:fill="CCE2F1"/>
          </w:tcPr>
          <w:p>
            <w:pPr>
              <w:jc w:val="right"/>
              <w:ind w:right="42"/>
              <w:spacing w:after="0"/>
              <w:rPr>
                <w:sz w:val="20"/>
                <w:szCs w:val="20"/>
                <w:color w:val="auto"/>
              </w:rPr>
            </w:pPr>
            <w:r>
              <w:rPr>
                <w:rFonts w:ascii="Arial" w:cs="Arial" w:eastAsia="Arial" w:hAnsi="Arial"/>
                <w:sz w:val="14"/>
                <w:szCs w:val="14"/>
                <w:b w:val="1"/>
                <w:bCs w:val="1"/>
                <w:color w:val="auto"/>
              </w:rPr>
              <w:t>Weighting</w:t>
            </w:r>
          </w:p>
        </w:tc>
        <w:tc>
          <w:tcPr>
            <w:tcW w:w="6880" w:type="dxa"/>
            <w:vAlign w:val="bottom"/>
            <w:tcBorders>
              <w:bottom w:val="single" w:sz="8" w:color="auto"/>
            </w:tcBorders>
            <w:shd w:val="clear" w:color="auto" w:fill="CCE2F1"/>
          </w:tcPr>
          <w:p>
            <w:pPr>
              <w:ind w:left="100"/>
              <w:spacing w:after="0"/>
              <w:rPr>
                <w:sz w:val="20"/>
                <w:szCs w:val="20"/>
                <w:color w:val="auto"/>
              </w:rPr>
            </w:pPr>
            <w:r>
              <w:rPr>
                <w:rFonts w:ascii="Arial" w:cs="Arial" w:eastAsia="Arial" w:hAnsi="Arial"/>
                <w:sz w:val="14"/>
                <w:szCs w:val="14"/>
                <w:b w:val="1"/>
                <w:bCs w:val="1"/>
                <w:color w:val="auto"/>
              </w:rPr>
              <w:t>Results</w:t>
            </w:r>
          </w:p>
        </w:tc>
        <w:tc>
          <w:tcPr>
            <w:tcW w:w="820" w:type="dxa"/>
            <w:vAlign w:val="bottom"/>
            <w:tcBorders>
              <w:bottom w:val="single" w:sz="8" w:color="auto"/>
            </w:tcBorders>
            <w:shd w:val="clear" w:color="auto" w:fill="CCE2F1"/>
          </w:tcPr>
          <w:p>
            <w:pPr>
              <w:jc w:val="right"/>
              <w:ind w:right="42"/>
              <w:spacing w:after="0"/>
              <w:rPr>
                <w:sz w:val="20"/>
                <w:szCs w:val="20"/>
                <w:color w:val="auto"/>
              </w:rPr>
            </w:pPr>
            <w:r>
              <w:rPr>
                <w:rFonts w:ascii="Arial" w:cs="Arial" w:eastAsia="Arial" w:hAnsi="Arial"/>
                <w:sz w:val="14"/>
                <w:szCs w:val="14"/>
                <w:b w:val="1"/>
                <w:bCs w:val="1"/>
                <w:color w:val="auto"/>
              </w:rPr>
              <w:t>Achieved</w:t>
            </w:r>
          </w:p>
        </w:tc>
        <w:tc>
          <w:tcPr>
            <w:tcW w:w="0" w:type="dxa"/>
            <w:vAlign w:val="bottom"/>
          </w:tcPr>
          <w:p>
            <w:pPr>
              <w:spacing w:after="0"/>
              <w:rPr>
                <w:sz w:val="1"/>
                <w:szCs w:val="1"/>
                <w:color w:val="auto"/>
              </w:rPr>
            </w:pPr>
          </w:p>
        </w:tc>
      </w:tr>
      <w:tr>
        <w:trPr>
          <w:trHeight w:val="191"/>
        </w:trPr>
        <w:tc>
          <w:tcPr>
            <w:tcW w:w="2440" w:type="dxa"/>
            <w:vAlign w:val="bottom"/>
          </w:tcPr>
          <w:p>
            <w:pPr>
              <w:ind w:left="100"/>
              <w:spacing w:after="0"/>
              <w:rPr>
                <w:sz w:val="20"/>
                <w:szCs w:val="20"/>
                <w:color w:val="auto"/>
              </w:rPr>
            </w:pPr>
            <w:r>
              <w:rPr>
                <w:rFonts w:ascii="Arial" w:cs="Arial" w:eastAsia="Arial" w:hAnsi="Arial"/>
                <w:sz w:val="14"/>
                <w:szCs w:val="14"/>
                <w:b w:val="1"/>
                <w:bCs w:val="1"/>
                <w:i w:val="1"/>
                <w:iCs w:val="1"/>
                <w:color w:val="0171B9"/>
              </w:rPr>
              <w:t>Environmental, Social, and</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6880" w:type="dxa"/>
            <w:vAlign w:val="bottom"/>
          </w:tcPr>
          <w:p>
            <w:pPr>
              <w:jc w:val="right"/>
              <w:spacing w:after="0"/>
              <w:rPr>
                <w:sz w:val="20"/>
                <w:szCs w:val="20"/>
                <w:color w:val="auto"/>
              </w:rPr>
            </w:pPr>
            <w:r>
              <w:rPr>
                <w:rFonts w:ascii="Arial" w:cs="Arial" w:eastAsia="Arial" w:hAnsi="Arial"/>
                <w:sz w:val="14"/>
                <w:szCs w:val="14"/>
                <w:color w:val="0171B9"/>
              </w:rPr>
              <w:t>•</w:t>
            </w:r>
            <w:r>
              <w:rPr>
                <w:rFonts w:ascii="Arial" w:cs="Arial" w:eastAsia="Arial" w:hAnsi="Arial"/>
                <w:sz w:val="14"/>
                <w:szCs w:val="14"/>
                <w:color w:val="000000"/>
              </w:rPr>
              <w:t xml:space="preserve">   To challenge ourselves by advancing our execution on our environmental sustainability 2027 goals, we</w:t>
            </w:r>
          </w:p>
        </w:tc>
        <w:tc>
          <w:tcPr>
            <w:tcW w:w="820" w:type="dxa"/>
            <w:vAlign w:val="bottom"/>
          </w:tcPr>
          <w:p>
            <w:pPr>
              <w:jc w:val="right"/>
              <w:ind w:right="42"/>
              <w:spacing w:after="0"/>
              <w:rPr>
                <w:sz w:val="20"/>
                <w:szCs w:val="20"/>
                <w:color w:val="auto"/>
              </w:rPr>
            </w:pPr>
            <w:r>
              <w:rPr>
                <w:rFonts w:ascii="Arial" w:cs="Arial" w:eastAsia="Arial" w:hAnsi="Arial"/>
                <w:sz w:val="16"/>
                <w:szCs w:val="16"/>
                <w:color w:val="0171B9"/>
              </w:rPr>
              <w:t>207.8%</w:t>
            </w:r>
          </w:p>
        </w:tc>
        <w:tc>
          <w:tcPr>
            <w:tcW w:w="0" w:type="dxa"/>
            <w:vAlign w:val="bottom"/>
          </w:tcPr>
          <w:p>
            <w:pPr>
              <w:spacing w:after="0"/>
              <w:rPr>
                <w:sz w:val="1"/>
                <w:szCs w:val="1"/>
                <w:color w:val="auto"/>
              </w:rPr>
            </w:pPr>
          </w:p>
        </w:tc>
      </w:tr>
      <w:tr>
        <w:trPr>
          <w:trHeight w:val="164"/>
        </w:trPr>
        <w:tc>
          <w:tcPr>
            <w:tcW w:w="2440" w:type="dxa"/>
            <w:vAlign w:val="bottom"/>
          </w:tcPr>
          <w:p>
            <w:pPr>
              <w:ind w:left="80"/>
              <w:spacing w:after="0"/>
              <w:rPr>
                <w:sz w:val="20"/>
                <w:szCs w:val="20"/>
                <w:color w:val="auto"/>
              </w:rPr>
            </w:pPr>
            <w:r>
              <w:rPr>
                <w:rFonts w:ascii="Arial" w:cs="Arial" w:eastAsia="Arial" w:hAnsi="Arial"/>
                <w:sz w:val="14"/>
                <w:szCs w:val="14"/>
                <w:b w:val="1"/>
                <w:bCs w:val="1"/>
                <w:i w:val="1"/>
                <w:iCs w:val="1"/>
                <w:color w:val="0171B9"/>
              </w:rPr>
              <w:t>Governance—</w:t>
            </w:r>
          </w:p>
        </w:tc>
        <w:tc>
          <w:tcPr>
            <w:tcW w:w="880" w:type="dxa"/>
            <w:vAlign w:val="bottom"/>
          </w:tcPr>
          <w:p>
            <w:pPr>
              <w:spacing w:after="0"/>
              <w:rPr>
                <w:sz w:val="14"/>
                <w:szCs w:val="14"/>
                <w:color w:val="auto"/>
              </w:rPr>
            </w:pPr>
          </w:p>
        </w:tc>
        <w:tc>
          <w:tcPr>
            <w:tcW w:w="6880" w:type="dxa"/>
            <w:vAlign w:val="bottom"/>
          </w:tcPr>
          <w:p>
            <w:pPr>
              <w:ind w:left="260"/>
              <w:spacing w:after="0"/>
              <w:rPr>
                <w:sz w:val="20"/>
                <w:szCs w:val="20"/>
                <w:color w:val="auto"/>
              </w:rPr>
            </w:pPr>
            <w:r>
              <w:rPr>
                <w:rFonts w:ascii="Arial" w:cs="Arial" w:eastAsia="Arial" w:hAnsi="Arial"/>
                <w:sz w:val="14"/>
                <w:szCs w:val="14"/>
                <w:color w:val="auto"/>
              </w:rPr>
              <w:t>established a Company environmental goal to develop processes and capabilities at the enterprise-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100"/>
              <w:spacing w:after="0"/>
              <w:rPr>
                <w:sz w:val="20"/>
                <w:szCs w:val="20"/>
                <w:color w:val="auto"/>
              </w:rPr>
            </w:pPr>
            <w:r>
              <w:rPr>
                <w:rFonts w:ascii="Arial" w:cs="Arial" w:eastAsia="Arial" w:hAnsi="Arial"/>
                <w:sz w:val="14"/>
                <w:szCs w:val="14"/>
                <w:i w:val="1"/>
                <w:iCs w:val="1"/>
                <w:color w:val="auto"/>
              </w:rPr>
              <w:t>Expanded the goal, after the</w:t>
            </w:r>
          </w:p>
        </w:tc>
        <w:tc>
          <w:tcPr>
            <w:tcW w:w="880" w:type="dxa"/>
            <w:vAlign w:val="bottom"/>
          </w:tcPr>
          <w:p>
            <w:pPr>
              <w:spacing w:after="0"/>
              <w:rPr>
                <w:sz w:val="14"/>
                <w:szCs w:val="14"/>
                <w:color w:val="auto"/>
              </w:rPr>
            </w:pPr>
          </w:p>
        </w:tc>
        <w:tc>
          <w:tcPr>
            <w:tcW w:w="6880" w:type="dxa"/>
            <w:vAlign w:val="bottom"/>
          </w:tcPr>
          <w:p>
            <w:pPr>
              <w:ind w:left="260"/>
              <w:spacing w:after="0"/>
              <w:rPr>
                <w:sz w:val="20"/>
                <w:szCs w:val="20"/>
                <w:color w:val="auto"/>
              </w:rPr>
            </w:pPr>
            <w:r>
              <w:rPr>
                <w:rFonts w:ascii="Arial" w:cs="Arial" w:eastAsia="Arial" w:hAnsi="Arial"/>
                <w:sz w:val="14"/>
                <w:szCs w:val="14"/>
                <w:color w:val="auto"/>
              </w:rPr>
              <w:t>wide level, with the following requirements: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80"/>
              <w:spacing w:after="0"/>
              <w:rPr>
                <w:sz w:val="20"/>
                <w:szCs w:val="20"/>
                <w:color w:val="auto"/>
              </w:rPr>
            </w:pPr>
            <w:r>
              <w:rPr>
                <w:rFonts w:ascii="Arial" w:cs="Arial" w:eastAsia="Arial" w:hAnsi="Arial"/>
                <w:sz w:val="14"/>
                <w:szCs w:val="14"/>
                <w:i w:val="1"/>
                <w:iCs w:val="1"/>
                <w:color w:val="auto"/>
              </w:rPr>
              <w:t>successful delivery on our 2021</w:t>
            </w:r>
          </w:p>
        </w:tc>
        <w:tc>
          <w:tcPr>
            <w:tcW w:w="880" w:type="dxa"/>
            <w:vAlign w:val="bottom"/>
          </w:tcPr>
          <w:p>
            <w:pPr>
              <w:spacing w:after="0"/>
              <w:rPr>
                <w:sz w:val="14"/>
                <w:szCs w:val="14"/>
                <w:color w:val="auto"/>
              </w:rPr>
            </w:pPr>
          </w:p>
        </w:tc>
        <w:tc>
          <w:tcPr>
            <w:tcW w:w="6880" w:type="dxa"/>
            <w:vAlign w:val="bottom"/>
            <w:vMerge w:val="restart"/>
          </w:tcPr>
          <w:p>
            <w:pPr>
              <w:ind w:left="260"/>
              <w:spacing w:after="0"/>
              <w:rPr>
                <w:sz w:val="20"/>
                <w:szCs w:val="20"/>
                <w:color w:val="auto"/>
              </w:rPr>
            </w:pPr>
            <w:r>
              <w:rPr>
                <w:rFonts w:ascii="Arial" w:cs="Arial" w:eastAsia="Arial" w:hAnsi="Arial"/>
                <w:sz w:val="14"/>
                <w:szCs w:val="14"/>
                <w:color w:val="auto"/>
              </w:rPr>
              <w:t>-   Timely achievement of conservation targets that meet specific percentage reductions for each of the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440" w:type="dxa"/>
            <w:vAlign w:val="bottom"/>
          </w:tcPr>
          <w:p>
            <w:pPr>
              <w:ind w:left="80"/>
              <w:spacing w:after="0" w:line="145" w:lineRule="exact"/>
              <w:rPr>
                <w:sz w:val="20"/>
                <w:szCs w:val="20"/>
                <w:color w:val="auto"/>
              </w:rPr>
            </w:pPr>
            <w:r>
              <w:rPr>
                <w:rFonts w:ascii="Arial" w:cs="Arial" w:eastAsia="Arial" w:hAnsi="Arial"/>
                <w:sz w:val="14"/>
                <w:szCs w:val="14"/>
                <w:i w:val="1"/>
                <w:iCs w:val="1"/>
                <w:color w:val="auto"/>
              </w:rPr>
              <w:t>ESG goal, to challenge ourselves to</w:t>
            </w:r>
          </w:p>
        </w:tc>
        <w:tc>
          <w:tcPr>
            <w:tcW w:w="880" w:type="dxa"/>
            <w:vAlign w:val="bottom"/>
          </w:tcPr>
          <w:p>
            <w:pPr>
              <w:spacing w:after="0"/>
              <w:rPr>
                <w:sz w:val="12"/>
                <w:szCs w:val="12"/>
                <w:color w:val="auto"/>
              </w:rPr>
            </w:pPr>
          </w:p>
        </w:tc>
        <w:tc>
          <w:tcPr>
            <w:tcW w:w="68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80"/>
              <w:spacing w:after="0"/>
              <w:rPr>
                <w:sz w:val="20"/>
                <w:szCs w:val="20"/>
                <w:color w:val="auto"/>
              </w:rPr>
            </w:pPr>
            <w:r>
              <w:rPr>
                <w:rFonts w:ascii="Arial" w:cs="Arial" w:eastAsia="Arial" w:hAnsi="Arial"/>
                <w:sz w:val="14"/>
                <w:szCs w:val="14"/>
                <w:i w:val="1"/>
                <w:iCs w:val="1"/>
                <w:color w:val="auto"/>
              </w:rPr>
              <w:t>advance towards our 2027</w:t>
            </w:r>
          </w:p>
        </w:tc>
        <w:tc>
          <w:tcPr>
            <w:tcW w:w="880" w:type="dxa"/>
            <w:vAlign w:val="bottom"/>
          </w:tcPr>
          <w:p>
            <w:pPr>
              <w:spacing w:after="0"/>
              <w:rPr>
                <w:sz w:val="14"/>
                <w:szCs w:val="14"/>
                <w:color w:val="auto"/>
              </w:rPr>
            </w:pPr>
          </w:p>
        </w:tc>
        <w:tc>
          <w:tcPr>
            <w:tcW w:w="6880" w:type="dxa"/>
            <w:vAlign w:val="bottom"/>
          </w:tcPr>
          <w:p>
            <w:pPr>
              <w:jc w:val="right"/>
              <w:spacing w:after="0"/>
              <w:rPr>
                <w:sz w:val="20"/>
                <w:szCs w:val="20"/>
                <w:color w:val="auto"/>
              </w:rPr>
            </w:pPr>
            <w:r>
              <w:rPr>
                <w:rFonts w:ascii="Arial" w:cs="Arial" w:eastAsia="Arial" w:hAnsi="Arial"/>
                <w:sz w:val="14"/>
                <w:szCs w:val="14"/>
                <w:color w:val="auto"/>
              </w:rPr>
              <w:t>three goal components (total carbon reduction, total water reduction, and total waste reduction) in</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40" w:type="dxa"/>
            <w:vAlign w:val="bottom"/>
          </w:tcPr>
          <w:p>
            <w:pPr>
              <w:ind w:left="80"/>
              <w:spacing w:after="0"/>
              <w:rPr>
                <w:sz w:val="20"/>
                <w:szCs w:val="20"/>
                <w:color w:val="auto"/>
              </w:rPr>
            </w:pPr>
            <w:r>
              <w:rPr>
                <w:rFonts w:ascii="Arial" w:cs="Arial" w:eastAsia="Arial" w:hAnsi="Arial"/>
                <w:sz w:val="14"/>
                <w:szCs w:val="14"/>
                <w:i w:val="1"/>
                <w:iCs w:val="1"/>
                <w:color w:val="auto"/>
              </w:rPr>
              <w:t>environmental sustainability goals</w:t>
            </w:r>
          </w:p>
        </w:tc>
        <w:tc>
          <w:tcPr>
            <w:tcW w:w="880" w:type="dxa"/>
            <w:vAlign w:val="bottom"/>
          </w:tcPr>
          <w:p>
            <w:pPr>
              <w:spacing w:after="0"/>
              <w:rPr>
                <w:sz w:val="15"/>
                <w:szCs w:val="15"/>
                <w:color w:val="auto"/>
              </w:rPr>
            </w:pPr>
          </w:p>
        </w:tc>
        <w:tc>
          <w:tcPr>
            <w:tcW w:w="6880" w:type="dxa"/>
            <w:vAlign w:val="bottom"/>
          </w:tcPr>
          <w:p>
            <w:pPr>
              <w:ind w:left="420"/>
              <w:spacing w:after="0"/>
              <w:rPr>
                <w:sz w:val="20"/>
                <w:szCs w:val="20"/>
                <w:color w:val="auto"/>
              </w:rPr>
            </w:pPr>
            <w:r>
              <w:rPr>
                <w:rFonts w:ascii="Arial" w:cs="Arial" w:eastAsia="Arial" w:hAnsi="Arial"/>
                <w:sz w:val="14"/>
                <w:szCs w:val="14"/>
                <w:color w:val="auto"/>
              </w:rPr>
              <w:t>2022 that advance towards our 2027 environmental sustainability goals; and</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80"/>
              <w:spacing w:after="0"/>
              <w:rPr>
                <w:sz w:val="20"/>
                <w:szCs w:val="20"/>
                <w:color w:val="auto"/>
              </w:rPr>
            </w:pPr>
            <w:r>
              <w:rPr>
                <w:rFonts w:ascii="Arial" w:cs="Arial" w:eastAsia="Arial" w:hAnsi="Arial"/>
                <w:sz w:val="14"/>
                <w:szCs w:val="14"/>
                <w:i w:val="1"/>
                <w:iCs w:val="1"/>
                <w:color w:val="auto"/>
              </w:rPr>
              <w:t>and to expand the number of</w:t>
            </w:r>
          </w:p>
        </w:tc>
        <w:tc>
          <w:tcPr>
            <w:tcW w:w="880" w:type="dxa"/>
            <w:vAlign w:val="bottom"/>
          </w:tcPr>
          <w:p>
            <w:pPr>
              <w:spacing w:after="0"/>
              <w:rPr>
                <w:sz w:val="14"/>
                <w:szCs w:val="14"/>
                <w:color w:val="auto"/>
              </w:rPr>
            </w:pPr>
          </w:p>
        </w:tc>
        <w:tc>
          <w:tcPr>
            <w:tcW w:w="6880" w:type="dxa"/>
            <w:vAlign w:val="bottom"/>
            <w:vMerge w:val="restart"/>
          </w:tcPr>
          <w:p>
            <w:pPr>
              <w:ind w:left="260"/>
              <w:spacing w:after="0"/>
              <w:rPr>
                <w:sz w:val="20"/>
                <w:szCs w:val="20"/>
                <w:color w:val="auto"/>
              </w:rPr>
            </w:pPr>
            <w:r>
              <w:rPr>
                <w:rFonts w:ascii="Arial" w:cs="Arial" w:eastAsia="Arial" w:hAnsi="Arial"/>
                <w:sz w:val="14"/>
                <w:szCs w:val="14"/>
                <w:color w:val="auto"/>
              </w:rPr>
              <w:t>-   Timely establishment of a Company approved strategy to engage certain key suppliers across the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440" w:type="dxa"/>
            <w:vAlign w:val="bottom"/>
            <w:vMerge w:val="restart"/>
          </w:tcPr>
          <w:p>
            <w:pPr>
              <w:ind w:left="80"/>
              <w:spacing w:after="0"/>
              <w:rPr>
                <w:sz w:val="20"/>
                <w:szCs w:val="20"/>
                <w:color w:val="auto"/>
              </w:rPr>
            </w:pPr>
            <w:r>
              <w:rPr>
                <w:rFonts w:ascii="Arial" w:cs="Arial" w:eastAsia="Arial" w:hAnsi="Arial"/>
                <w:sz w:val="14"/>
                <w:szCs w:val="14"/>
                <w:i w:val="1"/>
                <w:iCs w:val="1"/>
                <w:color w:val="auto"/>
              </w:rPr>
              <w:t>leaders accountable for action in</w:t>
            </w:r>
          </w:p>
        </w:tc>
        <w:tc>
          <w:tcPr>
            <w:tcW w:w="880" w:type="dxa"/>
            <w:vAlign w:val="bottom"/>
          </w:tcPr>
          <w:p>
            <w:pPr>
              <w:spacing w:after="0"/>
              <w:rPr>
                <w:sz w:val="8"/>
                <w:szCs w:val="8"/>
                <w:color w:val="auto"/>
              </w:rPr>
            </w:pPr>
          </w:p>
        </w:tc>
        <w:tc>
          <w:tcPr>
            <w:tcW w:w="688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880" w:type="dxa"/>
            <w:vAlign w:val="bottom"/>
            <w:vMerge w:val="restart"/>
          </w:tcPr>
          <w:p>
            <w:pPr>
              <w:jc w:val="right"/>
              <w:spacing w:after="0"/>
              <w:rPr>
                <w:sz w:val="20"/>
                <w:szCs w:val="20"/>
                <w:color w:val="auto"/>
              </w:rPr>
            </w:pPr>
            <w:r>
              <w:rPr>
                <w:rFonts w:ascii="Arial" w:cs="Arial" w:eastAsia="Arial" w:hAnsi="Arial"/>
                <w:sz w:val="14"/>
                <w:szCs w:val="14"/>
                <w:color w:val="auto"/>
              </w:rPr>
              <w:t>enterprise to improve their Scope 3 carbon emissions in support of our SBTi-approved Scope 3</w:t>
            </w: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440" w:type="dxa"/>
            <w:vAlign w:val="bottom"/>
            <w:vMerge w:val="restart"/>
          </w:tcPr>
          <w:p>
            <w:pPr>
              <w:ind w:left="80"/>
              <w:spacing w:after="0"/>
              <w:rPr>
                <w:sz w:val="20"/>
                <w:szCs w:val="20"/>
                <w:color w:val="auto"/>
              </w:rPr>
            </w:pPr>
            <w:r>
              <w:rPr>
                <w:rFonts w:ascii="Arial" w:cs="Arial" w:eastAsia="Arial" w:hAnsi="Arial"/>
                <w:sz w:val="14"/>
                <w:szCs w:val="14"/>
                <w:i w:val="1"/>
                <w:iCs w:val="1"/>
                <w:color w:val="auto"/>
              </w:rPr>
              <w:t>support of our diversity, inclusion,</w:t>
            </w:r>
          </w:p>
        </w:tc>
        <w:tc>
          <w:tcPr>
            <w:tcW w:w="880" w:type="dxa"/>
            <w:vAlign w:val="bottom"/>
          </w:tcPr>
          <w:p>
            <w:pPr>
              <w:spacing w:after="0"/>
              <w:rPr>
                <w:sz w:val="8"/>
                <w:szCs w:val="8"/>
                <w:color w:val="auto"/>
              </w:rPr>
            </w:pPr>
          </w:p>
        </w:tc>
        <w:tc>
          <w:tcPr>
            <w:tcW w:w="688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880" w:type="dxa"/>
            <w:vAlign w:val="bottom"/>
            <w:vMerge w:val="restart"/>
          </w:tcPr>
          <w:p>
            <w:pPr>
              <w:ind w:left="420"/>
              <w:spacing w:after="0"/>
              <w:rPr>
                <w:sz w:val="20"/>
                <w:szCs w:val="20"/>
                <w:color w:val="auto"/>
              </w:rPr>
            </w:pPr>
            <w:r>
              <w:rPr>
                <w:rFonts w:ascii="Arial" w:cs="Arial" w:eastAsia="Arial" w:hAnsi="Arial"/>
                <w:sz w:val="14"/>
                <w:szCs w:val="14"/>
                <w:color w:val="auto"/>
              </w:rPr>
              <w:t>supplier engagement target.</w:t>
            </w: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440" w:type="dxa"/>
            <w:vAlign w:val="bottom"/>
            <w:vMerge w:val="restart"/>
          </w:tcPr>
          <w:p>
            <w:pPr>
              <w:ind w:left="80"/>
              <w:spacing w:after="0"/>
              <w:rPr>
                <w:sz w:val="20"/>
                <w:szCs w:val="20"/>
                <w:color w:val="auto"/>
              </w:rPr>
            </w:pPr>
            <w:r>
              <w:rPr>
                <w:rFonts w:ascii="Arial" w:cs="Arial" w:eastAsia="Arial" w:hAnsi="Arial"/>
                <w:sz w:val="14"/>
                <w:szCs w:val="14"/>
                <w:i w:val="1"/>
                <w:iCs w:val="1"/>
                <w:color w:val="auto"/>
              </w:rPr>
              <w:t>and belonging program</w:t>
            </w:r>
          </w:p>
        </w:tc>
        <w:tc>
          <w:tcPr>
            <w:tcW w:w="880" w:type="dxa"/>
            <w:vAlign w:val="bottom"/>
          </w:tcPr>
          <w:p>
            <w:pPr>
              <w:spacing w:after="0"/>
              <w:rPr>
                <w:sz w:val="9"/>
                <w:szCs w:val="9"/>
                <w:color w:val="auto"/>
              </w:rPr>
            </w:pPr>
          </w:p>
        </w:tc>
        <w:tc>
          <w:tcPr>
            <w:tcW w:w="68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4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6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80" w:type="dxa"/>
            <w:vAlign w:val="bottom"/>
          </w:tcPr>
          <w:p>
            <w:pPr>
              <w:jc w:val="right"/>
              <w:spacing w:after="0"/>
              <w:rPr>
                <w:sz w:val="20"/>
                <w:szCs w:val="20"/>
                <w:color w:val="auto"/>
              </w:rPr>
            </w:pPr>
            <w:r>
              <w:rPr>
                <w:rFonts w:ascii="Arial" w:cs="Arial" w:eastAsia="Arial" w:hAnsi="Arial"/>
                <w:sz w:val="14"/>
                <w:szCs w:val="14"/>
                <w:color w:val="auto"/>
              </w:rPr>
              <w:t>     At the target level, two points were allocated for specific percentage reductions for each of the three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80" w:type="dxa"/>
            <w:vAlign w:val="bottom"/>
          </w:tcPr>
          <w:p>
            <w:pPr>
              <w:ind w:left="260"/>
              <w:spacing w:after="0"/>
              <w:rPr>
                <w:sz w:val="20"/>
                <w:szCs w:val="20"/>
                <w:color w:val="auto"/>
              </w:rPr>
            </w:pPr>
            <w:r>
              <w:rPr>
                <w:rFonts w:ascii="Arial" w:cs="Arial" w:eastAsia="Arial" w:hAnsi="Arial"/>
                <w:sz w:val="14"/>
                <w:szCs w:val="14"/>
                <w:color w:val="auto"/>
              </w:rPr>
              <w:t>goal components (total carbon reduction, total water reduction, and total waste reduction). Target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80" w:type="dxa"/>
            <w:vAlign w:val="bottom"/>
          </w:tcPr>
          <w:p>
            <w:pPr>
              <w:ind w:left="260"/>
              <w:spacing w:after="0"/>
              <w:rPr>
                <w:sz w:val="20"/>
                <w:szCs w:val="20"/>
                <w:color w:val="auto"/>
              </w:rPr>
            </w:pPr>
            <w:r>
              <w:rPr>
                <w:rFonts w:ascii="Arial" w:cs="Arial" w:eastAsia="Arial" w:hAnsi="Arial"/>
                <w:sz w:val="14"/>
                <w:szCs w:val="14"/>
                <w:color w:val="auto"/>
              </w:rPr>
              <w:t>completion  to  establish  a  Company  approved  Scope  3  supplier  engagement  strategy  was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80" w:type="dxa"/>
            <w:vAlign w:val="bottom"/>
          </w:tcPr>
          <w:p>
            <w:pPr>
              <w:ind w:left="260"/>
              <w:spacing w:after="0"/>
              <w:rPr>
                <w:sz w:val="20"/>
                <w:szCs w:val="20"/>
                <w:color w:val="auto"/>
              </w:rPr>
            </w:pPr>
            <w:r>
              <w:rPr>
                <w:rFonts w:ascii="Arial" w:cs="Arial" w:eastAsia="Arial" w:hAnsi="Arial"/>
                <w:sz w:val="14"/>
                <w:szCs w:val="14"/>
                <w:color w:val="auto"/>
              </w:rPr>
              <w:t>September 30, 2022. Early achievement of percentage reductions for each of carbon, water, and waste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80" w:type="dxa"/>
            <w:vAlign w:val="bottom"/>
          </w:tcPr>
          <w:p>
            <w:pPr>
              <w:ind w:left="260"/>
              <w:spacing w:after="0"/>
              <w:rPr>
                <w:sz w:val="20"/>
                <w:szCs w:val="20"/>
                <w:color w:val="auto"/>
              </w:rPr>
            </w:pPr>
            <w:r>
              <w:rPr>
                <w:rFonts w:ascii="Arial" w:cs="Arial" w:eastAsia="Arial" w:hAnsi="Arial"/>
                <w:sz w:val="14"/>
                <w:szCs w:val="14"/>
                <w:color w:val="auto"/>
              </w:rPr>
              <w:t>annual targets as well as accelerated establishment of a Company approved Scope 3 supplier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80" w:type="dxa"/>
            <w:vAlign w:val="bottom"/>
          </w:tcPr>
          <w:p>
            <w:pPr>
              <w:ind w:left="260"/>
              <w:spacing w:after="0"/>
              <w:rPr>
                <w:sz w:val="20"/>
                <w:szCs w:val="20"/>
                <w:color w:val="auto"/>
              </w:rPr>
            </w:pPr>
            <w:r>
              <w:rPr>
                <w:rFonts w:ascii="Arial" w:cs="Arial" w:eastAsia="Arial" w:hAnsi="Arial"/>
                <w:sz w:val="14"/>
                <w:szCs w:val="14"/>
                <w:color w:val="auto"/>
              </w:rPr>
              <w:t>engagement strategy by July 31, 2022 resulted in maximum achievement under this goal.</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80" w:type="dxa"/>
            <w:vAlign w:val="bottom"/>
          </w:tcPr>
          <w:p>
            <w:pPr>
              <w:jc w:val="right"/>
              <w:spacing w:after="0"/>
              <w:rPr>
                <w:sz w:val="20"/>
                <w:szCs w:val="20"/>
                <w:color w:val="auto"/>
              </w:rPr>
            </w:pPr>
            <w:r>
              <w:rPr>
                <w:rFonts w:ascii="Arial" w:cs="Arial" w:eastAsia="Arial" w:hAnsi="Arial"/>
                <w:sz w:val="14"/>
                <w:szCs w:val="14"/>
                <w:color w:val="0171B9"/>
              </w:rPr>
              <w:t>•</w:t>
            </w:r>
            <w:r>
              <w:rPr>
                <w:rFonts w:ascii="Arial" w:cs="Arial" w:eastAsia="Arial" w:hAnsi="Arial"/>
                <w:sz w:val="14"/>
                <w:szCs w:val="14"/>
                <w:color w:val="000000"/>
              </w:rPr>
              <w:t xml:space="preserve">   To drive ownership and accountability deeper into the organization, our diversity, inclusion, and</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80" w:type="dxa"/>
            <w:vAlign w:val="bottom"/>
          </w:tcPr>
          <w:p>
            <w:pPr>
              <w:ind w:left="260"/>
              <w:spacing w:after="0"/>
              <w:rPr>
                <w:sz w:val="20"/>
                <w:szCs w:val="20"/>
                <w:color w:val="auto"/>
              </w:rPr>
            </w:pPr>
            <w:r>
              <w:rPr>
                <w:rFonts w:ascii="Arial" w:cs="Arial" w:eastAsia="Arial" w:hAnsi="Arial"/>
                <w:sz w:val="14"/>
                <w:szCs w:val="14"/>
                <w:color w:val="auto"/>
              </w:rPr>
              <w:t>belonging goal expanded the number of leaders accountable for action to actively communicate our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80" w:type="dxa"/>
            <w:vAlign w:val="bottom"/>
          </w:tcPr>
          <w:p>
            <w:pPr>
              <w:ind w:left="260"/>
              <w:spacing w:after="0"/>
              <w:rPr>
                <w:sz w:val="20"/>
                <w:szCs w:val="20"/>
                <w:color w:val="auto"/>
              </w:rPr>
            </w:pPr>
            <w:r>
              <w:rPr>
                <w:rFonts w:ascii="Arial" w:cs="Arial" w:eastAsia="Arial" w:hAnsi="Arial"/>
                <w:sz w:val="14"/>
                <w:szCs w:val="14"/>
                <w:color w:val="auto"/>
              </w:rPr>
              <w:t>culture of belonging to all staff. Leaders at the director and above levels were required to establish,</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80" w:type="dxa"/>
            <w:vAlign w:val="bottom"/>
          </w:tcPr>
          <w:p>
            <w:pPr>
              <w:ind w:left="260"/>
              <w:spacing w:after="0"/>
              <w:rPr>
                <w:sz w:val="20"/>
                <w:szCs w:val="20"/>
                <w:color w:val="auto"/>
              </w:rPr>
            </w:pPr>
            <w:r>
              <w:rPr>
                <w:rFonts w:ascii="Arial" w:cs="Arial" w:eastAsia="Arial" w:hAnsi="Arial"/>
                <w:sz w:val="14"/>
                <w:szCs w:val="14"/>
                <w:color w:val="auto"/>
              </w:rPr>
              <w:t>document, and execute diversity, inclusion, and belonging action plans in 2022 with a target goal of</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80" w:type="dxa"/>
            <w:vAlign w:val="bottom"/>
          </w:tcPr>
          <w:p>
            <w:pPr>
              <w:ind w:left="260"/>
              <w:spacing w:after="0"/>
              <w:rPr>
                <w:sz w:val="20"/>
                <w:szCs w:val="20"/>
                <w:color w:val="auto"/>
              </w:rPr>
            </w:pPr>
            <w:r>
              <w:rPr>
                <w:rFonts w:ascii="Arial" w:cs="Arial" w:eastAsia="Arial" w:hAnsi="Arial"/>
                <w:sz w:val="14"/>
                <w:szCs w:val="14"/>
                <w:color w:val="auto"/>
              </w:rPr>
              <w:t>90% participation.</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80" w:type="dxa"/>
            <w:vAlign w:val="bottom"/>
          </w:tcPr>
          <w:p>
            <w:pPr>
              <w:ind w:left="260"/>
              <w:spacing w:after="0"/>
              <w:rPr>
                <w:sz w:val="20"/>
                <w:szCs w:val="20"/>
                <w:color w:val="auto"/>
              </w:rPr>
            </w:pPr>
            <w:r>
              <w:rPr>
                <w:rFonts w:ascii="Arial" w:cs="Arial" w:eastAsia="Arial" w:hAnsi="Arial"/>
                <w:sz w:val="14"/>
                <w:szCs w:val="14"/>
                <w:color w:val="auto"/>
              </w:rPr>
              <w:t>-   We achieved 97% participation with leaders establishing, documenting, and executing on their</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2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80" w:type="dxa"/>
            <w:vAlign w:val="bottom"/>
          </w:tcPr>
          <w:p>
            <w:pPr>
              <w:ind w:left="420"/>
              <w:spacing w:after="0"/>
              <w:rPr>
                <w:sz w:val="20"/>
                <w:szCs w:val="20"/>
                <w:color w:val="auto"/>
              </w:rPr>
            </w:pPr>
            <w:r>
              <w:rPr>
                <w:rFonts w:ascii="Arial" w:cs="Arial" w:eastAsia="Arial" w:hAnsi="Arial"/>
                <w:sz w:val="14"/>
                <w:szCs w:val="14"/>
                <w:color w:val="auto"/>
              </w:rPr>
              <w:t>diversity, inclusion, and belonging action plans in 2022.</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8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440" w:type="dxa"/>
            <w:vAlign w:val="bottom"/>
          </w:tcPr>
          <w:p>
            <w:pPr>
              <w:ind w:left="100"/>
              <w:spacing w:after="0"/>
              <w:rPr>
                <w:sz w:val="20"/>
                <w:szCs w:val="20"/>
                <w:color w:val="auto"/>
              </w:rPr>
            </w:pPr>
            <w:r>
              <w:rPr>
                <w:rFonts w:ascii="Arial" w:cs="Arial" w:eastAsia="Arial" w:hAnsi="Arial"/>
                <w:sz w:val="14"/>
                <w:szCs w:val="14"/>
                <w:b w:val="1"/>
                <w:bCs w:val="1"/>
                <w:i w:val="1"/>
                <w:iCs w:val="1"/>
                <w:color w:val="0171B9"/>
              </w:rPr>
              <w:t>Simplification and Automation —</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6880" w:type="dxa"/>
            <w:vAlign w:val="bottom"/>
          </w:tcPr>
          <w:p>
            <w:pPr>
              <w:jc w:val="right"/>
              <w:spacing w:after="0"/>
              <w:rPr>
                <w:sz w:val="20"/>
                <w:szCs w:val="20"/>
                <w:color w:val="auto"/>
              </w:rPr>
            </w:pPr>
            <w:r>
              <w:rPr>
                <w:rFonts w:ascii="Arial" w:cs="Arial" w:eastAsia="Arial" w:hAnsi="Arial"/>
                <w:sz w:val="14"/>
                <w:szCs w:val="14"/>
                <w:color w:val="0171B9"/>
              </w:rPr>
              <w:t>•</w:t>
            </w:r>
            <w:r>
              <w:rPr>
                <w:rFonts w:ascii="Arial" w:cs="Arial" w:eastAsia="Arial" w:hAnsi="Arial"/>
                <w:sz w:val="14"/>
                <w:szCs w:val="14"/>
                <w:color w:val="000000"/>
              </w:rPr>
              <w:t xml:space="preserve">   To drive further efficiencies and speed throughout our drug discovery, development, manufacturing,</w:t>
            </w:r>
          </w:p>
        </w:tc>
        <w:tc>
          <w:tcPr>
            <w:tcW w:w="820" w:type="dxa"/>
            <w:vAlign w:val="bottom"/>
          </w:tcPr>
          <w:p>
            <w:pPr>
              <w:jc w:val="right"/>
              <w:ind w:right="42"/>
              <w:spacing w:after="0"/>
              <w:rPr>
                <w:sz w:val="20"/>
                <w:szCs w:val="20"/>
                <w:color w:val="auto"/>
              </w:rPr>
            </w:pPr>
            <w:r>
              <w:rPr>
                <w:rFonts w:ascii="Arial" w:cs="Arial" w:eastAsia="Arial" w:hAnsi="Arial"/>
                <w:sz w:val="16"/>
                <w:szCs w:val="16"/>
                <w:color w:val="0171B9"/>
              </w:rPr>
              <w:t>225.0%</w:t>
            </w:r>
          </w:p>
        </w:tc>
        <w:tc>
          <w:tcPr>
            <w:tcW w:w="0" w:type="dxa"/>
            <w:vAlign w:val="bottom"/>
          </w:tcPr>
          <w:p>
            <w:pPr>
              <w:spacing w:after="0"/>
              <w:rPr>
                <w:sz w:val="1"/>
                <w:szCs w:val="1"/>
                <w:color w:val="auto"/>
              </w:rPr>
            </w:pPr>
          </w:p>
        </w:tc>
      </w:tr>
      <w:tr>
        <w:trPr>
          <w:trHeight w:val="162"/>
        </w:trPr>
        <w:tc>
          <w:tcPr>
            <w:tcW w:w="2440" w:type="dxa"/>
            <w:vAlign w:val="bottom"/>
          </w:tcPr>
          <w:p>
            <w:pPr>
              <w:ind w:left="100"/>
              <w:spacing w:after="0"/>
              <w:rPr>
                <w:sz w:val="20"/>
                <w:szCs w:val="20"/>
                <w:color w:val="auto"/>
              </w:rPr>
            </w:pPr>
            <w:r>
              <w:rPr>
                <w:rFonts w:ascii="Arial" w:cs="Arial" w:eastAsia="Arial" w:hAnsi="Arial"/>
                <w:sz w:val="14"/>
                <w:szCs w:val="14"/>
                <w:i w:val="1"/>
                <w:iCs w:val="1"/>
                <w:color w:val="auto"/>
              </w:rPr>
              <w:t>Focused on driving end-to-end</w:t>
            </w:r>
          </w:p>
        </w:tc>
        <w:tc>
          <w:tcPr>
            <w:tcW w:w="880" w:type="dxa"/>
            <w:vAlign w:val="bottom"/>
          </w:tcPr>
          <w:p>
            <w:pPr>
              <w:spacing w:after="0"/>
              <w:rPr>
                <w:sz w:val="14"/>
                <w:szCs w:val="14"/>
                <w:color w:val="auto"/>
              </w:rPr>
            </w:pPr>
          </w:p>
        </w:tc>
        <w:tc>
          <w:tcPr>
            <w:tcW w:w="6880" w:type="dxa"/>
            <w:vAlign w:val="bottom"/>
          </w:tcPr>
          <w:p>
            <w:pPr>
              <w:ind w:left="260"/>
              <w:spacing w:after="0"/>
              <w:rPr>
                <w:sz w:val="20"/>
                <w:szCs w:val="20"/>
                <w:color w:val="auto"/>
              </w:rPr>
            </w:pPr>
            <w:r>
              <w:rPr>
                <w:rFonts w:ascii="Arial" w:cs="Arial" w:eastAsia="Arial" w:hAnsi="Arial"/>
                <w:sz w:val="14"/>
                <w:szCs w:val="14"/>
                <w:color w:val="auto"/>
              </w:rPr>
              <w:t>and marketing efforts, we established this goal to challenge our employees to drive end-to-end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80"/>
              <w:spacing w:after="0"/>
              <w:rPr>
                <w:sz w:val="20"/>
                <w:szCs w:val="20"/>
                <w:color w:val="auto"/>
              </w:rPr>
            </w:pPr>
            <w:r>
              <w:rPr>
                <w:rFonts w:ascii="Arial" w:cs="Arial" w:eastAsia="Arial" w:hAnsi="Arial"/>
                <w:sz w:val="14"/>
                <w:szCs w:val="14"/>
                <w:i w:val="1"/>
                <w:iCs w:val="1"/>
                <w:color w:val="auto"/>
              </w:rPr>
              <w:t>simplification of our processes,</w:t>
            </w:r>
          </w:p>
        </w:tc>
        <w:tc>
          <w:tcPr>
            <w:tcW w:w="880" w:type="dxa"/>
            <w:vAlign w:val="bottom"/>
          </w:tcPr>
          <w:p>
            <w:pPr>
              <w:spacing w:after="0"/>
              <w:rPr>
                <w:sz w:val="14"/>
                <w:szCs w:val="14"/>
                <w:color w:val="auto"/>
              </w:rPr>
            </w:pPr>
          </w:p>
        </w:tc>
        <w:tc>
          <w:tcPr>
            <w:tcW w:w="6880" w:type="dxa"/>
            <w:vAlign w:val="bottom"/>
          </w:tcPr>
          <w:p>
            <w:pPr>
              <w:ind w:left="260"/>
              <w:spacing w:after="0"/>
              <w:rPr>
                <w:sz w:val="20"/>
                <w:szCs w:val="20"/>
                <w:color w:val="auto"/>
              </w:rPr>
            </w:pPr>
            <w:r>
              <w:rPr>
                <w:rFonts w:ascii="Arial" w:cs="Arial" w:eastAsia="Arial" w:hAnsi="Arial"/>
                <w:sz w:val="14"/>
                <w:szCs w:val="14"/>
                <w:color w:val="auto"/>
              </w:rPr>
              <w:t>simplification of our processes and increase the appropriate use of automation technologies across the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80"/>
              <w:spacing w:after="0"/>
              <w:rPr>
                <w:sz w:val="20"/>
                <w:szCs w:val="20"/>
                <w:color w:val="auto"/>
              </w:rPr>
            </w:pPr>
            <w:r>
              <w:rPr>
                <w:rFonts w:ascii="Arial" w:cs="Arial" w:eastAsia="Arial" w:hAnsi="Arial"/>
                <w:sz w:val="14"/>
                <w:szCs w:val="14"/>
                <w:i w:val="1"/>
                <w:iCs w:val="1"/>
                <w:color w:val="auto"/>
              </w:rPr>
              <w:t>striving to significantly increase the</w:t>
            </w:r>
          </w:p>
        </w:tc>
        <w:tc>
          <w:tcPr>
            <w:tcW w:w="880" w:type="dxa"/>
            <w:vAlign w:val="bottom"/>
          </w:tcPr>
          <w:p>
            <w:pPr>
              <w:spacing w:after="0"/>
              <w:rPr>
                <w:sz w:val="14"/>
                <w:szCs w:val="14"/>
                <w:color w:val="auto"/>
              </w:rPr>
            </w:pPr>
          </w:p>
        </w:tc>
        <w:tc>
          <w:tcPr>
            <w:tcW w:w="6880" w:type="dxa"/>
            <w:vAlign w:val="bottom"/>
          </w:tcPr>
          <w:p>
            <w:pPr>
              <w:ind w:left="260"/>
              <w:spacing w:after="0"/>
              <w:rPr>
                <w:sz w:val="20"/>
                <w:szCs w:val="20"/>
                <w:color w:val="auto"/>
              </w:rPr>
            </w:pPr>
            <w:r>
              <w:rPr>
                <w:rFonts w:ascii="Arial" w:cs="Arial" w:eastAsia="Arial" w:hAnsi="Arial"/>
                <w:sz w:val="14"/>
                <w:szCs w:val="14"/>
                <w:color w:val="auto"/>
              </w:rPr>
              <w:t>Company to accelerate the adoption of digital automation at all levels of the organization. At the target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80"/>
              <w:spacing w:after="0"/>
              <w:rPr>
                <w:sz w:val="20"/>
                <w:szCs w:val="20"/>
                <w:color w:val="auto"/>
              </w:rPr>
            </w:pPr>
            <w:r>
              <w:rPr>
                <w:rFonts w:ascii="Arial" w:cs="Arial" w:eastAsia="Arial" w:hAnsi="Arial"/>
                <w:sz w:val="14"/>
                <w:szCs w:val="14"/>
                <w:i w:val="1"/>
                <w:iCs w:val="1"/>
                <w:color w:val="auto"/>
              </w:rPr>
              <w:t>appropriate use of automation</w:t>
            </w:r>
          </w:p>
        </w:tc>
        <w:tc>
          <w:tcPr>
            <w:tcW w:w="880" w:type="dxa"/>
            <w:vAlign w:val="bottom"/>
          </w:tcPr>
          <w:p>
            <w:pPr>
              <w:spacing w:after="0"/>
              <w:rPr>
                <w:sz w:val="14"/>
                <w:szCs w:val="14"/>
                <w:color w:val="auto"/>
              </w:rPr>
            </w:pPr>
          </w:p>
        </w:tc>
        <w:tc>
          <w:tcPr>
            <w:tcW w:w="6880" w:type="dxa"/>
            <w:vAlign w:val="bottom"/>
          </w:tcPr>
          <w:p>
            <w:pPr>
              <w:ind w:left="260"/>
              <w:spacing w:after="0"/>
              <w:rPr>
                <w:sz w:val="20"/>
                <w:szCs w:val="20"/>
                <w:color w:val="auto"/>
              </w:rPr>
            </w:pPr>
            <w:r>
              <w:rPr>
                <w:rFonts w:ascii="Arial" w:cs="Arial" w:eastAsia="Arial" w:hAnsi="Arial"/>
                <w:sz w:val="14"/>
                <w:szCs w:val="14"/>
                <w:color w:val="auto"/>
              </w:rPr>
              <w:t>level, we required three end-to-end process simplification initiatives resourced and funded and 250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80"/>
              <w:spacing w:after="0"/>
              <w:rPr>
                <w:sz w:val="20"/>
                <w:szCs w:val="20"/>
                <w:color w:val="auto"/>
              </w:rPr>
            </w:pPr>
            <w:r>
              <w:rPr>
                <w:rFonts w:ascii="Arial" w:cs="Arial" w:eastAsia="Arial" w:hAnsi="Arial"/>
                <w:sz w:val="14"/>
                <w:szCs w:val="14"/>
                <w:i w:val="1"/>
                <w:iCs w:val="1"/>
                <w:color w:val="auto"/>
              </w:rPr>
              <w:t>technologies, and accelerating the</w:t>
            </w:r>
          </w:p>
        </w:tc>
        <w:tc>
          <w:tcPr>
            <w:tcW w:w="880" w:type="dxa"/>
            <w:vAlign w:val="bottom"/>
          </w:tcPr>
          <w:p>
            <w:pPr>
              <w:spacing w:after="0"/>
              <w:rPr>
                <w:sz w:val="14"/>
                <w:szCs w:val="14"/>
                <w:color w:val="auto"/>
              </w:rPr>
            </w:pPr>
          </w:p>
        </w:tc>
        <w:tc>
          <w:tcPr>
            <w:tcW w:w="6880" w:type="dxa"/>
            <w:vAlign w:val="bottom"/>
          </w:tcPr>
          <w:p>
            <w:pPr>
              <w:ind w:left="260"/>
              <w:spacing w:after="0"/>
              <w:rPr>
                <w:sz w:val="20"/>
                <w:szCs w:val="20"/>
                <w:color w:val="auto"/>
              </w:rPr>
            </w:pPr>
            <w:r>
              <w:rPr>
                <w:rFonts w:ascii="Arial" w:cs="Arial" w:eastAsia="Arial" w:hAnsi="Arial"/>
                <w:sz w:val="14"/>
                <w:szCs w:val="14"/>
                <w:color w:val="auto"/>
              </w:rPr>
              <w:t>automations implemented.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80"/>
              <w:spacing w:after="0"/>
              <w:rPr>
                <w:sz w:val="20"/>
                <w:szCs w:val="20"/>
                <w:color w:val="auto"/>
              </w:rPr>
            </w:pPr>
            <w:r>
              <w:rPr>
                <w:rFonts w:ascii="Arial" w:cs="Arial" w:eastAsia="Arial" w:hAnsi="Arial"/>
                <w:sz w:val="14"/>
                <w:szCs w:val="14"/>
                <w:i w:val="1"/>
                <w:iCs w:val="1"/>
                <w:color w:val="auto"/>
              </w:rPr>
              <w:t>adoption of digital automation at all</w:t>
            </w:r>
          </w:p>
        </w:tc>
        <w:tc>
          <w:tcPr>
            <w:tcW w:w="880" w:type="dxa"/>
            <w:vAlign w:val="bottom"/>
          </w:tcPr>
          <w:p>
            <w:pPr>
              <w:spacing w:after="0"/>
              <w:rPr>
                <w:sz w:val="14"/>
                <w:szCs w:val="14"/>
                <w:color w:val="auto"/>
              </w:rPr>
            </w:pPr>
          </w:p>
        </w:tc>
        <w:tc>
          <w:tcPr>
            <w:tcW w:w="6880" w:type="dxa"/>
            <w:vAlign w:val="bottom"/>
            <w:vMerge w:val="restart"/>
          </w:tcPr>
          <w:p>
            <w:pPr>
              <w:jc w:val="right"/>
              <w:spacing w:after="0"/>
              <w:rPr>
                <w:sz w:val="20"/>
                <w:szCs w:val="20"/>
                <w:color w:val="auto"/>
              </w:rPr>
            </w:pPr>
            <w:r>
              <w:rPr>
                <w:rFonts w:ascii="Arial" w:cs="Arial" w:eastAsia="Arial" w:hAnsi="Arial"/>
                <w:sz w:val="14"/>
                <w:szCs w:val="14"/>
                <w:color w:val="auto"/>
              </w:rPr>
              <w:t>     Our Company achieved the maximum of the targets set for the goal with five resourced and funded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440" w:type="dxa"/>
            <w:vAlign w:val="bottom"/>
          </w:tcPr>
          <w:p>
            <w:pPr>
              <w:ind w:left="80"/>
              <w:spacing w:after="0" w:line="145" w:lineRule="exact"/>
              <w:rPr>
                <w:sz w:val="20"/>
                <w:szCs w:val="20"/>
                <w:color w:val="auto"/>
              </w:rPr>
            </w:pPr>
            <w:r>
              <w:rPr>
                <w:rFonts w:ascii="Arial" w:cs="Arial" w:eastAsia="Arial" w:hAnsi="Arial"/>
                <w:sz w:val="14"/>
                <w:szCs w:val="14"/>
                <w:i w:val="1"/>
                <w:iCs w:val="1"/>
                <w:color w:val="auto"/>
              </w:rPr>
              <w:t>levels of our Company to further</w:t>
            </w:r>
          </w:p>
        </w:tc>
        <w:tc>
          <w:tcPr>
            <w:tcW w:w="880" w:type="dxa"/>
            <w:vAlign w:val="bottom"/>
          </w:tcPr>
          <w:p>
            <w:pPr>
              <w:spacing w:after="0"/>
              <w:rPr>
                <w:sz w:val="12"/>
                <w:szCs w:val="12"/>
                <w:color w:val="auto"/>
              </w:rPr>
            </w:pPr>
          </w:p>
        </w:tc>
        <w:tc>
          <w:tcPr>
            <w:tcW w:w="68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40" w:type="dxa"/>
            <w:vAlign w:val="bottom"/>
          </w:tcPr>
          <w:p>
            <w:pPr>
              <w:ind w:left="80"/>
              <w:spacing w:after="0"/>
              <w:rPr>
                <w:sz w:val="20"/>
                <w:szCs w:val="20"/>
                <w:color w:val="auto"/>
              </w:rPr>
            </w:pPr>
            <w:r>
              <w:rPr>
                <w:rFonts w:ascii="Arial" w:cs="Arial" w:eastAsia="Arial" w:hAnsi="Arial"/>
                <w:sz w:val="14"/>
                <w:szCs w:val="14"/>
                <w:i w:val="1"/>
                <w:iCs w:val="1"/>
                <w:color w:val="auto"/>
              </w:rPr>
              <w:t>enable speed and efficiencies in our</w:t>
            </w:r>
          </w:p>
        </w:tc>
        <w:tc>
          <w:tcPr>
            <w:tcW w:w="880" w:type="dxa"/>
            <w:vAlign w:val="bottom"/>
          </w:tcPr>
          <w:p>
            <w:pPr>
              <w:spacing w:after="0"/>
              <w:rPr>
                <w:sz w:val="16"/>
                <w:szCs w:val="16"/>
                <w:color w:val="auto"/>
              </w:rPr>
            </w:pPr>
          </w:p>
        </w:tc>
        <w:tc>
          <w:tcPr>
            <w:tcW w:w="6880" w:type="dxa"/>
            <w:vAlign w:val="bottom"/>
          </w:tcPr>
          <w:p>
            <w:pPr>
              <w:ind w:left="260"/>
              <w:spacing w:after="0"/>
              <w:rPr>
                <w:sz w:val="20"/>
                <w:szCs w:val="20"/>
                <w:color w:val="auto"/>
              </w:rPr>
            </w:pPr>
            <w:r>
              <w:rPr>
                <w:rFonts w:ascii="Arial" w:cs="Arial" w:eastAsia="Arial" w:hAnsi="Arial"/>
                <w:sz w:val="14"/>
                <w:szCs w:val="14"/>
                <w:color w:val="auto"/>
              </w:rPr>
              <w:t>end-to-end process simplification initiatives and 360 automations implemented in 2022.</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00"/>
        <w:spacing w:after="0"/>
        <w:rPr>
          <w:sz w:val="20"/>
          <w:szCs w:val="20"/>
          <w:color w:val="auto"/>
        </w:rPr>
      </w:pPr>
      <w:r>
        <w:rPr>
          <w:rFonts w:ascii="Arial" w:cs="Arial" w:eastAsia="Arial" w:hAnsi="Arial"/>
          <w:sz w:val="14"/>
          <w:szCs w:val="14"/>
          <w:i w:val="1"/>
          <w:iCs w:val="1"/>
          <w:color w:val="auto"/>
        </w:rPr>
        <w:t>drug discovery, development,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manufacturing, and marketing</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Certain measurements of performance for the non-financial metrics are subjective in nature and could result in a very small payout percentage (less than 1% of an annual cash incentive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26670</wp:posOffset>
            </wp:positionV>
            <wp:extent cx="699516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277"/>
        </w:trPr>
        <w:tc>
          <w:tcPr>
            <w:tcW w:w="3680" w:type="dxa"/>
            <w:vAlign w:val="bottom"/>
            <w:tcBorders>
              <w:top w:val="single" w:sz="8" w:color="auto"/>
              <w:bottom w:val="single" w:sz="8" w:color="auto"/>
            </w:tcBorders>
            <w:shd w:val="clear" w:color="auto" w:fill="0171B9"/>
          </w:tcPr>
          <w:p>
            <w:pPr>
              <w:ind w:left="80"/>
              <w:spacing w:after="0"/>
              <w:rPr>
                <w:sz w:val="20"/>
                <w:szCs w:val="20"/>
                <w:color w:val="auto"/>
              </w:rPr>
            </w:pPr>
            <w:r>
              <w:rPr>
                <w:rFonts w:ascii="Arial" w:cs="Arial" w:eastAsia="Arial" w:hAnsi="Arial"/>
                <w:sz w:val="16"/>
                <w:szCs w:val="16"/>
                <w:b w:val="1"/>
                <w:bCs w:val="1"/>
                <w:color w:val="FFFFFF"/>
              </w:rPr>
              <w:t>2022 Company Performance Goals Final Score</w:t>
            </w:r>
          </w:p>
        </w:tc>
        <w:tc>
          <w:tcPr>
            <w:tcW w:w="7340" w:type="dxa"/>
            <w:vAlign w:val="bottom"/>
            <w:tcBorders>
              <w:top w:val="single" w:sz="8" w:color="auto"/>
              <w:bottom w:val="single" w:sz="8" w:color="auto"/>
            </w:tcBorders>
            <w:shd w:val="clear" w:color="auto" w:fill="0171B9"/>
          </w:tcPr>
          <w:p>
            <w:pPr>
              <w:ind w:left="5700"/>
              <w:spacing w:after="0"/>
              <w:rPr>
                <w:sz w:val="20"/>
                <w:szCs w:val="20"/>
                <w:color w:val="auto"/>
              </w:rPr>
            </w:pPr>
            <w:r>
              <w:rPr>
                <w:rFonts w:ascii="Arial" w:cs="Arial" w:eastAsia="Arial" w:hAnsi="Arial"/>
                <w:sz w:val="17"/>
                <w:szCs w:val="17"/>
                <w:b w:val="1"/>
                <w:bCs w:val="1"/>
                <w:color w:val="FFFFFF"/>
              </w:rPr>
              <w:t>Achieved</w:t>
            </w:r>
            <w:r>
              <w:rPr>
                <w:rFonts w:ascii="Arial" w:cs="Arial" w:eastAsia="Arial" w:hAnsi="Arial"/>
                <w:sz w:val="12"/>
                <w:szCs w:val="12"/>
                <w:b w:val="1"/>
                <w:bCs w:val="1"/>
                <w:color w:val="FFFFFF"/>
              </w:rPr>
              <w:t>(1)</w:t>
            </w:r>
            <w:r>
              <w:rPr>
                <w:rFonts w:ascii="Arial" w:cs="Arial" w:eastAsia="Arial" w:hAnsi="Arial"/>
                <w:sz w:val="17"/>
                <w:szCs w:val="17"/>
                <w:b w:val="1"/>
                <w:bCs w:val="1"/>
                <w:color w:val="FFFFFF"/>
              </w:rPr>
              <w:t xml:space="preserve"> 121.0%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7" w:lineRule="exact"/>
        <w:rPr>
          <w:sz w:val="20"/>
          <w:szCs w:val="20"/>
          <w:color w:val="auto"/>
        </w:rPr>
      </w:pPr>
    </w:p>
    <w:p>
      <w:pPr>
        <w:ind w:left="540" w:hanging="424"/>
        <w:spacing w:after="0"/>
        <w:tabs>
          <w:tab w:leader="none" w:pos="540" w:val="left"/>
        </w:tabs>
        <w:numPr>
          <w:ilvl w:val="0"/>
          <w:numId w:val="96"/>
        </w:numPr>
        <w:rPr>
          <w:rFonts w:ascii="Arial" w:cs="Arial" w:eastAsia="Arial" w:hAnsi="Arial"/>
          <w:sz w:val="22"/>
          <w:szCs w:val="22"/>
          <w:color w:val="auto"/>
          <w:vertAlign w:val="superscript"/>
        </w:rPr>
      </w:pPr>
      <w:r>
        <w:rPr>
          <w:rFonts w:ascii="Arial" w:cs="Arial" w:eastAsia="Arial" w:hAnsi="Arial"/>
          <w:sz w:val="14"/>
          <w:szCs w:val="14"/>
          <w:color w:val="auto"/>
        </w:rPr>
        <w:t>Percentages do not total to final score due to rounding.</w:t>
      </w:r>
    </w:p>
    <w:p>
      <w:pPr>
        <w:spacing w:after="0" w:line="117" w:lineRule="exact"/>
        <w:rPr>
          <w:sz w:val="20"/>
          <w:szCs w:val="20"/>
          <w:color w:val="auto"/>
        </w:r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6960"/>
        <w:spacing w:after="0"/>
        <w:rPr>
          <w:sz w:val="20"/>
          <w:szCs w:val="20"/>
          <w:color w:val="auto"/>
        </w:rPr>
      </w:pPr>
      <w:r>
        <w:rPr>
          <w:rFonts w:ascii="Arial" w:cs="Arial" w:eastAsia="Arial" w:hAnsi="Arial"/>
          <w:sz w:val="21"/>
          <w:szCs w:val="21"/>
          <w:b w:val="1"/>
          <w:bCs w:val="1"/>
          <w:color w:val="FFFFFF"/>
          <w:shd w:val="clear" w:color="auto" w:fill="0171B9"/>
        </w:rPr>
        <w:t>Compensation Discussion and Analysis</w:t>
      </w:r>
    </w:p>
    <w:p>
      <w:pPr>
        <w:spacing w:after="0" w:line="35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171B9"/>
        </w:rPr>
        <w:t>2022 Annual Cash Incentive Awards</w:t>
      </w:r>
    </w:p>
    <w:p>
      <w:pPr>
        <w:spacing w:after="0" w:line="11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As shown in the table above, our performance against the 2022 Company performance goals yielded a composite final score of 121.0% and the Compensation Committee awarded actual annual cash incentive awards under the EIP to our NEOs based on this composite final score. No further discretion was employed.</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660" w:type="dxa"/>
            <w:vAlign w:val="bottom"/>
            <w:shd w:val="clear" w:color="auto" w:fill="0171B9"/>
          </w:tcPr>
          <w:p>
            <w:pPr>
              <w:spacing w:after="0"/>
              <w:rPr>
                <w:sz w:val="20"/>
                <w:szCs w:val="20"/>
                <w:color w:val="auto"/>
              </w:rPr>
            </w:pPr>
          </w:p>
        </w:tc>
        <w:tc>
          <w:tcPr>
            <w:tcW w:w="2220" w:type="dxa"/>
            <w:vAlign w:val="bottom"/>
            <w:shd w:val="clear" w:color="auto" w:fill="0171B9"/>
          </w:tcPr>
          <w:p>
            <w:pPr>
              <w:jc w:val="right"/>
              <w:ind w:right="459"/>
              <w:spacing w:after="0"/>
              <w:rPr>
                <w:sz w:val="20"/>
                <w:szCs w:val="20"/>
                <w:color w:val="auto"/>
              </w:rPr>
            </w:pPr>
            <w:r>
              <w:rPr>
                <w:rFonts w:ascii="Arial" w:cs="Arial" w:eastAsia="Arial" w:hAnsi="Arial"/>
                <w:sz w:val="16"/>
                <w:szCs w:val="16"/>
                <w:b w:val="1"/>
                <w:bCs w:val="1"/>
                <w:color w:val="FFFFFF"/>
              </w:rPr>
              <w:t>Target Opportunity</w:t>
            </w:r>
          </w:p>
        </w:tc>
        <w:tc>
          <w:tcPr>
            <w:tcW w:w="2680" w:type="dxa"/>
            <w:vAlign w:val="bottom"/>
            <w:shd w:val="clear" w:color="auto" w:fill="0171B9"/>
          </w:tcPr>
          <w:p>
            <w:pPr>
              <w:spacing w:after="0"/>
              <w:rPr>
                <w:sz w:val="20"/>
                <w:szCs w:val="20"/>
                <w:color w:val="auto"/>
              </w:rPr>
            </w:pPr>
          </w:p>
        </w:tc>
        <w:tc>
          <w:tcPr>
            <w:tcW w:w="2460" w:type="dxa"/>
            <w:vAlign w:val="bottom"/>
            <w:shd w:val="clear" w:color="auto" w:fill="0171B9"/>
          </w:tcPr>
          <w:p>
            <w:pPr>
              <w:spacing w:after="0"/>
              <w:rPr>
                <w:sz w:val="20"/>
                <w:szCs w:val="20"/>
                <w:color w:val="auto"/>
              </w:rPr>
            </w:pPr>
          </w:p>
        </w:tc>
      </w:tr>
      <w:tr>
        <w:trPr>
          <w:trHeight w:val="261"/>
        </w:trPr>
        <w:tc>
          <w:tcPr>
            <w:tcW w:w="3660" w:type="dxa"/>
            <w:vAlign w:val="bottom"/>
            <w:shd w:val="clear" w:color="auto" w:fill="0171B9"/>
          </w:tcPr>
          <w:p>
            <w:pPr>
              <w:ind w:left="60"/>
              <w:spacing w:after="0"/>
              <w:rPr>
                <w:sz w:val="20"/>
                <w:szCs w:val="20"/>
                <w:color w:val="auto"/>
              </w:rPr>
            </w:pPr>
            <w:r>
              <w:rPr>
                <w:rFonts w:ascii="Arial" w:cs="Arial" w:eastAsia="Arial" w:hAnsi="Arial"/>
                <w:sz w:val="16"/>
                <w:szCs w:val="16"/>
                <w:b w:val="1"/>
                <w:bCs w:val="1"/>
                <w:color w:val="FFFFFF"/>
              </w:rPr>
              <w:t>Named Executive Officer</w:t>
            </w:r>
          </w:p>
        </w:tc>
        <w:tc>
          <w:tcPr>
            <w:tcW w:w="2220" w:type="dxa"/>
            <w:vAlign w:val="bottom"/>
            <w:shd w:val="clear" w:color="auto" w:fill="0171B9"/>
          </w:tcPr>
          <w:p>
            <w:pPr>
              <w:jc w:val="right"/>
              <w:ind w:right="479"/>
              <w:spacing w:after="0"/>
              <w:rPr>
                <w:sz w:val="20"/>
                <w:szCs w:val="20"/>
                <w:color w:val="auto"/>
              </w:rPr>
            </w:pPr>
            <w:r>
              <w:rPr>
                <w:rFonts w:ascii="Arial" w:cs="Arial" w:eastAsia="Arial" w:hAnsi="Arial"/>
                <w:sz w:val="16"/>
                <w:szCs w:val="16"/>
                <w:b w:val="1"/>
                <w:bCs w:val="1"/>
                <w:color w:val="FFFFFF"/>
              </w:rPr>
              <w:t>(% of Base Salary)</w:t>
            </w:r>
          </w:p>
        </w:tc>
        <w:tc>
          <w:tcPr>
            <w:tcW w:w="2680" w:type="dxa"/>
            <w:vAlign w:val="bottom"/>
            <w:shd w:val="clear" w:color="auto" w:fill="0171B9"/>
          </w:tcPr>
          <w:p>
            <w:pPr>
              <w:jc w:val="right"/>
              <w:ind w:right="439"/>
              <w:spacing w:after="0"/>
              <w:rPr>
                <w:sz w:val="20"/>
                <w:szCs w:val="20"/>
                <w:color w:val="auto"/>
              </w:rPr>
            </w:pPr>
            <w:r>
              <w:rPr>
                <w:rFonts w:ascii="Arial" w:cs="Arial" w:eastAsia="Arial" w:hAnsi="Arial"/>
                <w:sz w:val="16"/>
                <w:szCs w:val="16"/>
                <w:b w:val="1"/>
                <w:bCs w:val="1"/>
                <w:color w:val="FFFFFF"/>
              </w:rPr>
              <w:t>Target 2022 Award($)</w:t>
            </w:r>
          </w:p>
        </w:tc>
        <w:tc>
          <w:tcPr>
            <w:tcW w:w="2460" w:type="dxa"/>
            <w:vAlign w:val="bottom"/>
            <w:shd w:val="clear" w:color="auto" w:fill="0171B9"/>
          </w:tcPr>
          <w:p>
            <w:pPr>
              <w:jc w:val="right"/>
              <w:ind w:right="79"/>
              <w:spacing w:after="0" w:line="262" w:lineRule="exact"/>
              <w:rPr>
                <w:sz w:val="20"/>
                <w:szCs w:val="20"/>
                <w:color w:val="auto"/>
              </w:rPr>
            </w:pPr>
            <w:r>
              <w:rPr>
                <w:rFonts w:ascii="Arial" w:cs="Arial" w:eastAsia="Arial" w:hAnsi="Arial"/>
                <w:sz w:val="16"/>
                <w:szCs w:val="16"/>
                <w:b w:val="1"/>
                <w:bCs w:val="1"/>
                <w:color w:val="FFFFFF"/>
              </w:rPr>
              <w:t>Actual 2022 Award($)</w:t>
            </w:r>
            <w:r>
              <w:rPr>
                <w:rFonts w:ascii="Arial" w:cs="Arial" w:eastAsia="Arial" w:hAnsi="Arial"/>
                <w:sz w:val="24"/>
                <w:szCs w:val="24"/>
                <w:b w:val="1"/>
                <w:bCs w:val="1"/>
                <w:color w:val="FFFFFF"/>
                <w:vertAlign w:val="superscript"/>
              </w:rPr>
              <w:t>(1)</w:t>
            </w:r>
          </w:p>
        </w:tc>
      </w:tr>
      <w:tr>
        <w:trPr>
          <w:trHeight w:val="250"/>
        </w:trPr>
        <w:tc>
          <w:tcPr>
            <w:tcW w:w="3660" w:type="dxa"/>
            <w:vAlign w:val="bottom"/>
            <w:tcBorders>
              <w:bottom w:val="single" w:sz="8" w:color="CCE2F1"/>
            </w:tcBorders>
            <w:shd w:val="clear" w:color="auto" w:fill="CCE2F1"/>
          </w:tcPr>
          <w:p>
            <w:pPr>
              <w:ind w:left="60"/>
              <w:spacing w:after="0"/>
              <w:rPr>
                <w:sz w:val="20"/>
                <w:szCs w:val="20"/>
                <w:color w:val="auto"/>
              </w:rPr>
            </w:pPr>
            <w:r>
              <w:rPr>
                <w:rFonts w:ascii="Arial" w:cs="Arial" w:eastAsia="Arial" w:hAnsi="Arial"/>
                <w:sz w:val="16"/>
                <w:szCs w:val="16"/>
                <w:color w:val="auto"/>
              </w:rPr>
              <w:t>Robert A. Bradway</w:t>
            </w:r>
          </w:p>
        </w:tc>
        <w:tc>
          <w:tcPr>
            <w:tcW w:w="2220" w:type="dxa"/>
            <w:vAlign w:val="bottom"/>
            <w:tcBorders>
              <w:bottom w:val="single" w:sz="8" w:color="CCE2F1"/>
            </w:tcBorders>
            <w:shd w:val="clear" w:color="auto" w:fill="CCE2F1"/>
          </w:tcPr>
          <w:p>
            <w:pPr>
              <w:jc w:val="right"/>
              <w:ind w:right="459"/>
              <w:spacing w:after="0"/>
              <w:rPr>
                <w:sz w:val="20"/>
                <w:szCs w:val="20"/>
                <w:color w:val="auto"/>
              </w:rPr>
            </w:pPr>
            <w:r>
              <w:rPr>
                <w:rFonts w:ascii="Arial" w:cs="Arial" w:eastAsia="Arial" w:hAnsi="Arial"/>
                <w:sz w:val="16"/>
                <w:szCs w:val="16"/>
                <w:color w:val="auto"/>
              </w:rPr>
              <w:t>150</w:t>
            </w:r>
          </w:p>
        </w:tc>
        <w:tc>
          <w:tcPr>
            <w:tcW w:w="2680" w:type="dxa"/>
            <w:vAlign w:val="bottom"/>
            <w:tcBorders>
              <w:bottom w:val="single" w:sz="8" w:color="CCE2F1"/>
            </w:tcBorders>
            <w:shd w:val="clear" w:color="auto" w:fill="CCE2F1"/>
          </w:tcPr>
          <w:p>
            <w:pPr>
              <w:jc w:val="right"/>
              <w:ind w:right="439"/>
              <w:spacing w:after="0"/>
              <w:rPr>
                <w:sz w:val="20"/>
                <w:szCs w:val="20"/>
                <w:color w:val="auto"/>
              </w:rPr>
            </w:pPr>
            <w:r>
              <w:rPr>
                <w:rFonts w:ascii="Arial" w:cs="Arial" w:eastAsia="Arial" w:hAnsi="Arial"/>
                <w:sz w:val="16"/>
                <w:szCs w:val="16"/>
                <w:color w:val="auto"/>
              </w:rPr>
              <w:t>2,580,075</w:t>
            </w:r>
          </w:p>
        </w:tc>
        <w:tc>
          <w:tcPr>
            <w:tcW w:w="246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3,122,000</w:t>
            </w:r>
          </w:p>
        </w:tc>
      </w:tr>
      <w:tr>
        <w:trPr>
          <w:trHeight w:val="223"/>
        </w:trPr>
        <w:tc>
          <w:tcPr>
            <w:tcW w:w="3660" w:type="dxa"/>
            <w:vAlign w:val="bottom"/>
          </w:tcPr>
          <w:p>
            <w:pPr>
              <w:ind w:left="60"/>
              <w:spacing w:after="0"/>
              <w:rPr>
                <w:sz w:val="20"/>
                <w:szCs w:val="20"/>
                <w:color w:val="auto"/>
              </w:rPr>
            </w:pPr>
            <w:r>
              <w:rPr>
                <w:rFonts w:ascii="Arial" w:cs="Arial" w:eastAsia="Arial" w:hAnsi="Arial"/>
                <w:sz w:val="16"/>
                <w:szCs w:val="16"/>
                <w:color w:val="auto"/>
              </w:rPr>
              <w:t>Murdo Gordon</w:t>
            </w:r>
          </w:p>
        </w:tc>
        <w:tc>
          <w:tcPr>
            <w:tcW w:w="2220" w:type="dxa"/>
            <w:vAlign w:val="bottom"/>
          </w:tcPr>
          <w:p>
            <w:pPr>
              <w:jc w:val="right"/>
              <w:ind w:right="459"/>
              <w:spacing w:after="0"/>
              <w:rPr>
                <w:sz w:val="20"/>
                <w:szCs w:val="20"/>
                <w:color w:val="auto"/>
              </w:rPr>
            </w:pPr>
            <w:r>
              <w:rPr>
                <w:rFonts w:ascii="Arial" w:cs="Arial" w:eastAsia="Arial" w:hAnsi="Arial"/>
                <w:sz w:val="16"/>
                <w:szCs w:val="16"/>
                <w:color w:val="auto"/>
              </w:rPr>
              <w:t>100</w:t>
            </w:r>
          </w:p>
        </w:tc>
        <w:tc>
          <w:tcPr>
            <w:tcW w:w="2680" w:type="dxa"/>
            <w:vAlign w:val="bottom"/>
          </w:tcPr>
          <w:p>
            <w:pPr>
              <w:jc w:val="right"/>
              <w:ind w:right="439"/>
              <w:spacing w:after="0"/>
              <w:rPr>
                <w:sz w:val="20"/>
                <w:szCs w:val="20"/>
                <w:color w:val="auto"/>
              </w:rPr>
            </w:pPr>
            <w:r>
              <w:rPr>
                <w:rFonts w:ascii="Arial" w:cs="Arial" w:eastAsia="Arial" w:hAnsi="Arial"/>
                <w:sz w:val="16"/>
                <w:szCs w:val="16"/>
                <w:color w:val="auto"/>
              </w:rPr>
              <w:t>1,101,846</w:t>
            </w:r>
          </w:p>
        </w:tc>
        <w:tc>
          <w:tcPr>
            <w:tcW w:w="2460" w:type="dxa"/>
            <w:vAlign w:val="bottom"/>
          </w:tcPr>
          <w:p>
            <w:pPr>
              <w:jc w:val="right"/>
              <w:ind w:right="79"/>
              <w:spacing w:after="0"/>
              <w:rPr>
                <w:sz w:val="20"/>
                <w:szCs w:val="20"/>
                <w:color w:val="auto"/>
              </w:rPr>
            </w:pPr>
            <w:r>
              <w:rPr>
                <w:rFonts w:ascii="Arial" w:cs="Arial" w:eastAsia="Arial" w:hAnsi="Arial"/>
                <w:sz w:val="16"/>
                <w:szCs w:val="16"/>
                <w:color w:val="auto"/>
              </w:rPr>
              <w:t>1,333,000</w:t>
            </w:r>
          </w:p>
        </w:tc>
      </w:tr>
      <w:tr>
        <w:trPr>
          <w:trHeight w:val="33"/>
        </w:trPr>
        <w:tc>
          <w:tcPr>
            <w:tcW w:w="3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37"/>
        </w:trPr>
        <w:tc>
          <w:tcPr>
            <w:tcW w:w="3660" w:type="dxa"/>
            <w:vAlign w:val="bottom"/>
            <w:tcBorders>
              <w:bottom w:val="single" w:sz="8" w:color="CCE2F1"/>
            </w:tcBorders>
            <w:shd w:val="clear" w:color="auto" w:fill="CCE2F1"/>
          </w:tcPr>
          <w:p>
            <w:pPr>
              <w:ind w:left="60"/>
              <w:spacing w:after="0"/>
              <w:rPr>
                <w:sz w:val="20"/>
                <w:szCs w:val="20"/>
                <w:color w:val="auto"/>
              </w:rPr>
            </w:pPr>
            <w:r>
              <w:rPr>
                <w:rFonts w:ascii="Arial" w:cs="Arial" w:eastAsia="Arial" w:hAnsi="Arial"/>
                <w:sz w:val="16"/>
                <w:szCs w:val="16"/>
                <w:color w:val="auto"/>
              </w:rPr>
              <w:t>David M. Reese</w:t>
            </w:r>
          </w:p>
        </w:tc>
        <w:tc>
          <w:tcPr>
            <w:tcW w:w="2220" w:type="dxa"/>
            <w:vAlign w:val="bottom"/>
            <w:tcBorders>
              <w:bottom w:val="single" w:sz="8" w:color="CCE2F1"/>
            </w:tcBorders>
            <w:shd w:val="clear" w:color="auto" w:fill="CCE2F1"/>
          </w:tcPr>
          <w:p>
            <w:pPr>
              <w:jc w:val="right"/>
              <w:ind w:right="459"/>
              <w:spacing w:after="0"/>
              <w:rPr>
                <w:sz w:val="20"/>
                <w:szCs w:val="20"/>
                <w:color w:val="auto"/>
              </w:rPr>
            </w:pPr>
            <w:r>
              <w:rPr>
                <w:rFonts w:ascii="Arial" w:cs="Arial" w:eastAsia="Arial" w:hAnsi="Arial"/>
                <w:sz w:val="16"/>
                <w:szCs w:val="16"/>
                <w:color w:val="auto"/>
              </w:rPr>
              <w:t>100</w:t>
            </w:r>
          </w:p>
        </w:tc>
        <w:tc>
          <w:tcPr>
            <w:tcW w:w="2680" w:type="dxa"/>
            <w:vAlign w:val="bottom"/>
            <w:tcBorders>
              <w:bottom w:val="single" w:sz="8" w:color="CCE2F1"/>
            </w:tcBorders>
            <w:shd w:val="clear" w:color="auto" w:fill="CCE2F1"/>
          </w:tcPr>
          <w:p>
            <w:pPr>
              <w:jc w:val="right"/>
              <w:ind w:right="439"/>
              <w:spacing w:after="0"/>
              <w:rPr>
                <w:sz w:val="20"/>
                <w:szCs w:val="20"/>
                <w:color w:val="auto"/>
              </w:rPr>
            </w:pPr>
            <w:r>
              <w:rPr>
                <w:rFonts w:ascii="Arial" w:cs="Arial" w:eastAsia="Arial" w:hAnsi="Arial"/>
                <w:sz w:val="16"/>
                <w:szCs w:val="16"/>
                <w:color w:val="auto"/>
              </w:rPr>
              <w:t>1,154,808</w:t>
            </w:r>
          </w:p>
        </w:tc>
        <w:tc>
          <w:tcPr>
            <w:tcW w:w="246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1,397,000</w:t>
            </w:r>
          </w:p>
        </w:tc>
      </w:tr>
      <w:tr>
        <w:trPr>
          <w:trHeight w:val="224"/>
        </w:trPr>
        <w:tc>
          <w:tcPr>
            <w:tcW w:w="3660" w:type="dxa"/>
            <w:vAlign w:val="bottom"/>
          </w:tcPr>
          <w:p>
            <w:pPr>
              <w:ind w:left="60"/>
              <w:spacing w:after="0"/>
              <w:rPr>
                <w:sz w:val="20"/>
                <w:szCs w:val="20"/>
                <w:color w:val="auto"/>
              </w:rPr>
            </w:pPr>
            <w:r>
              <w:rPr>
                <w:rFonts w:ascii="Arial" w:cs="Arial" w:eastAsia="Arial" w:hAnsi="Arial"/>
                <w:sz w:val="16"/>
                <w:szCs w:val="16"/>
                <w:color w:val="auto"/>
              </w:rPr>
              <w:t>Peter H. Griffith</w:t>
            </w:r>
          </w:p>
        </w:tc>
        <w:tc>
          <w:tcPr>
            <w:tcW w:w="2220" w:type="dxa"/>
            <w:vAlign w:val="bottom"/>
          </w:tcPr>
          <w:p>
            <w:pPr>
              <w:jc w:val="right"/>
              <w:ind w:right="459"/>
              <w:spacing w:after="0"/>
              <w:rPr>
                <w:sz w:val="20"/>
                <w:szCs w:val="20"/>
                <w:color w:val="auto"/>
              </w:rPr>
            </w:pPr>
            <w:r>
              <w:rPr>
                <w:rFonts w:ascii="Arial" w:cs="Arial" w:eastAsia="Arial" w:hAnsi="Arial"/>
                <w:sz w:val="16"/>
                <w:szCs w:val="16"/>
                <w:color w:val="auto"/>
              </w:rPr>
              <w:t>100</w:t>
            </w:r>
          </w:p>
        </w:tc>
        <w:tc>
          <w:tcPr>
            <w:tcW w:w="2680" w:type="dxa"/>
            <w:vAlign w:val="bottom"/>
          </w:tcPr>
          <w:p>
            <w:pPr>
              <w:jc w:val="right"/>
              <w:ind w:right="439"/>
              <w:spacing w:after="0"/>
              <w:rPr>
                <w:sz w:val="20"/>
                <w:szCs w:val="20"/>
                <w:color w:val="auto"/>
              </w:rPr>
            </w:pPr>
            <w:r>
              <w:rPr>
                <w:rFonts w:ascii="Arial" w:cs="Arial" w:eastAsia="Arial" w:hAnsi="Arial"/>
                <w:sz w:val="16"/>
                <w:szCs w:val="16"/>
                <w:color w:val="auto"/>
              </w:rPr>
              <w:t>1,043,115</w:t>
            </w:r>
          </w:p>
        </w:tc>
        <w:tc>
          <w:tcPr>
            <w:tcW w:w="2460" w:type="dxa"/>
            <w:vAlign w:val="bottom"/>
          </w:tcPr>
          <w:p>
            <w:pPr>
              <w:jc w:val="right"/>
              <w:ind w:right="79"/>
              <w:spacing w:after="0"/>
              <w:rPr>
                <w:sz w:val="20"/>
                <w:szCs w:val="20"/>
                <w:color w:val="auto"/>
              </w:rPr>
            </w:pPr>
            <w:r>
              <w:rPr>
                <w:rFonts w:ascii="Arial" w:cs="Arial" w:eastAsia="Arial" w:hAnsi="Arial"/>
                <w:sz w:val="16"/>
                <w:szCs w:val="16"/>
                <w:color w:val="auto"/>
              </w:rPr>
              <w:t>1,262,000</w:t>
            </w:r>
          </w:p>
        </w:tc>
      </w:tr>
      <w:tr>
        <w:trPr>
          <w:trHeight w:val="33"/>
        </w:trPr>
        <w:tc>
          <w:tcPr>
            <w:tcW w:w="3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37"/>
        </w:trPr>
        <w:tc>
          <w:tcPr>
            <w:tcW w:w="3660" w:type="dxa"/>
            <w:vAlign w:val="bottom"/>
            <w:tcBorders>
              <w:bottom w:val="single" w:sz="8" w:color="CCE2F1"/>
            </w:tcBorders>
            <w:shd w:val="clear" w:color="auto" w:fill="CCE2F1"/>
          </w:tcPr>
          <w:p>
            <w:pPr>
              <w:ind w:left="60"/>
              <w:spacing w:after="0"/>
              <w:rPr>
                <w:sz w:val="20"/>
                <w:szCs w:val="20"/>
                <w:color w:val="auto"/>
              </w:rPr>
            </w:pPr>
            <w:r>
              <w:rPr>
                <w:rFonts w:ascii="Arial" w:cs="Arial" w:eastAsia="Arial" w:hAnsi="Arial"/>
                <w:sz w:val="16"/>
                <w:szCs w:val="16"/>
                <w:color w:val="auto"/>
              </w:rPr>
              <w:t>Esteban Santos</w:t>
            </w:r>
          </w:p>
        </w:tc>
        <w:tc>
          <w:tcPr>
            <w:tcW w:w="2220" w:type="dxa"/>
            <w:vAlign w:val="bottom"/>
            <w:tcBorders>
              <w:bottom w:val="single" w:sz="8" w:color="CCE2F1"/>
            </w:tcBorders>
            <w:shd w:val="clear" w:color="auto" w:fill="CCE2F1"/>
          </w:tcPr>
          <w:p>
            <w:pPr>
              <w:jc w:val="right"/>
              <w:ind w:right="459"/>
              <w:spacing w:after="0"/>
              <w:rPr>
                <w:sz w:val="20"/>
                <w:szCs w:val="20"/>
                <w:color w:val="auto"/>
              </w:rPr>
            </w:pPr>
            <w:r>
              <w:rPr>
                <w:rFonts w:ascii="Arial" w:cs="Arial" w:eastAsia="Arial" w:hAnsi="Arial"/>
                <w:sz w:val="16"/>
                <w:szCs w:val="16"/>
                <w:color w:val="auto"/>
              </w:rPr>
              <w:t>100</w:t>
            </w:r>
          </w:p>
        </w:tc>
        <w:tc>
          <w:tcPr>
            <w:tcW w:w="2680" w:type="dxa"/>
            <w:vAlign w:val="bottom"/>
            <w:tcBorders>
              <w:bottom w:val="single" w:sz="8" w:color="CCE2F1"/>
            </w:tcBorders>
            <w:shd w:val="clear" w:color="auto" w:fill="CCE2F1"/>
          </w:tcPr>
          <w:p>
            <w:pPr>
              <w:jc w:val="right"/>
              <w:ind w:right="439"/>
              <w:spacing w:after="0"/>
              <w:rPr>
                <w:sz w:val="20"/>
                <w:szCs w:val="20"/>
                <w:color w:val="auto"/>
              </w:rPr>
            </w:pPr>
            <w:r>
              <w:rPr>
                <w:rFonts w:ascii="Arial" w:cs="Arial" w:eastAsia="Arial" w:hAnsi="Arial"/>
                <w:sz w:val="16"/>
                <w:szCs w:val="16"/>
                <w:color w:val="auto"/>
              </w:rPr>
              <w:t>1,021,608</w:t>
            </w:r>
          </w:p>
        </w:tc>
        <w:tc>
          <w:tcPr>
            <w:tcW w:w="246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1,236,000</w:t>
            </w:r>
          </w:p>
        </w:tc>
      </w:tr>
      <w:tr>
        <w:trPr>
          <w:trHeight w:val="20"/>
        </w:trPr>
        <w:tc>
          <w:tcPr>
            <w:tcW w:w="3660" w:type="dxa"/>
            <w:vAlign w:val="bottom"/>
            <w:shd w:val="clear" w:color="auto" w:fill="0171B9"/>
          </w:tcPr>
          <w:p>
            <w:pPr>
              <w:spacing w:after="0" w:line="20" w:lineRule="exact"/>
              <w:rPr>
                <w:sz w:val="1"/>
                <w:szCs w:val="1"/>
                <w:color w:val="auto"/>
              </w:rPr>
            </w:pPr>
          </w:p>
        </w:tc>
        <w:tc>
          <w:tcPr>
            <w:tcW w:w="2220" w:type="dxa"/>
            <w:vAlign w:val="bottom"/>
            <w:shd w:val="clear" w:color="auto" w:fill="0171B9"/>
          </w:tcPr>
          <w:p>
            <w:pPr>
              <w:spacing w:after="0" w:line="20" w:lineRule="exact"/>
              <w:rPr>
                <w:sz w:val="1"/>
                <w:szCs w:val="1"/>
                <w:color w:val="auto"/>
              </w:rPr>
            </w:pPr>
          </w:p>
        </w:tc>
        <w:tc>
          <w:tcPr>
            <w:tcW w:w="2680" w:type="dxa"/>
            <w:vAlign w:val="bottom"/>
            <w:shd w:val="clear" w:color="auto" w:fill="0171B9"/>
          </w:tcPr>
          <w:p>
            <w:pPr>
              <w:spacing w:after="0" w:line="20" w:lineRule="exact"/>
              <w:rPr>
                <w:sz w:val="1"/>
                <w:szCs w:val="1"/>
                <w:color w:val="auto"/>
              </w:rPr>
            </w:pPr>
          </w:p>
        </w:tc>
        <w:tc>
          <w:tcPr>
            <w:tcW w:w="2460" w:type="dxa"/>
            <w:vAlign w:val="bottom"/>
            <w:shd w:val="clear" w:color="auto" w:fill="0171B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-830580</wp:posOffset>
            </wp:positionV>
            <wp:extent cx="699516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22"/>
          <w:szCs w:val="22"/>
          <w:color w:val="auto"/>
          <w:vertAlign w:val="superscript"/>
        </w:rPr>
      </w:pPr>
      <w:r>
        <w:rPr>
          <w:rFonts w:ascii="Arial" w:cs="Arial" w:eastAsia="Arial" w:hAnsi="Arial"/>
          <w:sz w:val="14"/>
          <w:szCs w:val="14"/>
          <w:color w:val="auto"/>
        </w:rPr>
        <w:t>Calculated in accordance with the 2022 Company performance goals composite final score based on actual 2022 earned base salary.</w:t>
      </w:r>
    </w:p>
    <w:p>
      <w:pPr>
        <w:sectPr>
          <w:pgSz w:w="11900" w:h="16838" w:orient="portrait"/>
          <w:cols w:equalWidth="0" w:num="1">
            <w:col w:w="11140"/>
          </w:cols>
          <w:pgMar w:left="320" w:top="486" w:right="439" w:bottom="1440" w:gutter="0" w:footer="0" w:header="0"/>
        </w:sect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2023 Company Performance Goals</w:t>
      </w:r>
    </w:p>
    <w:p>
      <w:pPr>
        <w:spacing w:after="0" w:line="120" w:lineRule="exact"/>
        <w:rPr>
          <w:sz w:val="20"/>
          <w:szCs w:val="20"/>
          <w:color w:val="auto"/>
        </w:rPr>
      </w:pPr>
    </w:p>
    <w:p>
      <w:pPr>
        <w:jc w:val="both"/>
        <w:ind w:left="120"/>
        <w:spacing w:after="0" w:line="243" w:lineRule="auto"/>
        <w:rPr>
          <w:sz w:val="20"/>
          <w:szCs w:val="20"/>
          <w:color w:val="auto"/>
        </w:rPr>
      </w:pPr>
      <w:r>
        <w:rPr>
          <w:rFonts w:ascii="Arial" w:cs="Arial" w:eastAsia="Arial" w:hAnsi="Arial"/>
          <w:sz w:val="17"/>
          <w:szCs w:val="17"/>
          <w:color w:val="auto"/>
        </w:rPr>
        <w:t>In March 2023, the Compensation Committee established Company performance goals for 2023 performance under our GMIP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69850</wp:posOffset>
            </wp:positionV>
            <wp:extent cx="3343275" cy="19970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343275" cy="1997075"/>
                    </a:xfrm>
                    <a:prstGeom prst="rect">
                      <a:avLst/>
                    </a:prstGeom>
                    <a:noFill/>
                  </pic:spPr>
                </pic:pic>
              </a:graphicData>
            </a:graphic>
          </wp:anchor>
        </w:drawing>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2023 Company Performance Goals</w:t>
      </w:r>
    </w:p>
    <w:p>
      <w:pPr>
        <w:spacing w:after="0" w:line="160" w:lineRule="exact"/>
        <w:rPr>
          <w:sz w:val="20"/>
          <w:szCs w:val="20"/>
          <w:color w:val="auto"/>
        </w:rPr>
      </w:pPr>
    </w:p>
    <w:p>
      <w:pPr>
        <w:ind w:left="300"/>
        <w:spacing w:after="0"/>
        <w:tabs>
          <w:tab w:leader="none" w:pos="740" w:val="left"/>
        </w:tabs>
        <w:rPr>
          <w:sz w:val="20"/>
          <w:szCs w:val="20"/>
          <w:color w:val="auto"/>
        </w:rPr>
      </w:pPr>
      <w:r>
        <w:rPr>
          <w:rFonts w:ascii="Arial" w:cs="Arial" w:eastAsia="Arial" w:hAnsi="Arial"/>
          <w:sz w:val="16"/>
          <w:szCs w:val="16"/>
          <w:color w:val="auto"/>
        </w:rPr>
        <w:t>60%</w:t>
        <w:tab/>
        <w:t>Deliver Results</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Revenues (30%)</w:t>
      </w:r>
    </w:p>
    <w:p>
      <w:pPr>
        <w:spacing w:after="0" w:line="34" w:lineRule="exact"/>
        <w:rPr>
          <w:sz w:val="20"/>
          <w:szCs w:val="20"/>
          <w:color w:val="auto"/>
        </w:rPr>
      </w:pPr>
    </w:p>
    <w:p>
      <w:pPr>
        <w:ind w:left="76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Non-GAAP Net Income (30%)</w:t>
      </w:r>
    </w:p>
    <w:p>
      <w:pPr>
        <w:spacing w:after="0" w:line="137" w:lineRule="exact"/>
        <w:rPr>
          <w:sz w:val="20"/>
          <w:szCs w:val="20"/>
          <w:color w:val="auto"/>
        </w:rPr>
      </w:pPr>
    </w:p>
    <w:p>
      <w:pPr>
        <w:ind w:left="300"/>
        <w:spacing w:after="0"/>
        <w:tabs>
          <w:tab w:leader="none" w:pos="740" w:val="left"/>
        </w:tabs>
        <w:rPr>
          <w:sz w:val="20"/>
          <w:szCs w:val="20"/>
          <w:color w:val="auto"/>
        </w:rPr>
      </w:pPr>
      <w:r>
        <w:rPr>
          <w:rFonts w:ascii="Arial" w:cs="Arial" w:eastAsia="Arial" w:hAnsi="Arial"/>
          <w:sz w:val="16"/>
          <w:szCs w:val="16"/>
          <w:color w:val="auto"/>
        </w:rPr>
        <w:t>30%</w:t>
        <w:tab/>
        <w:t>Progress Innovative Pipeline</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Advance Early Pipeline (10%)</w:t>
      </w:r>
    </w:p>
    <w:p>
      <w:pPr>
        <w:spacing w:after="0" w:line="34" w:lineRule="exact"/>
        <w:rPr>
          <w:sz w:val="20"/>
          <w:szCs w:val="20"/>
          <w:color w:val="auto"/>
        </w:rPr>
      </w:pPr>
    </w:p>
    <w:p>
      <w:pPr>
        <w:ind w:left="980" w:right="500" w:hanging="214"/>
        <w:spacing w:after="0" w:line="243" w:lineRule="auto"/>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Execute Key Clinical Studies and Regulatory Filings</w:t>
      </w:r>
      <w:r>
        <w:rPr>
          <w:rFonts w:ascii="Arial" w:cs="Arial" w:eastAsia="Arial" w:hAnsi="Arial"/>
          <w:sz w:val="17"/>
          <w:szCs w:val="17"/>
          <w:color w:val="0171B9"/>
        </w:rPr>
        <w:t xml:space="preserve"> </w:t>
      </w:r>
      <w:r>
        <w:rPr>
          <w:rFonts w:ascii="Arial" w:cs="Arial" w:eastAsia="Arial" w:hAnsi="Arial"/>
          <w:sz w:val="17"/>
          <w:szCs w:val="17"/>
          <w:color w:val="000000"/>
        </w:rPr>
        <w:t>(20%)</w:t>
      </w:r>
    </w:p>
    <w:p>
      <w:pPr>
        <w:spacing w:after="0" w:line="125" w:lineRule="exact"/>
        <w:rPr>
          <w:sz w:val="20"/>
          <w:szCs w:val="20"/>
          <w:color w:val="auto"/>
        </w:rPr>
      </w:pPr>
    </w:p>
    <w:p>
      <w:pPr>
        <w:ind w:left="300"/>
        <w:spacing w:after="0"/>
        <w:tabs>
          <w:tab w:leader="none" w:pos="740" w:val="left"/>
        </w:tabs>
        <w:rPr>
          <w:sz w:val="20"/>
          <w:szCs w:val="20"/>
          <w:color w:val="auto"/>
        </w:rPr>
      </w:pPr>
      <w:r>
        <w:rPr>
          <w:rFonts w:ascii="Arial" w:cs="Arial" w:eastAsia="Arial" w:hAnsi="Arial"/>
          <w:sz w:val="16"/>
          <w:szCs w:val="16"/>
          <w:color w:val="auto"/>
        </w:rPr>
        <w:t>10%</w:t>
        <w:tab/>
        <w:t>Deliver Annual Priorities</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Environmental, Social, and Governance (5%)</w:t>
      </w:r>
    </w:p>
    <w:p>
      <w:pPr>
        <w:spacing w:after="0" w:line="34" w:lineRule="exact"/>
        <w:rPr>
          <w:sz w:val="20"/>
          <w:szCs w:val="20"/>
          <w:color w:val="auto"/>
        </w:rPr>
      </w:pPr>
    </w:p>
    <w:p>
      <w:pPr>
        <w:ind w:left="76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Successful Integrations and Collaborations (5%)</w:t>
      </w:r>
    </w:p>
    <w:p>
      <w:pPr>
        <w:spacing w:after="0" w:line="183"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The Compensation Committee added a new annual priority of “Successful Integrations and Collaborations” to focus staff members on maximizing opportunities from acquisitions, including integrating and advancing products.</w:t>
      </w:r>
    </w:p>
    <w:p>
      <w:pPr>
        <w:spacing w:after="0" w:line="95"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In March 2023, the Compensation Committee reviewed the target incentive award opportunity for each NEO and determined that the existing target incentive award opportunity established for each NEO remains appropriate. No changes were made to the target incentive award opportunity for any NEO.</w:t>
      </w:r>
    </w:p>
    <w:p>
      <w:pPr>
        <w:spacing w:after="0" w:line="274"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68</w:t>
      </w:r>
      <w:r>
        <w:rPr>
          <w:sz w:val="20"/>
          <w:szCs w:val="20"/>
          <w:color w:val="auto"/>
        </w:rPr>
        <w:tab/>
      </w:r>
      <w:r>
        <w:rPr>
          <w:sz w:val="1"/>
          <w:szCs w:val="1"/>
          <w:color w:val="auto"/>
        </w:rPr>
        <w:drawing>
          <wp:inline distT="0" distB="0" distL="0" distR="0">
            <wp:extent cx="582930" cy="137160"/>
            <wp:effectExtent l="0" t="0" r="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Base Salaries</w:t>
      </w:r>
    </w:p>
    <w:p>
      <w:pPr>
        <w:spacing w:after="0" w:line="12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Generally, in March of each year, the Compensation Committee reviews the peer group data compared with the available Market Median, considers our performance, market conditions, retention, and other relevant factors, and receives management’s, including our CEO’s, assessment of the performance of each of the other NEOs, and recommendations regarding any base salary adjustments for them. The Compensation Committee uses our CEO’s evaluation of the performance of the NEOs (other than himself), the Compensation Committee’s own evaluation of our CEO’s performance, information with respect to each NEO’s experience and other qualifications, the Market Median for each available position and market conditions to determine each NEO’s base salary. No increase in base salary is automatic or guaranteed. For more information regarding the determination of Market Median, the peer group data reviewed, and the Executive Vice President, Operations role, see “How Compensation Decisions Are Made For Our Named Executive Officers—</w:t>
      </w:r>
      <w:r>
        <w:rPr>
          <w:rFonts w:ascii="Arial" w:cs="Arial" w:eastAsia="Arial" w:hAnsi="Arial"/>
          <w:sz w:val="17"/>
          <w:szCs w:val="17"/>
          <w:i w:val="1"/>
          <w:iCs w:val="1"/>
          <w:color w:val="auto"/>
        </w:rPr>
        <w:t>Peer Group</w:t>
      </w:r>
      <w:r>
        <w:rPr>
          <w:rFonts w:ascii="Arial" w:cs="Arial" w:eastAsia="Arial" w:hAnsi="Arial"/>
          <w:sz w:val="17"/>
          <w:szCs w:val="17"/>
          <w:color w:val="auto"/>
        </w:rPr>
        <w:t xml:space="preserve"> </w:t>
      </w:r>
      <w:r>
        <w:rPr>
          <w:rFonts w:ascii="Arial" w:cs="Arial" w:eastAsia="Arial" w:hAnsi="Arial"/>
          <w:sz w:val="17"/>
          <w:szCs w:val="17"/>
          <w:i w:val="1"/>
          <w:iCs w:val="1"/>
          <w:color w:val="auto"/>
        </w:rPr>
        <w:t>Data Sources</w:t>
      </w:r>
      <w:r>
        <w:rPr>
          <w:rFonts w:ascii="Arial" w:cs="Arial" w:eastAsia="Arial" w:hAnsi="Arial"/>
          <w:sz w:val="17"/>
          <w:szCs w:val="17"/>
          <w:color w:val="auto"/>
        </w:rPr>
        <w:t>” previously described.</w:t>
      </w:r>
    </w:p>
    <w:p>
      <w:pPr>
        <w:spacing w:after="0" w:line="9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March 2022, the Compensation Committee considered each NEO’s base salary against the available Market Median data, while taking into account the Company’s and each NEO’s performance, as well as current market conditions. In alignment with the base salary increases made to staff members generally, the Compensation Committee increased Messrs. Bradway’s, Gordon’s, Griffith’s, and Santos’ respective base salaries by 3.5%. The Compensation Committee increased Dr. Reese’s base salary by 9.8% to bring his base salary more in-line with the Market Median for his position and to reflect the importance of his contributions to the Company in his role as Executive Vice President, Research and Development</w:t>
      </w:r>
    </w:p>
    <w:p>
      <w:pPr>
        <w:sectPr>
          <w:pgSz w:w="11900" w:h="16838" w:orient="portrait"/>
          <w:cols w:equalWidth="0" w:num="2">
            <w:col w:w="5400" w:space="340"/>
            <w:col w:w="5400"/>
          </w:cols>
          <w:pgMar w:left="320" w:top="486" w:right="4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ind w:left="6960"/>
        <w:spacing w:after="0"/>
        <w:rPr>
          <w:sz w:val="20"/>
          <w:szCs w:val="20"/>
          <w:color w:val="auto"/>
        </w:rPr>
      </w:pPr>
      <w:r>
        <w:rPr>
          <w:rFonts w:ascii="Arial" w:cs="Arial" w:eastAsia="Arial" w:hAnsi="Arial"/>
          <w:sz w:val="21"/>
          <w:szCs w:val="21"/>
          <w:b w:val="1"/>
          <w:bCs w:val="1"/>
          <w:color w:val="FFFFFF"/>
          <w:shd w:val="clear" w:color="auto" w:fill="0171B9"/>
        </w:rPr>
        <w:t>Compensation Discussion and Analysis</w:t>
      </w:r>
    </w:p>
    <w:p>
      <w:pPr>
        <w:spacing w:after="0" w:line="35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171B9"/>
        </w:rPr>
        <w:t>2022 Base Salary Market Position</w:t>
      </w:r>
    </w:p>
    <w:p>
      <w:pPr>
        <w:spacing w:after="0" w:line="115"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The 2022 base salaries as in effect at the end of 2022 and the Market Median position as reviewed by the Compensation Committee in March 2022 are shown in the table below:</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940" w:type="dxa"/>
            <w:vAlign w:val="bottom"/>
            <w:shd w:val="clear" w:color="auto" w:fill="0171B9"/>
          </w:tcPr>
          <w:p>
            <w:pPr>
              <w:spacing w:after="0"/>
              <w:rPr>
                <w:sz w:val="16"/>
                <w:szCs w:val="16"/>
                <w:color w:val="auto"/>
              </w:rPr>
            </w:pPr>
          </w:p>
        </w:tc>
        <w:tc>
          <w:tcPr>
            <w:tcW w:w="2440" w:type="dxa"/>
            <w:vAlign w:val="bottom"/>
            <w:shd w:val="clear" w:color="auto" w:fill="0171B9"/>
          </w:tcPr>
          <w:p>
            <w:pPr>
              <w:spacing w:after="0"/>
              <w:rPr>
                <w:sz w:val="16"/>
                <w:szCs w:val="16"/>
                <w:color w:val="auto"/>
              </w:rPr>
            </w:pPr>
          </w:p>
        </w:tc>
        <w:tc>
          <w:tcPr>
            <w:tcW w:w="900" w:type="dxa"/>
            <w:vAlign w:val="bottom"/>
            <w:shd w:val="clear" w:color="auto" w:fill="0171B9"/>
          </w:tcPr>
          <w:p>
            <w:pPr>
              <w:spacing w:after="0"/>
              <w:rPr>
                <w:sz w:val="16"/>
                <w:szCs w:val="16"/>
                <w:color w:val="auto"/>
              </w:rPr>
            </w:pPr>
          </w:p>
        </w:tc>
        <w:tc>
          <w:tcPr>
            <w:tcW w:w="1580" w:type="dxa"/>
            <w:vAlign w:val="bottom"/>
            <w:shd w:val="clear" w:color="auto" w:fill="0171B9"/>
          </w:tcPr>
          <w:p>
            <w:pPr>
              <w:spacing w:after="0"/>
              <w:rPr>
                <w:sz w:val="16"/>
                <w:szCs w:val="16"/>
                <w:color w:val="auto"/>
              </w:rPr>
            </w:pPr>
          </w:p>
        </w:tc>
        <w:tc>
          <w:tcPr>
            <w:tcW w:w="1760" w:type="dxa"/>
            <w:vAlign w:val="bottom"/>
            <w:shd w:val="clear" w:color="auto" w:fill="0171B9"/>
          </w:tcPr>
          <w:p>
            <w:pPr>
              <w:spacing w:after="0"/>
              <w:rPr>
                <w:sz w:val="16"/>
                <w:szCs w:val="16"/>
                <w:color w:val="auto"/>
              </w:rPr>
            </w:pPr>
          </w:p>
        </w:tc>
        <w:tc>
          <w:tcPr>
            <w:tcW w:w="140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Difference vs.</w:t>
            </w:r>
          </w:p>
        </w:tc>
      </w:tr>
      <w:tr>
        <w:trPr>
          <w:trHeight w:val="189"/>
        </w:trPr>
        <w:tc>
          <w:tcPr>
            <w:tcW w:w="2940" w:type="dxa"/>
            <w:vAlign w:val="bottom"/>
            <w:shd w:val="clear" w:color="auto" w:fill="0171B9"/>
          </w:tcPr>
          <w:p>
            <w:pPr>
              <w:spacing w:after="0"/>
              <w:rPr>
                <w:sz w:val="16"/>
                <w:szCs w:val="16"/>
                <w:color w:val="auto"/>
              </w:rPr>
            </w:pPr>
          </w:p>
        </w:tc>
        <w:tc>
          <w:tcPr>
            <w:tcW w:w="2440" w:type="dxa"/>
            <w:vAlign w:val="bottom"/>
            <w:shd w:val="clear" w:color="auto" w:fill="0171B9"/>
          </w:tcPr>
          <w:p>
            <w:pPr>
              <w:spacing w:after="0"/>
              <w:rPr>
                <w:sz w:val="16"/>
                <w:szCs w:val="16"/>
                <w:color w:val="auto"/>
              </w:rPr>
            </w:pPr>
          </w:p>
        </w:tc>
        <w:tc>
          <w:tcPr>
            <w:tcW w:w="900" w:type="dxa"/>
            <w:vAlign w:val="bottom"/>
            <w:shd w:val="clear" w:color="auto" w:fill="0171B9"/>
          </w:tcPr>
          <w:p>
            <w:pPr>
              <w:spacing w:after="0"/>
              <w:rPr>
                <w:sz w:val="16"/>
                <w:szCs w:val="16"/>
                <w:color w:val="auto"/>
              </w:rPr>
            </w:pPr>
          </w:p>
        </w:tc>
        <w:tc>
          <w:tcPr>
            <w:tcW w:w="1580" w:type="dxa"/>
            <w:vAlign w:val="bottom"/>
            <w:shd w:val="clear" w:color="auto" w:fill="0171B9"/>
          </w:tcPr>
          <w:p>
            <w:pPr>
              <w:spacing w:after="0"/>
              <w:rPr>
                <w:sz w:val="16"/>
                <w:szCs w:val="16"/>
                <w:color w:val="auto"/>
              </w:rPr>
            </w:pPr>
          </w:p>
        </w:tc>
        <w:tc>
          <w:tcPr>
            <w:tcW w:w="1760" w:type="dxa"/>
            <w:vAlign w:val="bottom"/>
            <w:shd w:val="clear" w:color="auto" w:fill="0171B9"/>
          </w:tcPr>
          <w:p>
            <w:pPr>
              <w:spacing w:after="0"/>
              <w:rPr>
                <w:sz w:val="16"/>
                <w:szCs w:val="16"/>
                <w:color w:val="auto"/>
              </w:rPr>
            </w:pPr>
          </w:p>
        </w:tc>
        <w:tc>
          <w:tcPr>
            <w:tcW w:w="140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Market Median</w:t>
            </w:r>
          </w:p>
        </w:tc>
      </w:tr>
      <w:tr>
        <w:trPr>
          <w:trHeight w:val="189"/>
        </w:trPr>
        <w:tc>
          <w:tcPr>
            <w:tcW w:w="2940" w:type="dxa"/>
            <w:vAlign w:val="bottom"/>
            <w:shd w:val="clear" w:color="auto" w:fill="0171B9"/>
          </w:tcPr>
          <w:p>
            <w:pPr>
              <w:spacing w:after="0"/>
              <w:rPr>
                <w:sz w:val="16"/>
                <w:szCs w:val="16"/>
                <w:color w:val="auto"/>
              </w:rPr>
            </w:pPr>
          </w:p>
        </w:tc>
        <w:tc>
          <w:tcPr>
            <w:tcW w:w="2440" w:type="dxa"/>
            <w:vAlign w:val="bottom"/>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2021 Base Salary</w:t>
            </w:r>
          </w:p>
        </w:tc>
        <w:tc>
          <w:tcPr>
            <w:tcW w:w="90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Increase</w:t>
            </w:r>
          </w:p>
        </w:tc>
        <w:tc>
          <w:tcPr>
            <w:tcW w:w="158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2022 Base Salary</w:t>
            </w:r>
          </w:p>
        </w:tc>
        <w:tc>
          <w:tcPr>
            <w:tcW w:w="1760" w:type="dxa"/>
            <w:vAlign w:val="bottom"/>
            <w:shd w:val="clear" w:color="auto" w:fill="0171B9"/>
          </w:tcPr>
          <w:p>
            <w:pPr>
              <w:jc w:val="right"/>
              <w:ind w:right="19"/>
              <w:spacing w:after="0"/>
              <w:rPr>
                <w:sz w:val="20"/>
                <w:szCs w:val="20"/>
                <w:color w:val="auto"/>
              </w:rPr>
            </w:pPr>
            <w:r>
              <w:rPr>
                <w:rFonts w:ascii="Arial" w:cs="Arial" w:eastAsia="Arial" w:hAnsi="Arial"/>
                <w:sz w:val="16"/>
                <w:szCs w:val="16"/>
                <w:b w:val="1"/>
                <w:bCs w:val="1"/>
                <w:color w:val="FFFFFF"/>
              </w:rPr>
              <w:t>2021 Market Median</w:t>
            </w:r>
          </w:p>
        </w:tc>
        <w:tc>
          <w:tcPr>
            <w:tcW w:w="140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Over/(Under)</w:t>
            </w:r>
          </w:p>
        </w:tc>
      </w:tr>
      <w:tr>
        <w:trPr>
          <w:trHeight w:val="221"/>
        </w:trPr>
        <w:tc>
          <w:tcPr>
            <w:tcW w:w="2940" w:type="dxa"/>
            <w:vAlign w:val="bottom"/>
            <w:shd w:val="clear" w:color="auto" w:fill="0171B9"/>
          </w:tcPr>
          <w:p>
            <w:pPr>
              <w:ind w:left="60"/>
              <w:spacing w:after="0"/>
              <w:rPr>
                <w:sz w:val="20"/>
                <w:szCs w:val="20"/>
                <w:color w:val="auto"/>
              </w:rPr>
            </w:pPr>
            <w:r>
              <w:rPr>
                <w:rFonts w:ascii="Arial" w:cs="Arial" w:eastAsia="Arial" w:hAnsi="Arial"/>
                <w:sz w:val="16"/>
                <w:szCs w:val="16"/>
                <w:b w:val="1"/>
                <w:bCs w:val="1"/>
                <w:color w:val="FFFFFF"/>
              </w:rPr>
              <w:t>Named Executive Officer</w:t>
            </w:r>
          </w:p>
        </w:tc>
        <w:tc>
          <w:tcPr>
            <w:tcW w:w="2440" w:type="dxa"/>
            <w:vAlign w:val="bottom"/>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w:t>
            </w:r>
          </w:p>
        </w:tc>
        <w:tc>
          <w:tcPr>
            <w:tcW w:w="90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w:t>
            </w:r>
          </w:p>
        </w:tc>
        <w:tc>
          <w:tcPr>
            <w:tcW w:w="158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w:t>
            </w:r>
          </w:p>
        </w:tc>
        <w:tc>
          <w:tcPr>
            <w:tcW w:w="1760" w:type="dxa"/>
            <w:vAlign w:val="bottom"/>
            <w:shd w:val="clear" w:color="auto" w:fill="0171B9"/>
          </w:tcPr>
          <w:p>
            <w:pPr>
              <w:jc w:val="right"/>
              <w:ind w:right="19"/>
              <w:spacing w:after="0"/>
              <w:rPr>
                <w:sz w:val="20"/>
                <w:szCs w:val="20"/>
                <w:color w:val="auto"/>
              </w:rPr>
            </w:pPr>
            <w:r>
              <w:rPr>
                <w:rFonts w:ascii="Arial" w:cs="Arial" w:eastAsia="Arial" w:hAnsi="Arial"/>
                <w:sz w:val="16"/>
                <w:szCs w:val="16"/>
                <w:b w:val="1"/>
                <w:bCs w:val="1"/>
                <w:color w:val="FFFFFF"/>
              </w:rPr>
              <w:t>($)</w:t>
            </w:r>
          </w:p>
        </w:tc>
        <w:tc>
          <w:tcPr>
            <w:tcW w:w="140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w:t>
            </w:r>
          </w:p>
        </w:tc>
      </w:tr>
      <w:tr>
        <w:trPr>
          <w:trHeight w:val="250"/>
        </w:trPr>
        <w:tc>
          <w:tcPr>
            <w:tcW w:w="2940" w:type="dxa"/>
            <w:vAlign w:val="bottom"/>
            <w:tcBorders>
              <w:bottom w:val="single" w:sz="8" w:color="CCE2F1"/>
            </w:tcBorders>
            <w:shd w:val="clear" w:color="auto" w:fill="CCE2F1"/>
          </w:tcPr>
          <w:p>
            <w:pPr>
              <w:ind w:left="60"/>
              <w:spacing w:after="0"/>
              <w:rPr>
                <w:sz w:val="20"/>
                <w:szCs w:val="20"/>
                <w:color w:val="auto"/>
              </w:rPr>
            </w:pPr>
            <w:r>
              <w:rPr>
                <w:rFonts w:ascii="Arial" w:cs="Arial" w:eastAsia="Arial" w:hAnsi="Arial"/>
                <w:sz w:val="16"/>
                <w:szCs w:val="16"/>
                <w:color w:val="auto"/>
              </w:rPr>
              <w:t>Robert A. Bradway</w:t>
            </w:r>
          </w:p>
        </w:tc>
        <w:tc>
          <w:tcPr>
            <w:tcW w:w="244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1,672,800</w:t>
            </w:r>
          </w:p>
        </w:tc>
        <w:tc>
          <w:tcPr>
            <w:tcW w:w="900" w:type="dxa"/>
            <w:vAlign w:val="bottom"/>
            <w:tcBorders>
              <w:bottom w:val="single" w:sz="8" w:color="CCE2F1"/>
            </w:tcBorders>
            <w:shd w:val="clear" w:color="auto" w:fill="CCE2F1"/>
          </w:tcPr>
          <w:p>
            <w:pPr>
              <w:jc w:val="right"/>
              <w:ind w:right="39"/>
              <w:spacing w:after="0"/>
              <w:rPr>
                <w:sz w:val="20"/>
                <w:szCs w:val="20"/>
                <w:color w:val="auto"/>
              </w:rPr>
            </w:pPr>
            <w:r>
              <w:rPr>
                <w:rFonts w:ascii="Arial" w:cs="Arial" w:eastAsia="Arial" w:hAnsi="Arial"/>
                <w:sz w:val="16"/>
                <w:szCs w:val="16"/>
                <w:color w:val="auto"/>
              </w:rPr>
              <w:t>3.5</w:t>
            </w:r>
          </w:p>
        </w:tc>
        <w:tc>
          <w:tcPr>
            <w:tcW w:w="1580" w:type="dxa"/>
            <w:vAlign w:val="bottom"/>
            <w:tcBorders>
              <w:bottom w:val="single" w:sz="8" w:color="CCE2F1"/>
            </w:tcBorders>
            <w:shd w:val="clear" w:color="auto" w:fill="CCE2F1"/>
          </w:tcPr>
          <w:p>
            <w:pPr>
              <w:jc w:val="right"/>
              <w:ind w:right="39"/>
              <w:spacing w:after="0"/>
              <w:rPr>
                <w:sz w:val="20"/>
                <w:szCs w:val="20"/>
                <w:color w:val="auto"/>
              </w:rPr>
            </w:pPr>
            <w:r>
              <w:rPr>
                <w:rFonts w:ascii="Arial" w:cs="Arial" w:eastAsia="Arial" w:hAnsi="Arial"/>
                <w:sz w:val="16"/>
                <w:szCs w:val="16"/>
                <w:color w:val="auto"/>
              </w:rPr>
              <w:t>1,731,300</w:t>
            </w:r>
          </w:p>
        </w:tc>
        <w:tc>
          <w:tcPr>
            <w:tcW w:w="1760" w:type="dxa"/>
            <w:vAlign w:val="bottom"/>
            <w:tcBorders>
              <w:bottom w:val="single" w:sz="8" w:color="CCE2F1"/>
            </w:tcBorders>
            <w:shd w:val="clear" w:color="auto" w:fill="CCE2F1"/>
          </w:tcPr>
          <w:p>
            <w:pPr>
              <w:jc w:val="right"/>
              <w:ind w:right="19"/>
              <w:spacing w:after="0"/>
              <w:rPr>
                <w:sz w:val="20"/>
                <w:szCs w:val="20"/>
                <w:color w:val="auto"/>
              </w:rPr>
            </w:pPr>
            <w:r>
              <w:rPr>
                <w:rFonts w:ascii="Arial" w:cs="Arial" w:eastAsia="Arial" w:hAnsi="Arial"/>
                <w:sz w:val="16"/>
                <w:szCs w:val="16"/>
                <w:color w:val="auto"/>
              </w:rPr>
              <w:t>1,650,000</w:t>
            </w:r>
          </w:p>
        </w:tc>
        <w:tc>
          <w:tcPr>
            <w:tcW w:w="140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4.9</w:t>
            </w:r>
          </w:p>
        </w:tc>
      </w:tr>
      <w:tr>
        <w:trPr>
          <w:trHeight w:val="223"/>
        </w:trPr>
        <w:tc>
          <w:tcPr>
            <w:tcW w:w="2940" w:type="dxa"/>
            <w:vAlign w:val="bottom"/>
          </w:tcPr>
          <w:p>
            <w:pPr>
              <w:ind w:left="60"/>
              <w:spacing w:after="0"/>
              <w:rPr>
                <w:sz w:val="20"/>
                <w:szCs w:val="20"/>
                <w:color w:val="auto"/>
              </w:rPr>
            </w:pPr>
            <w:r>
              <w:rPr>
                <w:rFonts w:ascii="Arial" w:cs="Arial" w:eastAsia="Arial" w:hAnsi="Arial"/>
                <w:sz w:val="16"/>
                <w:szCs w:val="16"/>
                <w:color w:val="auto"/>
              </w:rPr>
              <w:t>Murdo Gordon</w:t>
            </w:r>
          </w:p>
        </w:tc>
        <w:tc>
          <w:tcPr>
            <w:tcW w:w="2440" w:type="dxa"/>
            <w:vAlign w:val="bottom"/>
          </w:tcPr>
          <w:p>
            <w:pPr>
              <w:jc w:val="right"/>
              <w:ind w:right="59"/>
              <w:spacing w:after="0"/>
              <w:rPr>
                <w:sz w:val="20"/>
                <w:szCs w:val="20"/>
                <w:color w:val="auto"/>
              </w:rPr>
            </w:pPr>
            <w:r>
              <w:rPr>
                <w:rFonts w:ascii="Arial" w:cs="Arial" w:eastAsia="Arial" w:hAnsi="Arial"/>
                <w:sz w:val="16"/>
                <w:szCs w:val="16"/>
                <w:color w:val="auto"/>
              </w:rPr>
              <w:t>1,071,800</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1,109,000</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1,064,678</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4.2</w:t>
            </w:r>
          </w:p>
        </w:tc>
      </w:tr>
      <w:tr>
        <w:trPr>
          <w:trHeight w:val="33"/>
        </w:trPr>
        <w:tc>
          <w:tcPr>
            <w:tcW w:w="29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6"/>
        </w:trPr>
        <w:tc>
          <w:tcPr>
            <w:tcW w:w="2940" w:type="dxa"/>
            <w:vAlign w:val="bottom"/>
            <w:tcBorders>
              <w:bottom w:val="single" w:sz="8" w:color="CCE2F1"/>
            </w:tcBorders>
            <w:shd w:val="clear" w:color="auto" w:fill="CCE2F1"/>
          </w:tcPr>
          <w:p>
            <w:pPr>
              <w:ind w:left="60"/>
              <w:spacing w:after="0"/>
              <w:rPr>
                <w:sz w:val="20"/>
                <w:szCs w:val="20"/>
                <w:color w:val="auto"/>
              </w:rPr>
            </w:pPr>
            <w:r>
              <w:rPr>
                <w:rFonts w:ascii="Arial" w:cs="Arial" w:eastAsia="Arial" w:hAnsi="Arial"/>
                <w:sz w:val="16"/>
                <w:szCs w:val="16"/>
                <w:color w:val="auto"/>
              </w:rPr>
              <w:t>David M. Reese</w:t>
            </w:r>
          </w:p>
        </w:tc>
        <w:tc>
          <w:tcPr>
            <w:tcW w:w="244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1,070,000</w:t>
            </w:r>
          </w:p>
        </w:tc>
        <w:tc>
          <w:tcPr>
            <w:tcW w:w="900" w:type="dxa"/>
            <w:vAlign w:val="bottom"/>
            <w:tcBorders>
              <w:bottom w:val="single" w:sz="8" w:color="CCE2F1"/>
            </w:tcBorders>
            <w:shd w:val="clear" w:color="auto" w:fill="CCE2F1"/>
          </w:tcPr>
          <w:p>
            <w:pPr>
              <w:jc w:val="right"/>
              <w:ind w:right="39"/>
              <w:spacing w:after="0"/>
              <w:rPr>
                <w:sz w:val="20"/>
                <w:szCs w:val="20"/>
                <w:color w:val="auto"/>
              </w:rPr>
            </w:pPr>
            <w:r>
              <w:rPr>
                <w:rFonts w:ascii="Arial" w:cs="Arial" w:eastAsia="Arial" w:hAnsi="Arial"/>
                <w:sz w:val="16"/>
                <w:szCs w:val="16"/>
                <w:color w:val="auto"/>
              </w:rPr>
              <w:t>9.8</w:t>
            </w:r>
          </w:p>
        </w:tc>
        <w:tc>
          <w:tcPr>
            <w:tcW w:w="1580" w:type="dxa"/>
            <w:vAlign w:val="bottom"/>
            <w:tcBorders>
              <w:bottom w:val="single" w:sz="8" w:color="CCE2F1"/>
            </w:tcBorders>
            <w:shd w:val="clear" w:color="auto" w:fill="CCE2F1"/>
          </w:tcPr>
          <w:p>
            <w:pPr>
              <w:jc w:val="right"/>
              <w:ind w:right="39"/>
              <w:spacing w:after="0"/>
              <w:rPr>
                <w:sz w:val="20"/>
                <w:szCs w:val="20"/>
                <w:color w:val="auto"/>
              </w:rPr>
            </w:pPr>
            <w:r>
              <w:rPr>
                <w:rFonts w:ascii="Arial" w:cs="Arial" w:eastAsia="Arial" w:hAnsi="Arial"/>
                <w:sz w:val="16"/>
                <w:szCs w:val="16"/>
                <w:color w:val="auto"/>
              </w:rPr>
              <w:t>1,175,000</w:t>
            </w:r>
          </w:p>
        </w:tc>
        <w:tc>
          <w:tcPr>
            <w:tcW w:w="1760" w:type="dxa"/>
            <w:vAlign w:val="bottom"/>
            <w:tcBorders>
              <w:bottom w:val="single" w:sz="8" w:color="CCE2F1"/>
            </w:tcBorders>
            <w:shd w:val="clear" w:color="auto" w:fill="CCE2F1"/>
          </w:tcPr>
          <w:p>
            <w:pPr>
              <w:jc w:val="right"/>
              <w:ind w:right="19"/>
              <w:spacing w:after="0"/>
              <w:rPr>
                <w:sz w:val="20"/>
                <w:szCs w:val="20"/>
                <w:color w:val="auto"/>
              </w:rPr>
            </w:pPr>
            <w:r>
              <w:rPr>
                <w:rFonts w:ascii="Arial" w:cs="Arial" w:eastAsia="Arial" w:hAnsi="Arial"/>
                <w:sz w:val="16"/>
                <w:szCs w:val="16"/>
                <w:color w:val="auto"/>
              </w:rPr>
              <w:t>1,176,565</w:t>
            </w:r>
          </w:p>
        </w:tc>
        <w:tc>
          <w:tcPr>
            <w:tcW w:w="1400" w:type="dxa"/>
            <w:vAlign w:val="bottom"/>
            <w:tcBorders>
              <w:bottom w:val="single" w:sz="8" w:color="CCE2F1"/>
            </w:tcBorders>
            <w:shd w:val="clear" w:color="auto" w:fill="CCE2F1"/>
          </w:tcPr>
          <w:p>
            <w:pPr>
              <w:jc w:val="right"/>
              <w:ind w:right="19"/>
              <w:spacing w:after="0"/>
              <w:rPr>
                <w:sz w:val="20"/>
                <w:szCs w:val="20"/>
                <w:color w:val="auto"/>
              </w:rPr>
            </w:pPr>
            <w:r>
              <w:rPr>
                <w:rFonts w:ascii="Arial" w:cs="Arial" w:eastAsia="Arial" w:hAnsi="Arial"/>
                <w:sz w:val="16"/>
                <w:szCs w:val="16"/>
                <w:color w:val="auto"/>
              </w:rPr>
              <w:t>(0.1)</w:t>
            </w:r>
          </w:p>
        </w:tc>
      </w:tr>
      <w:tr>
        <w:trPr>
          <w:trHeight w:val="224"/>
        </w:trPr>
        <w:tc>
          <w:tcPr>
            <w:tcW w:w="2940" w:type="dxa"/>
            <w:vAlign w:val="bottom"/>
          </w:tcPr>
          <w:p>
            <w:pPr>
              <w:ind w:left="60"/>
              <w:spacing w:after="0"/>
              <w:rPr>
                <w:sz w:val="20"/>
                <w:szCs w:val="20"/>
                <w:color w:val="auto"/>
              </w:rPr>
            </w:pPr>
            <w:r>
              <w:rPr>
                <w:rFonts w:ascii="Arial" w:cs="Arial" w:eastAsia="Arial" w:hAnsi="Arial"/>
                <w:sz w:val="16"/>
                <w:szCs w:val="16"/>
                <w:color w:val="auto"/>
              </w:rPr>
              <w:t>Peter H. Griffith</w:t>
            </w:r>
          </w:p>
        </w:tc>
        <w:tc>
          <w:tcPr>
            <w:tcW w:w="2440" w:type="dxa"/>
            <w:vAlign w:val="bottom"/>
          </w:tcPr>
          <w:p>
            <w:pPr>
              <w:jc w:val="right"/>
              <w:ind w:right="59"/>
              <w:spacing w:after="0"/>
              <w:rPr>
                <w:sz w:val="20"/>
                <w:szCs w:val="20"/>
                <w:color w:val="auto"/>
              </w:rPr>
            </w:pPr>
            <w:r>
              <w:rPr>
                <w:rFonts w:ascii="Arial" w:cs="Arial" w:eastAsia="Arial" w:hAnsi="Arial"/>
                <w:sz w:val="16"/>
                <w:szCs w:val="16"/>
                <w:color w:val="auto"/>
              </w:rPr>
              <w:t>1,014,200</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1,050,000</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1,033,323</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1.6</w:t>
            </w:r>
          </w:p>
        </w:tc>
      </w:tr>
      <w:tr>
        <w:trPr>
          <w:trHeight w:val="33"/>
        </w:trPr>
        <w:tc>
          <w:tcPr>
            <w:tcW w:w="29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2940" w:type="dxa"/>
            <w:vAlign w:val="bottom"/>
            <w:tcBorders>
              <w:bottom w:val="single" w:sz="8" w:color="0171B9"/>
            </w:tcBorders>
            <w:shd w:val="clear" w:color="auto" w:fill="CCE2F1"/>
          </w:tcPr>
          <w:p>
            <w:pPr>
              <w:ind w:left="60"/>
              <w:spacing w:after="0" w:line="257" w:lineRule="exact"/>
              <w:rPr>
                <w:sz w:val="20"/>
                <w:szCs w:val="20"/>
                <w:color w:val="auto"/>
              </w:rPr>
            </w:pPr>
            <w:r>
              <w:rPr>
                <w:rFonts w:ascii="Arial" w:cs="Arial" w:eastAsia="Arial" w:hAnsi="Arial"/>
                <w:sz w:val="16"/>
                <w:szCs w:val="16"/>
                <w:color w:val="auto"/>
              </w:rPr>
              <w:t>Esteban Santos</w:t>
            </w:r>
            <w:r>
              <w:rPr>
                <w:rFonts w:ascii="Arial" w:cs="Arial" w:eastAsia="Arial" w:hAnsi="Arial"/>
                <w:sz w:val="24"/>
                <w:szCs w:val="24"/>
                <w:color w:val="auto"/>
                <w:vertAlign w:val="superscript"/>
              </w:rPr>
              <w:t>(1)</w:t>
            </w:r>
          </w:p>
        </w:tc>
        <w:tc>
          <w:tcPr>
            <w:tcW w:w="2440" w:type="dxa"/>
            <w:vAlign w:val="bottom"/>
            <w:tcBorders>
              <w:bottom w:val="single" w:sz="8" w:color="0171B9"/>
            </w:tcBorders>
            <w:shd w:val="clear" w:color="auto" w:fill="CCE2F1"/>
          </w:tcPr>
          <w:p>
            <w:pPr>
              <w:jc w:val="right"/>
              <w:ind w:right="59"/>
              <w:spacing w:after="0"/>
              <w:rPr>
                <w:sz w:val="20"/>
                <w:szCs w:val="20"/>
                <w:color w:val="auto"/>
              </w:rPr>
            </w:pPr>
            <w:r>
              <w:rPr>
                <w:rFonts w:ascii="Arial" w:cs="Arial" w:eastAsia="Arial" w:hAnsi="Arial"/>
                <w:sz w:val="16"/>
                <w:szCs w:val="16"/>
                <w:color w:val="auto"/>
              </w:rPr>
              <w:t>993,500</w:t>
            </w:r>
          </w:p>
        </w:tc>
        <w:tc>
          <w:tcPr>
            <w:tcW w:w="900" w:type="dxa"/>
            <w:vAlign w:val="bottom"/>
            <w:tcBorders>
              <w:bottom w:val="single" w:sz="8" w:color="0171B9"/>
            </w:tcBorders>
            <w:shd w:val="clear" w:color="auto" w:fill="CCE2F1"/>
          </w:tcPr>
          <w:p>
            <w:pPr>
              <w:jc w:val="right"/>
              <w:ind w:right="39"/>
              <w:spacing w:after="0"/>
              <w:rPr>
                <w:sz w:val="20"/>
                <w:szCs w:val="20"/>
                <w:color w:val="auto"/>
              </w:rPr>
            </w:pPr>
            <w:r>
              <w:rPr>
                <w:rFonts w:ascii="Arial" w:cs="Arial" w:eastAsia="Arial" w:hAnsi="Arial"/>
                <w:sz w:val="16"/>
                <w:szCs w:val="16"/>
                <w:color w:val="auto"/>
              </w:rPr>
              <w:t>3.5</w:t>
            </w:r>
          </w:p>
        </w:tc>
        <w:tc>
          <w:tcPr>
            <w:tcW w:w="1580" w:type="dxa"/>
            <w:vAlign w:val="bottom"/>
            <w:tcBorders>
              <w:bottom w:val="single" w:sz="8" w:color="0171B9"/>
            </w:tcBorders>
            <w:shd w:val="clear" w:color="auto" w:fill="CCE2F1"/>
          </w:tcPr>
          <w:p>
            <w:pPr>
              <w:jc w:val="right"/>
              <w:ind w:right="39"/>
              <w:spacing w:after="0"/>
              <w:rPr>
                <w:sz w:val="20"/>
                <w:szCs w:val="20"/>
                <w:color w:val="auto"/>
              </w:rPr>
            </w:pPr>
            <w:r>
              <w:rPr>
                <w:rFonts w:ascii="Arial" w:cs="Arial" w:eastAsia="Arial" w:hAnsi="Arial"/>
                <w:sz w:val="16"/>
                <w:szCs w:val="16"/>
                <w:color w:val="auto"/>
              </w:rPr>
              <w:t>1,028,300</w:t>
            </w:r>
          </w:p>
        </w:tc>
        <w:tc>
          <w:tcPr>
            <w:tcW w:w="1760" w:type="dxa"/>
            <w:vAlign w:val="bottom"/>
            <w:tcBorders>
              <w:bottom w:val="single" w:sz="8" w:color="0171B9"/>
            </w:tcBorders>
            <w:shd w:val="clear" w:color="auto" w:fill="CCE2F1"/>
          </w:tcPr>
          <w:p>
            <w:pPr>
              <w:jc w:val="right"/>
              <w:ind w:right="19"/>
              <w:spacing w:after="0"/>
              <w:rPr>
                <w:sz w:val="20"/>
                <w:szCs w:val="20"/>
                <w:color w:val="auto"/>
              </w:rPr>
            </w:pPr>
            <w:r>
              <w:rPr>
                <w:rFonts w:ascii="Arial" w:cs="Arial" w:eastAsia="Arial" w:hAnsi="Arial"/>
                <w:sz w:val="16"/>
                <w:szCs w:val="16"/>
                <w:color w:val="auto"/>
              </w:rPr>
              <w:t>n/a</w:t>
            </w:r>
          </w:p>
        </w:tc>
        <w:tc>
          <w:tcPr>
            <w:tcW w:w="1400" w:type="dxa"/>
            <w:vAlign w:val="bottom"/>
            <w:tcBorders>
              <w:bottom w:val="single" w:sz="8" w:color="0171B9"/>
            </w:tcBorders>
            <w:shd w:val="clear" w:color="auto" w:fill="CCE2F1"/>
          </w:tcPr>
          <w:p>
            <w:pPr>
              <w:jc w:val="right"/>
              <w:ind w:right="79"/>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-830580</wp:posOffset>
            </wp:positionV>
            <wp:extent cx="69951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2" w:lineRule="exact"/>
        <w:rPr>
          <w:sz w:val="20"/>
          <w:szCs w:val="20"/>
          <w:color w:val="auto"/>
        </w:rPr>
      </w:pPr>
    </w:p>
    <w:p>
      <w:pPr>
        <w:ind w:left="540" w:right="20" w:hanging="424"/>
        <w:spacing w:after="0" w:line="201" w:lineRule="auto"/>
        <w:tabs>
          <w:tab w:leader="none" w:pos="540" w:val="left"/>
        </w:tabs>
        <w:numPr>
          <w:ilvl w:val="0"/>
          <w:numId w:val="98"/>
        </w:numPr>
        <w:rPr>
          <w:rFonts w:ascii="Arial" w:cs="Arial" w:eastAsia="Arial" w:hAnsi="Arial"/>
          <w:sz w:val="22"/>
          <w:szCs w:val="22"/>
          <w:color w:val="auto"/>
          <w:vertAlign w:val="superscript"/>
        </w:rPr>
      </w:pPr>
      <w:r>
        <w:rPr>
          <w:rFonts w:ascii="Arial" w:cs="Arial" w:eastAsia="Arial" w:hAnsi="Arial"/>
          <w:sz w:val="14"/>
          <w:szCs w:val="14"/>
          <w:color w:val="auto"/>
        </w:rPr>
        <w:t>As previously discussed under “How Compensation Decisions Are Made For Our Named Executive Officers—</w:t>
      </w:r>
      <w:r>
        <w:rPr>
          <w:rFonts w:ascii="Arial" w:cs="Arial" w:eastAsia="Arial" w:hAnsi="Arial"/>
          <w:sz w:val="14"/>
          <w:szCs w:val="14"/>
          <w:i w:val="1"/>
          <w:iCs w:val="1"/>
          <w:color w:val="auto"/>
        </w:rPr>
        <w:t>Peer Group Data Sources,</w:t>
      </w:r>
      <w:r>
        <w:rPr>
          <w:rFonts w:ascii="Arial" w:cs="Arial" w:eastAsia="Arial" w:hAnsi="Arial"/>
          <w:sz w:val="14"/>
          <w:szCs w:val="14"/>
          <w:color w:val="auto"/>
        </w:rPr>
        <w:t>” no comparable market data is available for Mr. Santos.</w:t>
      </w:r>
    </w:p>
    <w:p>
      <w:pPr>
        <w:sectPr>
          <w:pgSz w:w="11900" w:h="16838" w:orient="portrait"/>
          <w:cols w:equalWidth="0" w:num="1">
            <w:col w:w="11140"/>
          </w:cols>
          <w:pgMar w:left="320" w:top="486" w:right="439" w:bottom="1440" w:gutter="0" w:footer="0" w:header="0"/>
        </w:sectPr>
      </w:pP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2023 Base Salary Adjustments</w:t>
      </w:r>
    </w:p>
    <w:p>
      <w:pPr>
        <w:spacing w:after="0" w:line="120"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In March 2023, the Compensation Committee considered each NEO’s base salary against the available Market Median data, while taking into account the Company’s and each NEO’s performance, as well as current market conditions. In alignment with the base salary increases made to our staff members generally, the Compensation Committee increased each NEO’s base salary by 3.8%.</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Total Target Annual Cash Compensation</w:t>
      </w:r>
    </w:p>
    <w:p>
      <w:pPr>
        <w:spacing w:after="0" w:line="124"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Total target annual cash is the sum of the NEO’s base salary and target annual cash incentive award, which is a multiple of base salary. The Compensation Committee believes that reviewing our NEOs’ total target annual cash compensation, in addition to the available Market Median for each element of compensation, provides a useful check in making compensation decisions.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March 2022, the Compensation Committee reviewed total target annual cash compensation for each NEO compared to the available market data and 2021 total target annual cash compensation figures as depicted below. The Compensation Committee noted such total target annual cash compensation was close to the Market Median for all available positions. The Compensation Committee found such positioning and small percentage over Market Median (less than 5%) to be appropriate for Mr. Bradway given Mr. Bradway’s sustained strong leadership in the CEO role. Given Mr. Gordon’s successful leadership of the global commercial operations function during the second year of the pandemic, the Compensation Committee determined this target annual cash compensation (12.1% over the Market Median) to be appropriate and in-line with the compensation reported by our peer group in their most recent proxy statements (2021). For more information regarding the determination of Market Median, the peer group data reviewed, and the Executive Vice President, Operations role, see “How Compensation Decisions Are Made For Our Named Executive Officers—</w:t>
      </w:r>
      <w:r>
        <w:rPr>
          <w:rFonts w:ascii="Arial" w:cs="Arial" w:eastAsia="Arial" w:hAnsi="Arial"/>
          <w:sz w:val="17"/>
          <w:szCs w:val="17"/>
          <w:i w:val="1"/>
          <w:iCs w:val="1"/>
          <w:color w:val="auto"/>
        </w:rPr>
        <w:t>Peer Group Data Sources</w:t>
      </w:r>
      <w:r>
        <w:rPr>
          <w:rFonts w:ascii="Arial" w:cs="Arial" w:eastAsia="Arial" w:hAnsi="Arial"/>
          <w:sz w:val="17"/>
          <w:szCs w:val="17"/>
          <w:color w:val="auto"/>
        </w:rPr>
        <w:t>” previously described.</w:t>
      </w:r>
    </w:p>
    <w:p>
      <w:pPr>
        <w:spacing w:after="0" w:line="200"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15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171B9"/>
        </w:rPr>
        <w:t>Total Target Annual Cash Compensation</w:t>
      </w:r>
    </w:p>
    <w:p>
      <w:pPr>
        <w:spacing w:after="0" w:line="115"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Total target annual cash compensation reviewed by the Compensation Committee in March 2022 prior to the base salary changes being made are shown in the table below:</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480" w:type="dxa"/>
            <w:vAlign w:val="bottom"/>
            <w:shd w:val="clear" w:color="auto" w:fill="0171B9"/>
          </w:tcPr>
          <w:p>
            <w:pPr>
              <w:spacing w:after="0"/>
              <w:rPr>
                <w:sz w:val="16"/>
                <w:szCs w:val="16"/>
                <w:color w:val="auto"/>
              </w:rPr>
            </w:pPr>
          </w:p>
        </w:tc>
        <w:tc>
          <w:tcPr>
            <w:tcW w:w="3320" w:type="dxa"/>
            <w:vAlign w:val="bottom"/>
            <w:shd w:val="clear" w:color="auto" w:fill="0171B9"/>
          </w:tcPr>
          <w:p>
            <w:pPr>
              <w:spacing w:after="0"/>
              <w:rPr>
                <w:sz w:val="16"/>
                <w:szCs w:val="16"/>
                <w:color w:val="auto"/>
              </w:rPr>
            </w:pPr>
          </w:p>
        </w:tc>
        <w:tc>
          <w:tcPr>
            <w:tcW w:w="2460" w:type="dxa"/>
            <w:vAlign w:val="bottom"/>
            <w:shd w:val="clear" w:color="auto" w:fill="0171B9"/>
          </w:tcPr>
          <w:p>
            <w:pPr>
              <w:spacing w:after="0"/>
              <w:rPr>
                <w:sz w:val="16"/>
                <w:szCs w:val="16"/>
                <w:color w:val="auto"/>
              </w:rPr>
            </w:pPr>
          </w:p>
        </w:tc>
        <w:tc>
          <w:tcPr>
            <w:tcW w:w="1760" w:type="dxa"/>
            <w:vAlign w:val="bottom"/>
            <w:shd w:val="clear" w:color="auto" w:fill="0171B9"/>
          </w:tcPr>
          <w:p>
            <w:pPr>
              <w:jc w:val="right"/>
              <w:spacing w:after="0"/>
              <w:rPr>
                <w:sz w:val="20"/>
                <w:szCs w:val="20"/>
                <w:color w:val="auto"/>
              </w:rPr>
            </w:pPr>
            <w:r>
              <w:rPr>
                <w:rFonts w:ascii="Arial" w:cs="Arial" w:eastAsia="Arial" w:hAnsi="Arial"/>
                <w:sz w:val="16"/>
                <w:szCs w:val="16"/>
                <w:b w:val="1"/>
                <w:bCs w:val="1"/>
                <w:color w:val="FFFFFF"/>
              </w:rPr>
              <w:t>Difference vs.</w:t>
            </w:r>
          </w:p>
        </w:tc>
      </w:tr>
      <w:tr>
        <w:trPr>
          <w:trHeight w:val="189"/>
        </w:trPr>
        <w:tc>
          <w:tcPr>
            <w:tcW w:w="3480" w:type="dxa"/>
            <w:vAlign w:val="bottom"/>
            <w:shd w:val="clear" w:color="auto" w:fill="0171B9"/>
          </w:tcPr>
          <w:p>
            <w:pPr>
              <w:spacing w:after="0"/>
              <w:rPr>
                <w:sz w:val="16"/>
                <w:szCs w:val="16"/>
                <w:color w:val="auto"/>
              </w:rPr>
            </w:pPr>
          </w:p>
        </w:tc>
        <w:tc>
          <w:tcPr>
            <w:tcW w:w="3320" w:type="dxa"/>
            <w:vAlign w:val="bottom"/>
            <w:shd w:val="clear" w:color="auto" w:fill="0171B9"/>
          </w:tcPr>
          <w:p>
            <w:pPr>
              <w:jc w:val="right"/>
              <w:ind w:right="279"/>
              <w:spacing w:after="0"/>
              <w:rPr>
                <w:sz w:val="20"/>
                <w:szCs w:val="20"/>
                <w:color w:val="auto"/>
              </w:rPr>
            </w:pPr>
            <w:r>
              <w:rPr>
                <w:rFonts w:ascii="Arial" w:cs="Arial" w:eastAsia="Arial" w:hAnsi="Arial"/>
                <w:sz w:val="16"/>
                <w:szCs w:val="16"/>
                <w:b w:val="1"/>
                <w:bCs w:val="1"/>
                <w:color w:val="FFFFFF"/>
              </w:rPr>
              <w:t>2022 Amgen Target</w:t>
            </w:r>
          </w:p>
        </w:tc>
        <w:tc>
          <w:tcPr>
            <w:tcW w:w="2460" w:type="dxa"/>
            <w:vAlign w:val="bottom"/>
            <w:shd w:val="clear" w:color="auto" w:fill="0171B9"/>
          </w:tcPr>
          <w:p>
            <w:pPr>
              <w:spacing w:after="0"/>
              <w:rPr>
                <w:sz w:val="16"/>
                <w:szCs w:val="16"/>
                <w:color w:val="auto"/>
              </w:rPr>
            </w:pPr>
          </w:p>
        </w:tc>
        <w:tc>
          <w:tcPr>
            <w:tcW w:w="1760" w:type="dxa"/>
            <w:vAlign w:val="bottom"/>
            <w:shd w:val="clear" w:color="auto" w:fill="0171B9"/>
          </w:tcPr>
          <w:p>
            <w:pPr>
              <w:jc w:val="right"/>
              <w:spacing w:after="0"/>
              <w:rPr>
                <w:sz w:val="20"/>
                <w:szCs w:val="20"/>
                <w:color w:val="auto"/>
              </w:rPr>
            </w:pPr>
            <w:r>
              <w:rPr>
                <w:rFonts w:ascii="Arial" w:cs="Arial" w:eastAsia="Arial" w:hAnsi="Arial"/>
                <w:sz w:val="16"/>
                <w:szCs w:val="16"/>
                <w:b w:val="1"/>
                <w:bCs w:val="1"/>
                <w:color w:val="FFFFFF"/>
              </w:rPr>
              <w:t>Market Median</w:t>
            </w:r>
          </w:p>
        </w:tc>
      </w:tr>
      <w:tr>
        <w:trPr>
          <w:trHeight w:val="189"/>
        </w:trPr>
        <w:tc>
          <w:tcPr>
            <w:tcW w:w="3480" w:type="dxa"/>
            <w:vAlign w:val="bottom"/>
            <w:shd w:val="clear" w:color="auto" w:fill="0171B9"/>
          </w:tcPr>
          <w:p>
            <w:pPr>
              <w:spacing w:after="0"/>
              <w:rPr>
                <w:sz w:val="16"/>
                <w:szCs w:val="16"/>
                <w:color w:val="auto"/>
              </w:rPr>
            </w:pPr>
          </w:p>
        </w:tc>
        <w:tc>
          <w:tcPr>
            <w:tcW w:w="3320" w:type="dxa"/>
            <w:vAlign w:val="bottom"/>
            <w:shd w:val="clear" w:color="auto" w:fill="0171B9"/>
          </w:tcPr>
          <w:p>
            <w:pPr>
              <w:jc w:val="right"/>
              <w:ind w:right="279"/>
              <w:spacing w:after="0"/>
              <w:rPr>
                <w:sz w:val="20"/>
                <w:szCs w:val="20"/>
                <w:color w:val="auto"/>
              </w:rPr>
            </w:pPr>
            <w:r>
              <w:rPr>
                <w:rFonts w:ascii="Arial" w:cs="Arial" w:eastAsia="Arial" w:hAnsi="Arial"/>
                <w:sz w:val="16"/>
                <w:szCs w:val="16"/>
                <w:b w:val="1"/>
                <w:bCs w:val="1"/>
                <w:color w:val="FFFFFF"/>
              </w:rPr>
              <w:t>Total Annual Cash</w:t>
            </w:r>
          </w:p>
        </w:tc>
        <w:tc>
          <w:tcPr>
            <w:tcW w:w="2460" w:type="dxa"/>
            <w:vAlign w:val="bottom"/>
            <w:shd w:val="clear" w:color="auto" w:fill="0171B9"/>
          </w:tcPr>
          <w:p>
            <w:pPr>
              <w:jc w:val="right"/>
              <w:ind w:right="499"/>
              <w:spacing w:after="0"/>
              <w:rPr>
                <w:sz w:val="20"/>
                <w:szCs w:val="20"/>
                <w:color w:val="auto"/>
              </w:rPr>
            </w:pPr>
            <w:r>
              <w:rPr>
                <w:rFonts w:ascii="Arial" w:cs="Arial" w:eastAsia="Arial" w:hAnsi="Arial"/>
                <w:sz w:val="16"/>
                <w:szCs w:val="16"/>
                <w:b w:val="1"/>
                <w:bCs w:val="1"/>
                <w:color w:val="FFFFFF"/>
              </w:rPr>
              <w:t>2021 Market Median</w:t>
            </w:r>
          </w:p>
        </w:tc>
        <w:tc>
          <w:tcPr>
            <w:tcW w:w="1760" w:type="dxa"/>
            <w:vAlign w:val="bottom"/>
            <w:shd w:val="clear" w:color="auto" w:fill="0171B9"/>
          </w:tcPr>
          <w:p>
            <w:pPr>
              <w:jc w:val="right"/>
              <w:spacing w:after="0"/>
              <w:rPr>
                <w:sz w:val="20"/>
                <w:szCs w:val="20"/>
                <w:color w:val="auto"/>
              </w:rPr>
            </w:pPr>
            <w:r>
              <w:rPr>
                <w:rFonts w:ascii="Arial" w:cs="Arial" w:eastAsia="Arial" w:hAnsi="Arial"/>
                <w:sz w:val="16"/>
                <w:szCs w:val="16"/>
                <w:b w:val="1"/>
                <w:bCs w:val="1"/>
                <w:color w:val="FFFFFF"/>
              </w:rPr>
              <w:t>Over/(Under)</w:t>
            </w:r>
          </w:p>
        </w:tc>
      </w:tr>
      <w:tr>
        <w:trPr>
          <w:trHeight w:val="221"/>
        </w:trPr>
        <w:tc>
          <w:tcPr>
            <w:tcW w:w="3480" w:type="dxa"/>
            <w:vAlign w:val="bottom"/>
            <w:shd w:val="clear" w:color="auto" w:fill="0171B9"/>
          </w:tcPr>
          <w:p>
            <w:pPr>
              <w:ind w:left="60"/>
              <w:spacing w:after="0"/>
              <w:rPr>
                <w:sz w:val="20"/>
                <w:szCs w:val="20"/>
                <w:color w:val="auto"/>
              </w:rPr>
            </w:pPr>
            <w:r>
              <w:rPr>
                <w:rFonts w:ascii="Arial" w:cs="Arial" w:eastAsia="Arial" w:hAnsi="Arial"/>
                <w:sz w:val="16"/>
                <w:szCs w:val="16"/>
                <w:b w:val="1"/>
                <w:bCs w:val="1"/>
                <w:color w:val="FFFFFF"/>
              </w:rPr>
              <w:t>Named Executive Officer</w:t>
            </w:r>
          </w:p>
        </w:tc>
        <w:tc>
          <w:tcPr>
            <w:tcW w:w="3320" w:type="dxa"/>
            <w:vAlign w:val="bottom"/>
            <w:shd w:val="clear" w:color="auto" w:fill="0171B9"/>
          </w:tcPr>
          <w:p>
            <w:pPr>
              <w:jc w:val="right"/>
              <w:ind w:right="279"/>
              <w:spacing w:after="0"/>
              <w:rPr>
                <w:sz w:val="20"/>
                <w:szCs w:val="20"/>
                <w:color w:val="auto"/>
              </w:rPr>
            </w:pPr>
            <w:r>
              <w:rPr>
                <w:rFonts w:ascii="Arial" w:cs="Arial" w:eastAsia="Arial" w:hAnsi="Arial"/>
                <w:sz w:val="16"/>
                <w:szCs w:val="16"/>
                <w:b w:val="1"/>
                <w:bCs w:val="1"/>
                <w:color w:val="FFFFFF"/>
              </w:rPr>
              <w:t>($)</w:t>
            </w:r>
          </w:p>
        </w:tc>
        <w:tc>
          <w:tcPr>
            <w:tcW w:w="2460" w:type="dxa"/>
            <w:vAlign w:val="bottom"/>
            <w:shd w:val="clear" w:color="auto" w:fill="0171B9"/>
          </w:tcPr>
          <w:p>
            <w:pPr>
              <w:jc w:val="right"/>
              <w:ind w:right="499"/>
              <w:spacing w:after="0"/>
              <w:rPr>
                <w:sz w:val="20"/>
                <w:szCs w:val="20"/>
                <w:color w:val="auto"/>
              </w:rPr>
            </w:pPr>
            <w:r>
              <w:rPr>
                <w:rFonts w:ascii="Arial" w:cs="Arial" w:eastAsia="Arial" w:hAnsi="Arial"/>
                <w:sz w:val="16"/>
                <w:szCs w:val="16"/>
                <w:b w:val="1"/>
                <w:bCs w:val="1"/>
                <w:color w:val="FFFFFF"/>
              </w:rPr>
              <w:t>($)</w:t>
            </w:r>
          </w:p>
        </w:tc>
        <w:tc>
          <w:tcPr>
            <w:tcW w:w="1760" w:type="dxa"/>
            <w:vAlign w:val="bottom"/>
            <w:shd w:val="clear" w:color="auto" w:fill="0171B9"/>
          </w:tcPr>
          <w:p>
            <w:pPr>
              <w:jc w:val="right"/>
              <w:spacing w:after="0"/>
              <w:rPr>
                <w:sz w:val="20"/>
                <w:szCs w:val="20"/>
                <w:color w:val="auto"/>
              </w:rPr>
            </w:pPr>
            <w:r>
              <w:rPr>
                <w:rFonts w:ascii="Arial" w:cs="Arial" w:eastAsia="Arial" w:hAnsi="Arial"/>
                <w:sz w:val="16"/>
                <w:szCs w:val="16"/>
                <w:b w:val="1"/>
                <w:bCs w:val="1"/>
                <w:color w:val="FFFFFF"/>
              </w:rPr>
              <w:t>(%)</w:t>
            </w:r>
          </w:p>
        </w:tc>
      </w:tr>
      <w:tr>
        <w:trPr>
          <w:trHeight w:val="250"/>
        </w:trPr>
        <w:tc>
          <w:tcPr>
            <w:tcW w:w="3480" w:type="dxa"/>
            <w:vAlign w:val="bottom"/>
            <w:tcBorders>
              <w:bottom w:val="single" w:sz="8" w:color="CCE2F1"/>
            </w:tcBorders>
            <w:shd w:val="clear" w:color="auto" w:fill="CCE2F1"/>
          </w:tcPr>
          <w:p>
            <w:pPr>
              <w:ind w:left="60"/>
              <w:spacing w:after="0"/>
              <w:rPr>
                <w:sz w:val="20"/>
                <w:szCs w:val="20"/>
                <w:color w:val="auto"/>
              </w:rPr>
            </w:pPr>
            <w:r>
              <w:rPr>
                <w:rFonts w:ascii="Arial" w:cs="Arial" w:eastAsia="Arial" w:hAnsi="Arial"/>
                <w:sz w:val="16"/>
                <w:szCs w:val="16"/>
                <w:color w:val="auto"/>
              </w:rPr>
              <w:t>Robert A. Bradway</w:t>
            </w:r>
          </w:p>
        </w:tc>
        <w:tc>
          <w:tcPr>
            <w:tcW w:w="3320" w:type="dxa"/>
            <w:vAlign w:val="bottom"/>
            <w:tcBorders>
              <w:bottom w:val="single" w:sz="8" w:color="CCE2F1"/>
            </w:tcBorders>
            <w:shd w:val="clear" w:color="auto" w:fill="CCE2F1"/>
          </w:tcPr>
          <w:p>
            <w:pPr>
              <w:jc w:val="right"/>
              <w:ind w:right="279"/>
              <w:spacing w:after="0"/>
              <w:rPr>
                <w:sz w:val="20"/>
                <w:szCs w:val="20"/>
                <w:color w:val="auto"/>
              </w:rPr>
            </w:pPr>
            <w:r>
              <w:rPr>
                <w:rFonts w:ascii="Arial" w:cs="Arial" w:eastAsia="Arial" w:hAnsi="Arial"/>
                <w:sz w:val="16"/>
                <w:szCs w:val="16"/>
                <w:color w:val="auto"/>
              </w:rPr>
              <w:t>4,328,250</w:t>
            </w:r>
          </w:p>
        </w:tc>
        <w:tc>
          <w:tcPr>
            <w:tcW w:w="2460" w:type="dxa"/>
            <w:vAlign w:val="bottom"/>
            <w:tcBorders>
              <w:bottom w:val="single" w:sz="8" w:color="CCE2F1"/>
            </w:tcBorders>
            <w:shd w:val="clear" w:color="auto" w:fill="CCE2F1"/>
          </w:tcPr>
          <w:p>
            <w:pPr>
              <w:jc w:val="right"/>
              <w:ind w:right="499"/>
              <w:spacing w:after="0"/>
              <w:rPr>
                <w:sz w:val="20"/>
                <w:szCs w:val="20"/>
                <w:color w:val="auto"/>
              </w:rPr>
            </w:pPr>
            <w:r>
              <w:rPr>
                <w:rFonts w:ascii="Arial" w:cs="Arial" w:eastAsia="Arial" w:hAnsi="Arial"/>
                <w:sz w:val="16"/>
                <w:szCs w:val="16"/>
                <w:color w:val="auto"/>
              </w:rPr>
              <w:t>4,125,000</w:t>
            </w:r>
          </w:p>
        </w:tc>
        <w:tc>
          <w:tcPr>
            <w:tcW w:w="1760" w:type="dxa"/>
            <w:vAlign w:val="bottom"/>
            <w:tcBorders>
              <w:bottom w:val="single" w:sz="8" w:color="CCE2F1"/>
            </w:tcBorders>
            <w:shd w:val="clear" w:color="auto" w:fill="CCE2F1"/>
          </w:tcPr>
          <w:p>
            <w:pPr>
              <w:jc w:val="right"/>
              <w:spacing w:after="0"/>
              <w:rPr>
                <w:sz w:val="20"/>
                <w:szCs w:val="20"/>
                <w:color w:val="auto"/>
              </w:rPr>
            </w:pPr>
            <w:r>
              <w:rPr>
                <w:rFonts w:ascii="Arial" w:cs="Arial" w:eastAsia="Arial" w:hAnsi="Arial"/>
                <w:sz w:val="16"/>
                <w:szCs w:val="16"/>
                <w:color w:val="auto"/>
              </w:rPr>
              <w:t>4.9</w:t>
            </w:r>
          </w:p>
        </w:tc>
      </w:tr>
      <w:tr>
        <w:trPr>
          <w:trHeight w:val="223"/>
        </w:trPr>
        <w:tc>
          <w:tcPr>
            <w:tcW w:w="3480" w:type="dxa"/>
            <w:vAlign w:val="bottom"/>
          </w:tcPr>
          <w:p>
            <w:pPr>
              <w:ind w:left="60"/>
              <w:spacing w:after="0"/>
              <w:rPr>
                <w:sz w:val="20"/>
                <w:szCs w:val="20"/>
                <w:color w:val="auto"/>
              </w:rPr>
            </w:pPr>
            <w:r>
              <w:rPr>
                <w:rFonts w:ascii="Arial" w:cs="Arial" w:eastAsia="Arial" w:hAnsi="Arial"/>
                <w:sz w:val="16"/>
                <w:szCs w:val="16"/>
                <w:color w:val="auto"/>
              </w:rPr>
              <w:t>Murdo Gordon</w:t>
            </w:r>
          </w:p>
        </w:tc>
        <w:tc>
          <w:tcPr>
            <w:tcW w:w="3320" w:type="dxa"/>
            <w:vAlign w:val="bottom"/>
          </w:tcPr>
          <w:p>
            <w:pPr>
              <w:jc w:val="right"/>
              <w:ind w:right="279"/>
              <w:spacing w:after="0"/>
              <w:rPr>
                <w:sz w:val="20"/>
                <w:szCs w:val="20"/>
                <w:color w:val="auto"/>
              </w:rPr>
            </w:pPr>
            <w:r>
              <w:rPr>
                <w:rFonts w:ascii="Arial" w:cs="Arial" w:eastAsia="Arial" w:hAnsi="Arial"/>
                <w:sz w:val="16"/>
                <w:szCs w:val="16"/>
                <w:color w:val="auto"/>
              </w:rPr>
              <w:t>2,218,000</w:t>
            </w:r>
          </w:p>
        </w:tc>
        <w:tc>
          <w:tcPr>
            <w:tcW w:w="2460" w:type="dxa"/>
            <w:vAlign w:val="bottom"/>
          </w:tcPr>
          <w:p>
            <w:pPr>
              <w:jc w:val="right"/>
              <w:ind w:right="499"/>
              <w:spacing w:after="0"/>
              <w:rPr>
                <w:sz w:val="20"/>
                <w:szCs w:val="20"/>
                <w:color w:val="auto"/>
              </w:rPr>
            </w:pPr>
            <w:r>
              <w:rPr>
                <w:rFonts w:ascii="Arial" w:cs="Arial" w:eastAsia="Arial" w:hAnsi="Arial"/>
                <w:sz w:val="16"/>
                <w:szCs w:val="16"/>
                <w:color w:val="auto"/>
              </w:rPr>
              <w:t>1,979,341</w:t>
            </w:r>
          </w:p>
        </w:tc>
        <w:tc>
          <w:tcPr>
            <w:tcW w:w="176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33"/>
        </w:trPr>
        <w:tc>
          <w:tcPr>
            <w:tcW w:w="34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6"/>
        </w:trPr>
        <w:tc>
          <w:tcPr>
            <w:tcW w:w="3480" w:type="dxa"/>
            <w:vAlign w:val="bottom"/>
            <w:tcBorders>
              <w:bottom w:val="single" w:sz="8" w:color="CCE2F1"/>
            </w:tcBorders>
            <w:shd w:val="clear" w:color="auto" w:fill="CCE2F1"/>
          </w:tcPr>
          <w:p>
            <w:pPr>
              <w:ind w:left="60"/>
              <w:spacing w:after="0"/>
              <w:rPr>
                <w:sz w:val="20"/>
                <w:szCs w:val="20"/>
                <w:color w:val="auto"/>
              </w:rPr>
            </w:pPr>
            <w:r>
              <w:rPr>
                <w:rFonts w:ascii="Arial" w:cs="Arial" w:eastAsia="Arial" w:hAnsi="Arial"/>
                <w:sz w:val="16"/>
                <w:szCs w:val="16"/>
                <w:color w:val="auto"/>
              </w:rPr>
              <w:t>David M. Reese</w:t>
            </w:r>
          </w:p>
        </w:tc>
        <w:tc>
          <w:tcPr>
            <w:tcW w:w="3320" w:type="dxa"/>
            <w:vAlign w:val="bottom"/>
            <w:tcBorders>
              <w:bottom w:val="single" w:sz="8" w:color="CCE2F1"/>
            </w:tcBorders>
            <w:shd w:val="clear" w:color="auto" w:fill="CCE2F1"/>
          </w:tcPr>
          <w:p>
            <w:pPr>
              <w:jc w:val="right"/>
              <w:ind w:right="279"/>
              <w:spacing w:after="0"/>
              <w:rPr>
                <w:sz w:val="20"/>
                <w:szCs w:val="20"/>
                <w:color w:val="auto"/>
              </w:rPr>
            </w:pPr>
            <w:r>
              <w:rPr>
                <w:rFonts w:ascii="Arial" w:cs="Arial" w:eastAsia="Arial" w:hAnsi="Arial"/>
                <w:sz w:val="16"/>
                <w:szCs w:val="16"/>
                <w:color w:val="auto"/>
              </w:rPr>
              <w:t>2,350,000</w:t>
            </w:r>
          </w:p>
        </w:tc>
        <w:tc>
          <w:tcPr>
            <w:tcW w:w="2460" w:type="dxa"/>
            <w:vAlign w:val="bottom"/>
            <w:tcBorders>
              <w:bottom w:val="single" w:sz="8" w:color="CCE2F1"/>
            </w:tcBorders>
            <w:shd w:val="clear" w:color="auto" w:fill="CCE2F1"/>
          </w:tcPr>
          <w:p>
            <w:pPr>
              <w:jc w:val="right"/>
              <w:ind w:right="499"/>
              <w:spacing w:after="0"/>
              <w:rPr>
                <w:sz w:val="20"/>
                <w:szCs w:val="20"/>
                <w:color w:val="auto"/>
              </w:rPr>
            </w:pPr>
            <w:r>
              <w:rPr>
                <w:rFonts w:ascii="Arial" w:cs="Arial" w:eastAsia="Arial" w:hAnsi="Arial"/>
                <w:sz w:val="16"/>
                <w:szCs w:val="16"/>
                <w:color w:val="auto"/>
              </w:rPr>
              <w:t>2,282,105</w:t>
            </w:r>
          </w:p>
        </w:tc>
        <w:tc>
          <w:tcPr>
            <w:tcW w:w="1760" w:type="dxa"/>
            <w:vAlign w:val="bottom"/>
            <w:tcBorders>
              <w:bottom w:val="single" w:sz="8" w:color="CCE2F1"/>
            </w:tcBorders>
            <w:shd w:val="clear" w:color="auto" w:fill="CCE2F1"/>
          </w:tcPr>
          <w:p>
            <w:pPr>
              <w:jc w:val="right"/>
              <w:spacing w:after="0"/>
              <w:rPr>
                <w:sz w:val="20"/>
                <w:szCs w:val="20"/>
                <w:color w:val="auto"/>
              </w:rPr>
            </w:pPr>
            <w:r>
              <w:rPr>
                <w:rFonts w:ascii="Arial" w:cs="Arial" w:eastAsia="Arial" w:hAnsi="Arial"/>
                <w:sz w:val="16"/>
                <w:szCs w:val="16"/>
                <w:color w:val="auto"/>
              </w:rPr>
              <w:t>3.0</w:t>
            </w:r>
          </w:p>
        </w:tc>
      </w:tr>
      <w:tr>
        <w:trPr>
          <w:trHeight w:val="224"/>
        </w:trPr>
        <w:tc>
          <w:tcPr>
            <w:tcW w:w="3480" w:type="dxa"/>
            <w:vAlign w:val="bottom"/>
          </w:tcPr>
          <w:p>
            <w:pPr>
              <w:ind w:left="60"/>
              <w:spacing w:after="0"/>
              <w:rPr>
                <w:sz w:val="20"/>
                <w:szCs w:val="20"/>
                <w:color w:val="auto"/>
              </w:rPr>
            </w:pPr>
            <w:r>
              <w:rPr>
                <w:rFonts w:ascii="Arial" w:cs="Arial" w:eastAsia="Arial" w:hAnsi="Arial"/>
                <w:sz w:val="16"/>
                <w:szCs w:val="16"/>
                <w:color w:val="auto"/>
              </w:rPr>
              <w:t>Peter H. Griffith</w:t>
            </w:r>
          </w:p>
        </w:tc>
        <w:tc>
          <w:tcPr>
            <w:tcW w:w="3320" w:type="dxa"/>
            <w:vAlign w:val="bottom"/>
          </w:tcPr>
          <w:p>
            <w:pPr>
              <w:jc w:val="right"/>
              <w:ind w:right="279"/>
              <w:spacing w:after="0"/>
              <w:rPr>
                <w:sz w:val="20"/>
                <w:szCs w:val="20"/>
                <w:color w:val="auto"/>
              </w:rPr>
            </w:pPr>
            <w:r>
              <w:rPr>
                <w:rFonts w:ascii="Arial" w:cs="Arial" w:eastAsia="Arial" w:hAnsi="Arial"/>
                <w:sz w:val="16"/>
                <w:szCs w:val="16"/>
                <w:color w:val="auto"/>
              </w:rPr>
              <w:t>2,100,000</w:t>
            </w:r>
          </w:p>
        </w:tc>
        <w:tc>
          <w:tcPr>
            <w:tcW w:w="2460" w:type="dxa"/>
            <w:vAlign w:val="bottom"/>
          </w:tcPr>
          <w:p>
            <w:pPr>
              <w:jc w:val="right"/>
              <w:ind w:right="499"/>
              <w:spacing w:after="0"/>
              <w:rPr>
                <w:sz w:val="20"/>
                <w:szCs w:val="20"/>
                <w:color w:val="auto"/>
              </w:rPr>
            </w:pPr>
            <w:r>
              <w:rPr>
                <w:rFonts w:ascii="Arial" w:cs="Arial" w:eastAsia="Arial" w:hAnsi="Arial"/>
                <w:sz w:val="16"/>
                <w:szCs w:val="16"/>
                <w:color w:val="auto"/>
              </w:rPr>
              <w:t>2,053,043</w:t>
            </w:r>
          </w:p>
        </w:tc>
        <w:tc>
          <w:tcPr>
            <w:tcW w:w="17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34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6"/>
        </w:trPr>
        <w:tc>
          <w:tcPr>
            <w:tcW w:w="3480" w:type="dxa"/>
            <w:vAlign w:val="bottom"/>
            <w:tcBorders>
              <w:bottom w:val="single" w:sz="8" w:color="0171B9"/>
            </w:tcBorders>
            <w:shd w:val="clear" w:color="auto" w:fill="CCE2F1"/>
          </w:tcPr>
          <w:p>
            <w:pPr>
              <w:ind w:left="60"/>
              <w:spacing w:after="0" w:line="257" w:lineRule="exact"/>
              <w:rPr>
                <w:sz w:val="20"/>
                <w:szCs w:val="20"/>
                <w:color w:val="auto"/>
              </w:rPr>
            </w:pPr>
            <w:r>
              <w:rPr>
                <w:rFonts w:ascii="Arial" w:cs="Arial" w:eastAsia="Arial" w:hAnsi="Arial"/>
                <w:sz w:val="16"/>
                <w:szCs w:val="16"/>
                <w:color w:val="auto"/>
              </w:rPr>
              <w:t>Esteban Santos</w:t>
            </w:r>
            <w:r>
              <w:rPr>
                <w:rFonts w:ascii="Arial" w:cs="Arial" w:eastAsia="Arial" w:hAnsi="Arial"/>
                <w:sz w:val="24"/>
                <w:szCs w:val="24"/>
                <w:color w:val="auto"/>
                <w:vertAlign w:val="superscript"/>
              </w:rPr>
              <w:t>(1)</w:t>
            </w:r>
          </w:p>
        </w:tc>
        <w:tc>
          <w:tcPr>
            <w:tcW w:w="3320" w:type="dxa"/>
            <w:vAlign w:val="bottom"/>
            <w:tcBorders>
              <w:bottom w:val="single" w:sz="8" w:color="0171B9"/>
            </w:tcBorders>
            <w:shd w:val="clear" w:color="auto" w:fill="CCE2F1"/>
          </w:tcPr>
          <w:p>
            <w:pPr>
              <w:jc w:val="right"/>
              <w:ind w:right="279"/>
              <w:spacing w:after="0"/>
              <w:rPr>
                <w:sz w:val="20"/>
                <w:szCs w:val="20"/>
                <w:color w:val="auto"/>
              </w:rPr>
            </w:pPr>
            <w:r>
              <w:rPr>
                <w:rFonts w:ascii="Arial" w:cs="Arial" w:eastAsia="Arial" w:hAnsi="Arial"/>
                <w:sz w:val="16"/>
                <w:szCs w:val="16"/>
                <w:color w:val="auto"/>
              </w:rPr>
              <w:t>2,056,600</w:t>
            </w:r>
          </w:p>
        </w:tc>
        <w:tc>
          <w:tcPr>
            <w:tcW w:w="2460" w:type="dxa"/>
            <w:vAlign w:val="bottom"/>
            <w:tcBorders>
              <w:bottom w:val="single" w:sz="8" w:color="0171B9"/>
            </w:tcBorders>
            <w:shd w:val="clear" w:color="auto" w:fill="CCE2F1"/>
          </w:tcPr>
          <w:p>
            <w:pPr>
              <w:jc w:val="right"/>
              <w:ind w:right="499"/>
              <w:spacing w:after="0"/>
              <w:rPr>
                <w:sz w:val="20"/>
                <w:szCs w:val="20"/>
                <w:color w:val="auto"/>
              </w:rPr>
            </w:pPr>
            <w:r>
              <w:rPr>
                <w:rFonts w:ascii="Arial" w:cs="Arial" w:eastAsia="Arial" w:hAnsi="Arial"/>
                <w:sz w:val="16"/>
                <w:szCs w:val="16"/>
                <w:color w:val="auto"/>
              </w:rPr>
              <w:t>n/a</w:t>
            </w:r>
          </w:p>
        </w:tc>
        <w:tc>
          <w:tcPr>
            <w:tcW w:w="1760" w:type="dxa"/>
            <w:vAlign w:val="bottom"/>
            <w:tcBorders>
              <w:bottom w:val="single" w:sz="8" w:color="0171B9"/>
            </w:tcBorders>
            <w:shd w:val="clear" w:color="auto" w:fill="CCE2F1"/>
          </w:tcPr>
          <w:p>
            <w:pPr>
              <w:jc w:val="right"/>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-831215</wp:posOffset>
            </wp:positionV>
            <wp:extent cx="699516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92" w:lineRule="exact"/>
        <w:rPr>
          <w:sz w:val="20"/>
          <w:szCs w:val="20"/>
          <w:color w:val="auto"/>
        </w:rPr>
      </w:pPr>
    </w:p>
    <w:p>
      <w:pPr>
        <w:ind w:left="540" w:right="20" w:hanging="424"/>
        <w:spacing w:after="0" w:line="201" w:lineRule="auto"/>
        <w:tabs>
          <w:tab w:leader="none" w:pos="540" w:val="left"/>
        </w:tabs>
        <w:numPr>
          <w:ilvl w:val="0"/>
          <w:numId w:val="99"/>
        </w:numPr>
        <w:rPr>
          <w:rFonts w:ascii="Arial" w:cs="Arial" w:eastAsia="Arial" w:hAnsi="Arial"/>
          <w:sz w:val="22"/>
          <w:szCs w:val="22"/>
          <w:color w:val="auto"/>
          <w:vertAlign w:val="superscript"/>
        </w:rPr>
      </w:pPr>
      <w:r>
        <w:rPr>
          <w:rFonts w:ascii="Arial" w:cs="Arial" w:eastAsia="Arial" w:hAnsi="Arial"/>
          <w:sz w:val="14"/>
          <w:szCs w:val="14"/>
          <w:color w:val="auto"/>
        </w:rPr>
        <w:t>As previously discussed under “How Compensation Decisions Are Made For Our Named Executive Officers—</w:t>
      </w:r>
      <w:r>
        <w:rPr>
          <w:rFonts w:ascii="Arial" w:cs="Arial" w:eastAsia="Arial" w:hAnsi="Arial"/>
          <w:sz w:val="14"/>
          <w:szCs w:val="14"/>
          <w:i w:val="1"/>
          <w:iCs w:val="1"/>
          <w:color w:val="auto"/>
        </w:rPr>
        <w:t>Peer Group Data Sources,</w:t>
      </w:r>
      <w:r>
        <w:rPr>
          <w:rFonts w:ascii="Arial" w:cs="Arial" w:eastAsia="Arial" w:hAnsi="Arial"/>
          <w:sz w:val="14"/>
          <w:szCs w:val="14"/>
          <w:color w:val="auto"/>
        </w:rPr>
        <w:t>” no comparable market data is available for Mr. Santos.</w:t>
      </w:r>
    </w:p>
    <w:p>
      <w:pPr>
        <w:spacing w:after="0" w:line="118" w:lineRule="exact"/>
        <w:rPr>
          <w:sz w:val="20"/>
          <w:szCs w:val="20"/>
          <w:color w:val="auto"/>
        </w:r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Perquisites</w:t>
      </w:r>
    </w:p>
    <w:p>
      <w:pPr>
        <w:spacing w:after="0" w:line="124" w:lineRule="exact"/>
        <w:rPr>
          <w:sz w:val="20"/>
          <w:szCs w:val="20"/>
          <w:color w:val="auto"/>
        </w:rPr>
      </w:pPr>
    </w:p>
    <w:p>
      <w:pPr>
        <w:jc w:val="both"/>
        <w:ind w:left="120"/>
        <w:spacing w:after="0" w:line="232" w:lineRule="auto"/>
        <w:rPr>
          <w:sz w:val="20"/>
          <w:szCs w:val="20"/>
          <w:color w:val="auto"/>
        </w:rPr>
      </w:pPr>
      <w:r>
        <w:rPr>
          <w:rFonts w:ascii="Arial" w:cs="Arial" w:eastAsia="Arial" w:hAnsi="Arial"/>
          <w:sz w:val="17"/>
          <w:szCs w:val="17"/>
          <w:color w:val="auto"/>
        </w:rPr>
        <w:t>Perquisites are limited in both type and monetary value. The Compensation Committee believes, however, that certain perquisites facilitate the efficient operation of our business, allowing our NEOs to better focus their time, attention, and capabilities on our Company, permit them to be accessible to the business as required, alleviate safety and security concerns, and assist us in recruiting and retaining key executives. The perquisites provided to our NEOs generally include an allowance for personal financial planning services, including tax preparation services (not to exceed $15,000 annually in aggregate), annual physical examinations, Company-paid moving and relocation expenses paid on behalf of newly hired and current executives who agree to relocate to work on the Company’s behalf and, in limited instances, personal expenses when on business travel such as guests accompanying NEOs. Certain of our NEOs also have access to a Company car and driver and, subject to the approval of our CEO, the Company aircraft for personal use. Our CEO is encouraged to use our Company aircraft for all of his travel (business and personal) because the Compensation Committee believes that the value to us of making the aircraft available to our CEO, in terms of safety, security, accessibility, and efficiency, is greater than the incremental cost that we incur. No tax gross-up reimbursements are provided to NEOs, except in connection with reimbursement of moving and relocation expenses consistent with our other staff members and our general relocation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1220"/>
        <w:spacing w:after="0"/>
        <w:rPr>
          <w:sz w:val="20"/>
          <w:szCs w:val="20"/>
          <w:color w:val="auto"/>
        </w:rPr>
      </w:pPr>
      <w:r>
        <w:rPr>
          <w:rFonts w:ascii="Arial" w:cs="Arial" w:eastAsia="Arial" w:hAnsi="Arial"/>
          <w:sz w:val="21"/>
          <w:szCs w:val="21"/>
          <w:b w:val="1"/>
          <w:bCs w:val="1"/>
          <w:color w:val="FFFFFF"/>
          <w:shd w:val="clear" w:color="auto" w:fill="0171B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-715010</wp:posOffset>
            </wp:positionV>
            <wp:extent cx="7174865" cy="552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We believe that providing tax gross-up reimbursements on the applicable moving and relocation expenses paid on behalf of newly hired and current executives who agree to relocate on the Company’s behalf is appropriate because it treats these executives in a similar manner as non-executives under our Company-wide policy which is designed to incentivize optimal deployment of our human resources in support of the Company’s strategy. It also assists in the attraction and retention of the executive talent necessary to compete successfully.</w:t>
      </w:r>
    </w:p>
    <w:p>
      <w:pPr>
        <w:spacing w:after="0" w:line="95"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provide limited home sale loss assistance for Senior Vice Presidents and above in connection with relocations that benefit us and are at our request, and in certain new hire situations. We do not provide tax gross-ups for assistance with loss on sale of a home. Our limited home sale loss assistance serves as an important tool in inducing senior management to fully commit to their new role and relocation.</w:t>
      </w:r>
    </w:p>
    <w:p>
      <w:pPr>
        <w:spacing w:after="0" w:line="258"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Our Company-wide policy includes a repayment provision applicable to all staff members (including our NEOs) that requires a new staff member hired from outside the Company or staff members who accept an assignment and relocate, to repay us for moving and relocation expenses and home loss assistance incurred by us in the event that the staff member does not complete the move, resigns, or is discharged for cause within two years of the employment start date or relocation date, as applicable (with a pro-rata repayment in the second year).</w:t>
      </w:r>
    </w:p>
    <w:p>
      <w:pPr>
        <w:spacing w:after="0" w:line="200" w:lineRule="exact"/>
        <w:rPr>
          <w:sz w:val="20"/>
          <w:szCs w:val="20"/>
          <w:color w:val="auto"/>
        </w:rPr>
      </w:pPr>
    </w:p>
    <w:p>
      <w:pPr>
        <w:sectPr>
          <w:pgSz w:w="11900" w:h="16838" w:orient="portrait"/>
          <w:cols w:equalWidth="0" w:num="2">
            <w:col w:w="5400" w:space="340"/>
            <w:col w:w="5400"/>
          </w:cols>
          <w:pgMar w:left="320" w:top="486" w:right="439" w:bottom="1440" w:gutter="0" w:footer="0" w:header="0"/>
        </w:sectPr>
      </w:pPr>
    </w:p>
    <w:p>
      <w:pPr>
        <w:spacing w:after="0" w:line="30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p>
      <w:pPr>
        <w:spacing w:after="0" w:line="1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Recoupment</w:t>
      </w:r>
    </w:p>
    <w:p>
      <w:pPr>
        <w:spacing w:after="0" w:line="174"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i w:val="1"/>
          <w:iCs w:val="1"/>
          <w:color w:val="0171B9"/>
        </w:rPr>
        <w:t xml:space="preserve">Clawback Policy. </w:t>
      </w:r>
      <w:r>
        <w:rPr>
          <w:rFonts w:ascii="Arial" w:cs="Arial" w:eastAsia="Arial" w:hAnsi="Arial"/>
          <w:sz w:val="17"/>
          <w:szCs w:val="17"/>
          <w:color w:val="000000"/>
        </w:rPr>
        <w:t>We have a clawback policy that requires our Board</w:t>
      </w:r>
      <w:r>
        <w:rPr>
          <w:rFonts w:ascii="Arial" w:cs="Arial" w:eastAsia="Arial" w:hAnsi="Arial"/>
          <w:sz w:val="17"/>
          <w:szCs w:val="17"/>
          <w:i w:val="1"/>
          <w:iCs w:val="1"/>
          <w:color w:val="0171B9"/>
        </w:rPr>
        <w:t xml:space="preserve"> </w:t>
      </w:r>
      <w:r>
        <w:rPr>
          <w:rFonts w:ascii="Arial" w:cs="Arial" w:eastAsia="Arial" w:hAnsi="Arial"/>
          <w:sz w:val="17"/>
          <w:szCs w:val="17"/>
          <w:color w:val="000000"/>
        </w:rPr>
        <w:t>to consider recapturing past cash or equity compensation payouts awarded to our executive officers, including our NEOs, if it is subsequently determined that the amounts of such compensation were based on financial results that are later restated and the executive officer’s misconduct caused or partially caused such restatement. We will comply with the NASDAQ Stock Market listing standards related to the Securities and Exchange Commission’s rules regarding clawbacks of erroneously awarded incentive-based compensation when adopted.</w:t>
      </w:r>
    </w:p>
    <w:p>
      <w:pPr>
        <w:spacing w:after="0" w:line="76"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i w:val="1"/>
          <w:iCs w:val="1"/>
          <w:color w:val="0171B9"/>
        </w:rPr>
        <w:t xml:space="preserve">Equity Recoupment Policy. </w:t>
      </w:r>
      <w:r>
        <w:rPr>
          <w:rFonts w:ascii="Arial" w:cs="Arial" w:eastAsia="Arial" w:hAnsi="Arial"/>
          <w:sz w:val="17"/>
          <w:szCs w:val="17"/>
          <w:color w:val="000000"/>
        </w:rPr>
        <w:t>In the course of our engagement</w:t>
      </w:r>
      <w:r>
        <w:rPr>
          <w:rFonts w:ascii="Arial" w:cs="Arial" w:eastAsia="Arial" w:hAnsi="Arial"/>
          <w:sz w:val="17"/>
          <w:szCs w:val="17"/>
          <w:i w:val="1"/>
          <w:iCs w:val="1"/>
          <w:color w:val="0171B9"/>
        </w:rPr>
        <w:t xml:space="preserve"> </w:t>
      </w:r>
      <w:r>
        <w:rPr>
          <w:rFonts w:ascii="Arial" w:cs="Arial" w:eastAsia="Arial" w:hAnsi="Arial"/>
          <w:sz w:val="17"/>
          <w:szCs w:val="17"/>
          <w:color w:val="000000"/>
        </w:rPr>
        <w:t>activities, we explored with certain stockholders additional recoupment mechanisms. In December 2020, after discussions of recoupment mechanisms, the Compensation Committee adopted an executive officer equity recoupment policy that provides the Compensation Committee with the ability to cause the forfeiture and cancellation of unvested equity awards and any unexercised portion of stock options (granted after December 31, 2020) in the event an executive officer is terminated for engaging in misconduct that caused serious financial or reputational damage to the Company (including, but not limited to, a financial restatement). If an executive officer is subject to an investigation potentially implicating conduct that could result, or may have resulted, in serious financial or reputational damage to the Company, the Company may freeze access to any unvested equity awards regardless of grant date and any vested but unexercised stock options granted after December 31, 2020, during the investigation, and such unvested equity awards and unexercised stock options may ultimately be subject to forfeiture and cancellation.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i w:val="1"/>
          <w:iCs w:val="1"/>
          <w:color w:val="0171B9"/>
        </w:rPr>
        <w:t xml:space="preserve">Cash Incentive Award Recoupment. </w:t>
      </w:r>
      <w:r>
        <w:rPr>
          <w:rFonts w:ascii="Arial" w:cs="Arial" w:eastAsia="Arial" w:hAnsi="Arial"/>
          <w:sz w:val="17"/>
          <w:szCs w:val="17"/>
          <w:color w:val="000000"/>
        </w:rPr>
        <w:t>Our cash incentive award</w:t>
      </w:r>
      <w:r>
        <w:rPr>
          <w:rFonts w:ascii="Arial" w:cs="Arial" w:eastAsia="Arial" w:hAnsi="Arial"/>
          <w:sz w:val="17"/>
          <w:szCs w:val="17"/>
          <w:i w:val="1"/>
          <w:iCs w:val="1"/>
          <w:color w:val="0171B9"/>
        </w:rPr>
        <w:t xml:space="preserve"> </w:t>
      </w:r>
      <w:r>
        <w:rPr>
          <w:rFonts w:ascii="Arial" w:cs="Arial" w:eastAsia="Arial" w:hAnsi="Arial"/>
          <w:sz w:val="17"/>
          <w:szCs w:val="17"/>
          <w:color w:val="000000"/>
        </w:rPr>
        <w:t>programs (EIP, GMIP, and GPIP) expressly allow the Compensation Committee, or management, as appropriate, to consider employee misconduct that caused serious financial or reputational damage to the Company when determining whether an employee has earned an annual cash incentive award or the amount of any such award.</w:t>
      </w:r>
    </w:p>
    <w:p>
      <w:pPr>
        <w:spacing w:after="0" w:line="97"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These provisions and policies do not limit any other action that the Company could take against an employee, including other disciplinary actions (including termination), ordinary course performance considerations, disclosure of wrongdoing to the government, and pursuit of any other legal claims against such employees.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Ownership and Retention Guidelines</w:t>
      </w:r>
    </w:p>
    <w:p>
      <w:pPr>
        <w:spacing w:after="0" w:line="12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Our stock ownership guidelines require our executives to hold a meaningful amount of our Common Stock, promote a long-term perspective in managing the Company, further aligning the interests of our executives and stockholders and mitigating potential compensation-related risk. Our guidelines require that each officer who has not met their ownership requirements must retain shares of our Common Stock acquired through the vesting of RSUs, the payout of performance units, and the exercise of stock options awarded (net of shares retained by us to satisfy associated tax withholding requirements and exercise price amounts) until such officer has reached his or her required stock ownership level.</w:t>
      </w:r>
    </w:p>
    <w:p>
      <w:pPr>
        <w:spacing w:after="0" w:line="769"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62"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70</w:t>
      </w:r>
      <w:r>
        <w:rPr>
          <w:sz w:val="20"/>
          <w:szCs w:val="20"/>
          <w:color w:val="auto"/>
        </w:rPr>
        <w:tab/>
      </w:r>
      <w:r>
        <w:rPr>
          <w:sz w:val="1"/>
          <w:szCs w:val="1"/>
          <w:color w:val="auto"/>
        </w:rPr>
        <w:drawing>
          <wp:inline distT="0" distB="0" distL="0" distR="0">
            <wp:extent cx="582930" cy="137160"/>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6960"/>
        <w:spacing w:after="0"/>
        <w:rPr>
          <w:sz w:val="20"/>
          <w:szCs w:val="20"/>
          <w:color w:val="auto"/>
        </w:rPr>
      </w:pPr>
      <w:r>
        <w:rPr>
          <w:rFonts w:ascii="Arial" w:cs="Arial" w:eastAsia="Arial" w:hAnsi="Arial"/>
          <w:sz w:val="21"/>
          <w:szCs w:val="21"/>
          <w:b w:val="1"/>
          <w:bCs w:val="1"/>
          <w:color w:val="FFFFFF"/>
          <w:shd w:val="clear" w:color="auto" w:fill="0171B9"/>
        </w:rPr>
        <w:t>Compensation Discussion and Analysis</w:t>
      </w:r>
    </w:p>
    <w:p>
      <w:pPr>
        <w:spacing w:after="0" w:line="35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171B9"/>
        </w:rPr>
        <w:t>Stock Ownership Guidelines Requirements</w:t>
      </w:r>
    </w:p>
    <w:p>
      <w:pPr>
        <w:spacing w:after="0" w:line="115"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The stock ownership guidelines for 2022 are set forth in the table below. All executives currently employed by the Company and subject to stock ownership requirements were in compliance with their respective stock ownership requirement in 2022.</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4300" w:type="dxa"/>
            <w:vAlign w:val="bottom"/>
            <w:shd w:val="clear" w:color="auto" w:fill="0171B9"/>
          </w:tcPr>
          <w:p>
            <w:pPr>
              <w:ind w:left="60"/>
              <w:spacing w:after="0"/>
              <w:rPr>
                <w:sz w:val="20"/>
                <w:szCs w:val="20"/>
                <w:color w:val="auto"/>
              </w:rPr>
            </w:pPr>
            <w:r>
              <w:rPr>
                <w:rFonts w:ascii="Arial" w:cs="Arial" w:eastAsia="Arial" w:hAnsi="Arial"/>
                <w:sz w:val="16"/>
                <w:szCs w:val="16"/>
                <w:b w:val="1"/>
                <w:bCs w:val="1"/>
                <w:color w:val="FFFFFF"/>
              </w:rPr>
              <w:t>Position</w:t>
            </w:r>
          </w:p>
        </w:tc>
        <w:tc>
          <w:tcPr>
            <w:tcW w:w="5260" w:type="dxa"/>
            <w:vAlign w:val="bottom"/>
            <w:shd w:val="clear" w:color="auto" w:fill="0171B9"/>
          </w:tcPr>
          <w:p>
            <w:pPr>
              <w:ind w:left="2440"/>
              <w:spacing w:after="0"/>
              <w:rPr>
                <w:sz w:val="20"/>
                <w:szCs w:val="20"/>
                <w:color w:val="auto"/>
              </w:rPr>
            </w:pPr>
            <w:r>
              <w:rPr>
                <w:rFonts w:ascii="Arial" w:cs="Arial" w:eastAsia="Arial" w:hAnsi="Arial"/>
                <w:sz w:val="16"/>
                <w:szCs w:val="16"/>
                <w:b w:val="1"/>
                <w:bCs w:val="1"/>
                <w:color w:val="FFFFFF"/>
              </w:rPr>
              <w:t>Stock Ownership Requirement</w:t>
            </w:r>
          </w:p>
        </w:tc>
        <w:tc>
          <w:tcPr>
            <w:tcW w:w="1460" w:type="dxa"/>
            <w:vAlign w:val="bottom"/>
            <w:shd w:val="clear" w:color="auto" w:fill="0171B9"/>
          </w:tcPr>
          <w:p>
            <w:pPr>
              <w:jc w:val="right"/>
              <w:ind w:right="19"/>
              <w:spacing w:after="0"/>
              <w:rPr>
                <w:sz w:val="20"/>
                <w:szCs w:val="20"/>
                <w:color w:val="auto"/>
              </w:rPr>
            </w:pPr>
            <w:r>
              <w:rPr>
                <w:rFonts w:ascii="Arial" w:cs="Arial" w:eastAsia="Arial" w:hAnsi="Arial"/>
                <w:sz w:val="16"/>
                <w:szCs w:val="16"/>
                <w:b w:val="1"/>
                <w:bCs w:val="1"/>
                <w:color w:val="FFFFFF"/>
              </w:rPr>
              <w:t>Compliance</w:t>
            </w:r>
          </w:p>
        </w:tc>
      </w:tr>
      <w:tr>
        <w:trPr>
          <w:trHeight w:val="270"/>
        </w:trPr>
        <w:tc>
          <w:tcPr>
            <w:tcW w:w="4300" w:type="dxa"/>
            <w:vAlign w:val="bottom"/>
            <w:shd w:val="clear" w:color="auto" w:fill="CCE2F1"/>
          </w:tcPr>
          <w:p>
            <w:pPr>
              <w:ind w:left="60"/>
              <w:spacing w:after="0" w:line="270" w:lineRule="exact"/>
              <w:rPr>
                <w:sz w:val="20"/>
                <w:szCs w:val="20"/>
                <w:color w:val="auto"/>
              </w:rPr>
            </w:pPr>
            <w:r>
              <w:rPr>
                <w:rFonts w:ascii="Arial" w:cs="Arial" w:eastAsia="Arial" w:hAnsi="Arial"/>
                <w:sz w:val="16"/>
                <w:szCs w:val="16"/>
                <w:color w:val="auto"/>
              </w:rPr>
              <w:t>Chief Executive Officer</w:t>
            </w:r>
            <w:r>
              <w:rPr>
                <w:rFonts w:ascii="Arial" w:cs="Arial" w:eastAsia="Arial" w:hAnsi="Arial"/>
                <w:sz w:val="24"/>
                <w:szCs w:val="24"/>
                <w:color w:val="auto"/>
                <w:vertAlign w:val="superscript"/>
              </w:rPr>
              <w:t>(1)</w:t>
            </w:r>
          </w:p>
        </w:tc>
        <w:tc>
          <w:tcPr>
            <w:tcW w:w="5260" w:type="dxa"/>
            <w:vAlign w:val="bottom"/>
            <w:shd w:val="clear" w:color="auto" w:fill="CCE2F1"/>
          </w:tcPr>
          <w:p>
            <w:pPr>
              <w:ind w:left="3780"/>
              <w:spacing w:after="0"/>
              <w:rPr>
                <w:sz w:val="20"/>
                <w:szCs w:val="20"/>
                <w:color w:val="auto"/>
              </w:rPr>
            </w:pPr>
            <w:r>
              <w:rPr>
                <w:rFonts w:ascii="Arial" w:cs="Arial" w:eastAsia="Arial" w:hAnsi="Arial"/>
                <w:sz w:val="16"/>
                <w:szCs w:val="16"/>
                <w:color w:val="auto"/>
              </w:rPr>
              <w:t>6x base salary</w:t>
            </w:r>
          </w:p>
        </w:tc>
        <w:tc>
          <w:tcPr>
            <w:tcW w:w="1460" w:type="dxa"/>
            <w:vAlign w:val="bottom"/>
            <w:shd w:val="clear" w:color="auto" w:fill="CCE2F1"/>
          </w:tcPr>
          <w:p>
            <w:pPr>
              <w:jc w:val="right"/>
              <w:ind w:right="19"/>
              <w:spacing w:after="0" w:line="161" w:lineRule="exact"/>
              <w:rPr>
                <w:sz w:val="20"/>
                <w:szCs w:val="20"/>
                <w:color w:val="auto"/>
              </w:rPr>
            </w:pPr>
            <w:r>
              <w:rPr>
                <w:rFonts w:ascii="MS PGothic" w:cs="MS PGothic" w:eastAsia="MS PGothic" w:hAnsi="MS PGothic"/>
                <w:sz w:val="16"/>
                <w:szCs w:val="16"/>
                <w:color w:val="auto"/>
              </w:rPr>
              <w:t>✓</w:t>
            </w:r>
          </w:p>
        </w:tc>
      </w:tr>
      <w:tr>
        <w:trPr>
          <w:trHeight w:val="255"/>
        </w:trPr>
        <w:tc>
          <w:tcPr>
            <w:tcW w:w="4300" w:type="dxa"/>
            <w:vAlign w:val="bottom"/>
          </w:tcPr>
          <w:p>
            <w:pPr>
              <w:ind w:left="60"/>
              <w:spacing w:after="0"/>
              <w:rPr>
                <w:sz w:val="20"/>
                <w:szCs w:val="20"/>
                <w:color w:val="auto"/>
              </w:rPr>
            </w:pPr>
            <w:r>
              <w:rPr>
                <w:rFonts w:ascii="Arial" w:cs="Arial" w:eastAsia="Arial" w:hAnsi="Arial"/>
                <w:sz w:val="16"/>
                <w:szCs w:val="16"/>
                <w:color w:val="auto"/>
              </w:rPr>
              <w:t>Executive Vice President</w:t>
            </w:r>
          </w:p>
        </w:tc>
        <w:tc>
          <w:tcPr>
            <w:tcW w:w="5260" w:type="dxa"/>
            <w:vAlign w:val="bottom"/>
          </w:tcPr>
          <w:p>
            <w:pPr>
              <w:ind w:left="3780"/>
              <w:spacing w:after="0"/>
              <w:rPr>
                <w:sz w:val="20"/>
                <w:szCs w:val="20"/>
                <w:color w:val="auto"/>
              </w:rPr>
            </w:pPr>
            <w:r>
              <w:rPr>
                <w:rFonts w:ascii="Arial" w:cs="Arial" w:eastAsia="Arial" w:hAnsi="Arial"/>
                <w:sz w:val="16"/>
                <w:szCs w:val="16"/>
                <w:color w:val="auto"/>
              </w:rPr>
              <w:t>3x base salary</w:t>
            </w:r>
          </w:p>
        </w:tc>
        <w:tc>
          <w:tcPr>
            <w:tcW w:w="1460" w:type="dxa"/>
            <w:vAlign w:val="bottom"/>
          </w:tcPr>
          <w:p>
            <w:pPr>
              <w:jc w:val="right"/>
              <w:ind w:right="19"/>
              <w:spacing w:after="0" w:line="161" w:lineRule="exact"/>
              <w:rPr>
                <w:sz w:val="20"/>
                <w:szCs w:val="20"/>
                <w:color w:val="auto"/>
              </w:rPr>
            </w:pPr>
            <w:r>
              <w:rPr>
                <w:rFonts w:ascii="MS PGothic" w:cs="MS PGothic" w:eastAsia="MS PGothic" w:hAnsi="MS PGothic"/>
                <w:sz w:val="16"/>
                <w:szCs w:val="16"/>
                <w:color w:val="auto"/>
              </w:rPr>
              <w:t>✓</w:t>
            </w:r>
          </w:p>
        </w:tc>
      </w:tr>
      <w:tr>
        <w:trPr>
          <w:trHeight w:val="258"/>
        </w:trPr>
        <w:tc>
          <w:tcPr>
            <w:tcW w:w="4300" w:type="dxa"/>
            <w:vAlign w:val="bottom"/>
            <w:shd w:val="clear" w:color="auto" w:fill="CCE2F1"/>
          </w:tcPr>
          <w:p>
            <w:pPr>
              <w:ind w:left="60"/>
              <w:spacing w:after="0"/>
              <w:rPr>
                <w:sz w:val="20"/>
                <w:szCs w:val="20"/>
                <w:color w:val="auto"/>
              </w:rPr>
            </w:pPr>
            <w:r>
              <w:rPr>
                <w:rFonts w:ascii="Arial" w:cs="Arial" w:eastAsia="Arial" w:hAnsi="Arial"/>
                <w:sz w:val="16"/>
                <w:szCs w:val="16"/>
                <w:color w:val="auto"/>
              </w:rPr>
              <w:t>Senior Vice President</w:t>
            </w:r>
          </w:p>
        </w:tc>
        <w:tc>
          <w:tcPr>
            <w:tcW w:w="5260" w:type="dxa"/>
            <w:vAlign w:val="bottom"/>
            <w:shd w:val="clear" w:color="auto" w:fill="CCE2F1"/>
          </w:tcPr>
          <w:p>
            <w:pPr>
              <w:ind w:left="3780"/>
              <w:spacing w:after="0"/>
              <w:rPr>
                <w:sz w:val="20"/>
                <w:szCs w:val="20"/>
                <w:color w:val="auto"/>
              </w:rPr>
            </w:pPr>
            <w:r>
              <w:rPr>
                <w:rFonts w:ascii="Arial" w:cs="Arial" w:eastAsia="Arial" w:hAnsi="Arial"/>
                <w:sz w:val="16"/>
                <w:szCs w:val="16"/>
                <w:color w:val="auto"/>
              </w:rPr>
              <w:t>2x base salary</w:t>
            </w:r>
          </w:p>
        </w:tc>
        <w:tc>
          <w:tcPr>
            <w:tcW w:w="1460" w:type="dxa"/>
            <w:vAlign w:val="bottom"/>
            <w:shd w:val="clear" w:color="auto" w:fill="CCE2F1"/>
          </w:tcPr>
          <w:p>
            <w:pPr>
              <w:jc w:val="right"/>
              <w:ind w:right="19"/>
              <w:spacing w:after="0" w:line="161" w:lineRule="exact"/>
              <w:rPr>
                <w:sz w:val="20"/>
                <w:szCs w:val="20"/>
                <w:color w:val="auto"/>
              </w:rPr>
            </w:pPr>
            <w:r>
              <w:rPr>
                <w:rFonts w:ascii="MS PGothic" w:cs="MS PGothic" w:eastAsia="MS PGothic" w:hAnsi="MS PGothic"/>
                <w:sz w:val="16"/>
                <w:szCs w:val="16"/>
                <w:color w:val="auto"/>
              </w:rPr>
              <w:t>✓</w:t>
            </w:r>
          </w:p>
        </w:tc>
      </w:tr>
      <w:tr>
        <w:trPr>
          <w:trHeight w:val="255"/>
        </w:trPr>
        <w:tc>
          <w:tcPr>
            <w:tcW w:w="4300" w:type="dxa"/>
            <w:vAlign w:val="bottom"/>
            <w:tcBorders>
              <w:bottom w:val="single" w:sz="8" w:color="0171B9"/>
            </w:tcBorders>
          </w:tcPr>
          <w:p>
            <w:pPr>
              <w:ind w:left="60"/>
              <w:spacing w:after="0"/>
              <w:rPr>
                <w:sz w:val="20"/>
                <w:szCs w:val="20"/>
                <w:color w:val="auto"/>
              </w:rPr>
            </w:pPr>
            <w:r>
              <w:rPr>
                <w:rFonts w:ascii="Arial" w:cs="Arial" w:eastAsia="Arial" w:hAnsi="Arial"/>
                <w:sz w:val="16"/>
                <w:szCs w:val="16"/>
                <w:color w:val="auto"/>
              </w:rPr>
              <w:t>Vice President</w:t>
            </w:r>
          </w:p>
        </w:tc>
        <w:tc>
          <w:tcPr>
            <w:tcW w:w="5260" w:type="dxa"/>
            <w:vAlign w:val="bottom"/>
            <w:tcBorders>
              <w:bottom w:val="single" w:sz="8" w:color="0171B9"/>
            </w:tcBorders>
          </w:tcPr>
          <w:p>
            <w:pPr>
              <w:ind w:left="3780"/>
              <w:spacing w:after="0"/>
              <w:rPr>
                <w:sz w:val="20"/>
                <w:szCs w:val="20"/>
                <w:color w:val="auto"/>
              </w:rPr>
            </w:pPr>
            <w:r>
              <w:rPr>
                <w:rFonts w:ascii="Arial" w:cs="Arial" w:eastAsia="Arial" w:hAnsi="Arial"/>
                <w:sz w:val="16"/>
                <w:szCs w:val="16"/>
                <w:color w:val="auto"/>
              </w:rPr>
              <w:t>1x base salary</w:t>
            </w:r>
          </w:p>
        </w:tc>
        <w:tc>
          <w:tcPr>
            <w:tcW w:w="1460" w:type="dxa"/>
            <w:vAlign w:val="bottom"/>
            <w:tcBorders>
              <w:bottom w:val="single" w:sz="8" w:color="0171B9"/>
            </w:tcBorders>
          </w:tcPr>
          <w:p>
            <w:pPr>
              <w:jc w:val="right"/>
              <w:ind w:right="19"/>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-668020</wp:posOffset>
            </wp:positionV>
            <wp:extent cx="69951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 w:lineRule="exact"/>
        <w:rPr>
          <w:sz w:val="20"/>
          <w:szCs w:val="20"/>
          <w:color w:val="auto"/>
        </w:rPr>
      </w:pPr>
    </w:p>
    <w:p>
      <w:pPr>
        <w:ind w:left="540" w:hanging="424"/>
        <w:spacing w:after="0"/>
        <w:tabs>
          <w:tab w:leader="none" w:pos="540" w:val="left"/>
        </w:tabs>
        <w:numPr>
          <w:ilvl w:val="0"/>
          <w:numId w:val="100"/>
        </w:numPr>
        <w:rPr>
          <w:rFonts w:ascii="Arial" w:cs="Arial" w:eastAsia="Arial" w:hAnsi="Arial"/>
          <w:sz w:val="22"/>
          <w:szCs w:val="22"/>
          <w:color w:val="auto"/>
          <w:vertAlign w:val="superscript"/>
        </w:rPr>
      </w:pPr>
      <w:r>
        <w:rPr>
          <w:rFonts w:ascii="Arial" w:cs="Arial" w:eastAsia="Arial" w:hAnsi="Arial"/>
          <w:sz w:val="14"/>
          <w:szCs w:val="14"/>
          <w:color w:val="auto"/>
        </w:rPr>
        <w:t>Mr. Bradway holds more than 87 times his base salary, or more than 14 times his stock ownership requirement as of December 31, 2022.</w:t>
      </w:r>
    </w:p>
    <w:p>
      <w:pPr>
        <w:sectPr>
          <w:pgSz w:w="11900" w:h="16838" w:orient="portrait"/>
          <w:cols w:equalWidth="0" w:num="1">
            <w:col w:w="11140"/>
          </w:cols>
          <w:pgMar w:left="320" w:top="486" w:right="439" w:bottom="1440" w:gutter="0" w:footer="0" w:header="0"/>
        </w:sectPr>
      </w:pPr>
    </w:p>
    <w:p>
      <w:pPr>
        <w:spacing w:after="0" w:line="154"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The following holdings count towards satisfying these stock ownership requirements:</w:t>
      </w:r>
    </w:p>
    <w:p>
      <w:pPr>
        <w:spacing w:after="0" w:line="104" w:lineRule="exact"/>
        <w:rPr>
          <w:sz w:val="20"/>
          <w:szCs w:val="20"/>
          <w:color w:val="auto"/>
        </w:rPr>
      </w:pPr>
    </w:p>
    <w:p>
      <w:pPr>
        <w:ind w:left="380" w:hanging="264"/>
        <w:spacing w:after="0" w:line="243" w:lineRule="auto"/>
        <w:tabs>
          <w:tab w:leader="none" w:pos="380" w:val="left"/>
        </w:tabs>
        <w:numPr>
          <w:ilvl w:val="0"/>
          <w:numId w:val="101"/>
        </w:numPr>
        <w:rPr>
          <w:rFonts w:ascii="Arial" w:cs="Arial" w:eastAsia="Arial" w:hAnsi="Arial"/>
          <w:sz w:val="17"/>
          <w:szCs w:val="17"/>
          <w:color w:val="0171B9"/>
        </w:rPr>
      </w:pPr>
      <w:r>
        <w:rPr>
          <w:rFonts w:ascii="Arial" w:cs="Arial" w:eastAsia="Arial" w:hAnsi="Arial"/>
          <w:sz w:val="17"/>
          <w:szCs w:val="17"/>
          <w:color w:val="auto"/>
        </w:rPr>
        <w:t>Shares of our Common Stock beneficially held that are not subject to forfeiture restrictions;</w:t>
      </w:r>
    </w:p>
    <w:p>
      <w:pPr>
        <w:spacing w:after="0" w:line="103" w:lineRule="exact"/>
        <w:rPr>
          <w:rFonts w:ascii="Arial" w:cs="Arial" w:eastAsia="Arial" w:hAnsi="Arial"/>
          <w:sz w:val="17"/>
          <w:szCs w:val="17"/>
          <w:color w:val="0171B9"/>
        </w:rPr>
      </w:pPr>
    </w:p>
    <w:p>
      <w:pPr>
        <w:ind w:left="380" w:right="20" w:hanging="264"/>
        <w:spacing w:after="0" w:line="243" w:lineRule="auto"/>
        <w:tabs>
          <w:tab w:leader="none" w:pos="380" w:val="left"/>
        </w:tabs>
        <w:numPr>
          <w:ilvl w:val="0"/>
          <w:numId w:val="101"/>
        </w:numPr>
        <w:rPr>
          <w:rFonts w:ascii="Arial" w:cs="Arial" w:eastAsia="Arial" w:hAnsi="Arial"/>
          <w:sz w:val="17"/>
          <w:szCs w:val="17"/>
          <w:color w:val="0171B9"/>
        </w:rPr>
      </w:pPr>
      <w:r>
        <w:rPr>
          <w:rFonts w:ascii="Arial" w:cs="Arial" w:eastAsia="Arial" w:hAnsi="Arial"/>
          <w:sz w:val="17"/>
          <w:szCs w:val="17"/>
          <w:color w:val="auto"/>
        </w:rPr>
        <w:t>Shares of our Common Stock held through a 401(k) plan or other qualified pension or profit-sharing plan; and</w:t>
      </w:r>
    </w:p>
    <w:p>
      <w:pPr>
        <w:spacing w:after="0" w:line="103" w:lineRule="exact"/>
        <w:rPr>
          <w:rFonts w:ascii="Arial" w:cs="Arial" w:eastAsia="Arial" w:hAnsi="Arial"/>
          <w:sz w:val="17"/>
          <w:szCs w:val="17"/>
          <w:color w:val="0171B9"/>
        </w:rPr>
      </w:pPr>
    </w:p>
    <w:p>
      <w:pPr>
        <w:ind w:left="380" w:right="20" w:hanging="264"/>
        <w:spacing w:after="0" w:line="243" w:lineRule="auto"/>
        <w:tabs>
          <w:tab w:leader="none" w:pos="380" w:val="left"/>
        </w:tabs>
        <w:numPr>
          <w:ilvl w:val="0"/>
          <w:numId w:val="101"/>
        </w:numPr>
        <w:rPr>
          <w:rFonts w:ascii="Arial" w:cs="Arial" w:eastAsia="Arial" w:hAnsi="Arial"/>
          <w:sz w:val="17"/>
          <w:szCs w:val="17"/>
          <w:color w:val="0171B9"/>
        </w:rPr>
      </w:pPr>
      <w:r>
        <w:rPr>
          <w:rFonts w:ascii="Arial" w:cs="Arial" w:eastAsia="Arial" w:hAnsi="Arial"/>
          <w:sz w:val="17"/>
          <w:szCs w:val="17"/>
          <w:color w:val="auto"/>
        </w:rPr>
        <w:t>Shares purchasable with funds then allocated under our Employee Stock Purchase Plan.</w:t>
      </w:r>
    </w:p>
    <w:p>
      <w:pPr>
        <w:spacing w:after="0" w:line="90"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Executives are generally given until December 31 of the fifth year following their placement into a given job level to comply with these guidelines. Executives who are promoted to a status with a stock ownership level higher than the executive was previously required to satisfy, have until December 31 of the third year to comply with the new ownership level if the executive has been subject to the stock ownership guidelines for five or more years. Once these ownership guidelines are met, executives are required to maintain such ownership until they change job levels or are no longer employed by us. As of October 14, 2022, the effective date of our executive certifications, all NEOs who were expected to meet such guidelines, were in compliance. Mr. Gordon commenced employment with our Company on September 3, 2018 and has until December 31, 2023 to meet his guidelines. Mr. Griffith commenced employment with our Company on October 23, 2019 and has until December 31, 2024 to meet his guidelines.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Insider Trading Policy and Practices</w:t>
      </w:r>
    </w:p>
    <w:p>
      <w:pPr>
        <w:spacing w:after="0" w:line="124" w:lineRule="exact"/>
        <w:rPr>
          <w:sz w:val="20"/>
          <w:szCs w:val="20"/>
          <w:color w:val="auto"/>
        </w:rPr>
      </w:pPr>
    </w:p>
    <w:p>
      <w:pPr>
        <w:jc w:val="both"/>
        <w:ind w:left="120"/>
        <w:spacing w:after="0" w:line="232" w:lineRule="auto"/>
        <w:rPr>
          <w:sz w:val="20"/>
          <w:szCs w:val="20"/>
          <w:color w:val="auto"/>
        </w:rPr>
      </w:pPr>
      <w:r>
        <w:rPr>
          <w:rFonts w:ascii="Arial" w:cs="Arial" w:eastAsia="Arial" w:hAnsi="Arial"/>
          <w:sz w:val="17"/>
          <w:szCs w:val="17"/>
          <w:color w:val="auto"/>
        </w:rPr>
        <w:t>All staff members and our Board are prohibited from: (i) buying or selling our Common Stock while aware of any material nonpublic information; (ii) engaging in short sales with respect to our Common Stock; (iii) pledging or purchasing our Common Stock on margin</w:t>
      </w:r>
      <w:r>
        <w:rPr>
          <w:rFonts w:ascii="Arial" w:cs="Arial" w:eastAsia="Arial" w:hAnsi="Arial"/>
          <w:sz w:val="12"/>
          <w:szCs w:val="12"/>
          <w:color w:val="auto"/>
        </w:rPr>
        <w:t>(1)</w:t>
      </w:r>
      <w:r>
        <w:rPr>
          <w:rFonts w:ascii="Arial" w:cs="Arial" w:eastAsia="Arial" w:hAnsi="Arial"/>
          <w:sz w:val="17"/>
          <w:szCs w:val="17"/>
          <w:color w:val="auto"/>
        </w:rPr>
        <w:t>; or</w:t>
      </w:r>
    </w:p>
    <w:p>
      <w:pPr>
        <w:jc w:val="both"/>
        <w:ind w:left="120" w:hanging="4"/>
        <w:spacing w:after="0" w:line="233" w:lineRule="auto"/>
        <w:tabs>
          <w:tab w:leader="none" w:pos="42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entering into any derivative, hedging, or similar transactions with respect to our Common Stock, including any transactions that hedges or offsets, or is designed to hedge or offset, any decrease in the market value of Amgen stock. Examples of prohibited derivative transactions include, but are not limited to, purchases or sales of puts and calls (whether written or purchased or sold), options (whether “covered” or not), forward contracts, including but not limited to prepaid variable forward contracts; put and call “collars” (“European” or “American”), “equity” or “performance” swap or exchange agreements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187325</wp:posOffset>
            </wp:positionV>
            <wp:extent cx="77152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similar agreements or arrangements, however denominated, in our securities.</w:t>
      </w:r>
    </w:p>
    <w:p>
      <w:pPr>
        <w:spacing w:after="0" w:line="172" w:lineRule="exact"/>
        <w:rPr>
          <w:sz w:val="20"/>
          <w:szCs w:val="20"/>
          <w:color w:val="auto"/>
        </w:rPr>
      </w:pPr>
    </w:p>
    <w:p>
      <w:pPr>
        <w:ind w:right="340"/>
        <w:spacing w:after="0" w:line="261" w:lineRule="auto"/>
        <w:rPr>
          <w:sz w:val="20"/>
          <w:szCs w:val="20"/>
          <w:color w:val="auto"/>
        </w:rPr>
      </w:pPr>
      <w:r>
        <w:rPr>
          <w:rFonts w:ascii="Arial" w:cs="Arial" w:eastAsia="Arial" w:hAnsi="Arial"/>
          <w:sz w:val="22"/>
          <w:szCs w:val="22"/>
          <w:b w:val="1"/>
          <w:bCs w:val="1"/>
          <w:color w:val="auto"/>
        </w:rPr>
        <w:t>Policies for Grants of Long-Term Incentive Equity Awards</w:t>
      </w:r>
    </w:p>
    <w:p>
      <w:pPr>
        <w:spacing w:after="0" w:line="7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accordance with our equity awards policy, our regular annual LTI equity award grants are typically approved by the Compensation Committee (for grants of equity awards to Senior Management, including our NEOs) or the Equity Award Committee (for grants to all other staff members) in advance with a grant date that is the third business day after the release of our next quarterly or annual earnings announcement after the date of determination by our Compensation Committee or Equity Award Committee, as applicable. Our NEOs may also receive special equity awards as determined by the Compensation Committee as new hires or for recognition and retention, promotions, or other purposes, but the effective date of such grants is generally also only on the third business day after the release of our quarterly or annual earnings after the date of determination by our Compensation Committee.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Tally Sheets</w:t>
      </w:r>
    </w:p>
    <w:p>
      <w:pPr>
        <w:spacing w:after="0" w:line="12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Compensation Committee annually reviews tally sheets for each NEO, setting forth all components of compensation, including compensation payable at termination, retirement, or a change of control. These tally sheets summarize the number of shares and the value at a given price of the LTI equity awards held by each NEO, as well as each NEO’s individual cumulative account balances in our benefit plans. These tools are employed by the Compensation Committee as a useful check on total annual compensation and the cumulative impact of our long-term programs and are considered important to understand both the overall and longer-term impact of compensation decisions.</w:t>
      </w:r>
    </w:p>
    <w:p>
      <w:pPr>
        <w:spacing w:after="0" w:line="10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Compensation Committee may increase or decrease certain individual elements of compensation to align total compensation with peer group market data and to promote internal equity among our NEOs, other than our CEO, and use the information provided by these tally sheets to make such determination. No material adjustments to total compensation for any of our NEOs were made as a result of the review of these tally sheets by the Compensation Committee in 2022.</w:t>
      </w:r>
    </w:p>
    <w:p>
      <w:pPr>
        <w:spacing w:after="0" w:line="507"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127" w:lineRule="exact"/>
        <w:rPr>
          <w:sz w:val="20"/>
          <w:szCs w:val="20"/>
          <w:color w:val="auto"/>
        </w:rPr>
      </w:pPr>
    </w:p>
    <w:p>
      <w:pPr>
        <w:ind w:left="540" w:right="20" w:hanging="424"/>
        <w:spacing w:after="0" w:line="201" w:lineRule="auto"/>
        <w:tabs>
          <w:tab w:leader="none" w:pos="540" w:val="left"/>
        </w:tabs>
        <w:numPr>
          <w:ilvl w:val="0"/>
          <w:numId w:val="103"/>
        </w:numPr>
        <w:rPr>
          <w:rFonts w:ascii="Arial" w:cs="Arial" w:eastAsia="Arial" w:hAnsi="Arial"/>
          <w:sz w:val="22"/>
          <w:szCs w:val="22"/>
          <w:color w:val="auto"/>
          <w:vertAlign w:val="superscript"/>
        </w:rPr>
      </w:pPr>
      <w:r>
        <w:rPr>
          <w:rFonts w:ascii="Arial" w:cs="Arial" w:eastAsia="Arial" w:hAnsi="Arial"/>
          <w:sz w:val="14"/>
          <w:szCs w:val="14"/>
          <w:color w:val="auto"/>
        </w:rPr>
        <w:t>With the exception of the use of a margin account to purchase our common stock in connection with the exercise of Amgen-granted stock options (</w:t>
      </w:r>
      <w:r>
        <w:rPr>
          <w:rFonts w:ascii="Arial" w:cs="Arial" w:eastAsia="Arial" w:hAnsi="Arial"/>
          <w:sz w:val="14"/>
          <w:szCs w:val="14"/>
          <w:i w:val="1"/>
          <w:iCs w:val="1"/>
          <w:color w:val="auto"/>
        </w:rPr>
        <w:t>i.e.</w:t>
      </w:r>
      <w:r>
        <w:rPr>
          <w:rFonts w:ascii="Arial" w:cs="Arial" w:eastAsia="Arial" w:hAnsi="Arial"/>
          <w:sz w:val="14"/>
          <w:szCs w:val="14"/>
          <w:color w:val="auto"/>
        </w:rPr>
        <w:t>, “cashless exercises”).</w:t>
      </w:r>
    </w:p>
    <w:p>
      <w:pPr>
        <w:sectPr>
          <w:pgSz w:w="11900" w:h="16838" w:orient="portrait"/>
          <w:cols w:equalWidth="0" w:num="1">
            <w:col w:w="11140"/>
          </w:cols>
          <w:pgMar w:left="320" w:top="486" w:right="439" w:bottom="1440" w:gutter="0" w:footer="0" w:header="0"/>
          <w:type w:val="continuous"/>
        </w:sectPr>
      </w:pPr>
    </w:p>
    <w:p>
      <w:pPr>
        <w:spacing w:after="0" w:line="118" w:lineRule="exact"/>
        <w:rPr>
          <w:sz w:val="20"/>
          <w:szCs w:val="20"/>
          <w:color w:val="auto"/>
        </w:r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Compensation Discussion and Analysis</w:t>
      </w:r>
    </w:p>
    <w:p>
      <w:pPr>
        <w:sectPr>
          <w:pgSz w:w="11900" w:h="16838" w:orient="portrait"/>
          <w:cols w:equalWidth="0" w:num="1">
            <w:col w:w="11140"/>
          </w:cols>
          <w:pgMar w:left="320" w:top="486" w:right="439" w:bottom="1440" w:gutter="0" w:footer="0" w:header="0"/>
        </w:sectPr>
      </w:pPr>
    </w:p>
    <w:p>
      <w:pPr>
        <w:spacing w:after="0" w:line="395" w:lineRule="exact"/>
        <w:rPr>
          <w:sz w:val="20"/>
          <w:szCs w:val="20"/>
          <w:color w:val="auto"/>
        </w:rPr>
      </w:pPr>
    </w:p>
    <w:p>
      <w:pPr>
        <w:ind w:left="120" w:right="240"/>
        <w:spacing w:after="0" w:line="261" w:lineRule="auto"/>
        <w:rPr>
          <w:sz w:val="20"/>
          <w:szCs w:val="20"/>
          <w:color w:val="auto"/>
        </w:rPr>
      </w:pPr>
      <w:r>
        <w:rPr>
          <w:rFonts w:ascii="Arial" w:cs="Arial" w:eastAsia="Arial" w:hAnsi="Arial"/>
          <w:sz w:val="22"/>
          <w:szCs w:val="22"/>
          <w:b w:val="1"/>
          <w:bCs w:val="1"/>
          <w:color w:val="auto"/>
        </w:rPr>
        <w:t>Stockholder Outreach—Executive Compensation Website</w:t>
      </w:r>
    </w:p>
    <w:p>
      <w:pPr>
        <w:spacing w:after="0" w:line="70"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 xml:space="preserve">We maintain a website accessible throughout the year at </w:t>
      </w:r>
      <w:r>
        <w:rPr>
          <w:rFonts w:ascii="Arial" w:cs="Arial" w:eastAsia="Arial" w:hAnsi="Arial"/>
          <w:sz w:val="17"/>
          <w:szCs w:val="17"/>
          <w:i w:val="1"/>
          <w:iCs w:val="1"/>
          <w:color w:val="0171B9"/>
        </w:rPr>
        <w:t>www.amgen.com/executivecompensation</w:t>
      </w:r>
      <w:r>
        <w:rPr>
          <w:rFonts w:ascii="Arial" w:cs="Arial" w:eastAsia="Arial" w:hAnsi="Arial"/>
          <w:sz w:val="17"/>
          <w:szCs w:val="17"/>
          <w:color w:val="000000"/>
        </w:rPr>
        <w:t>,</w:t>
      </w:r>
      <w:r>
        <w:rPr>
          <w:rFonts w:ascii="Arial" w:cs="Arial" w:eastAsia="Arial" w:hAnsi="Arial"/>
          <w:sz w:val="12"/>
          <w:szCs w:val="12"/>
          <w:color w:val="000000"/>
        </w:rPr>
        <w:t>(1)</w:t>
      </w:r>
      <w:r>
        <w:rPr>
          <w:rFonts w:ascii="Arial" w:cs="Arial" w:eastAsia="Arial" w:hAnsi="Arial"/>
          <w:sz w:val="17"/>
          <w:szCs w:val="17"/>
          <w:i w:val="1"/>
          <w:iCs w:val="1"/>
          <w:color w:val="0171B9"/>
        </w:rPr>
        <w:t xml:space="preserve"> </w:t>
      </w:r>
      <w:r>
        <w:rPr>
          <w:rFonts w:ascii="Arial" w:cs="Arial" w:eastAsia="Arial" w:hAnsi="Arial"/>
          <w:sz w:val="17"/>
          <w:szCs w:val="17"/>
          <w:color w:val="000000"/>
        </w:rPr>
        <w:t>which provides a link to</w:t>
      </w:r>
      <w:r>
        <w:rPr>
          <w:rFonts w:ascii="Arial" w:cs="Arial" w:eastAsia="Arial" w:hAnsi="Arial"/>
          <w:sz w:val="17"/>
          <w:szCs w:val="17"/>
          <w:i w:val="1"/>
          <w:iCs w:val="1"/>
          <w:color w:val="0171B9"/>
        </w:rPr>
        <w:t xml:space="preserve"> </w:t>
      </w:r>
      <w:r>
        <w:rPr>
          <w:rFonts w:ascii="Arial" w:cs="Arial" w:eastAsia="Arial" w:hAnsi="Arial"/>
          <w:sz w:val="17"/>
          <w:szCs w:val="17"/>
          <w:color w:val="000000"/>
        </w:rPr>
        <w:t>our most recent proxy statement and invites our stockholders to fill out a survey to provide input and feedback to the Compensation Committee regarding our executive compensation policies and practices. All input from our stockholders is valuable and the Compensation Committee reviews your input and appreciates your time and effort in completing the survey.</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Approach to Pricing Our Products</w:t>
      </w:r>
    </w:p>
    <w:p>
      <w:pPr>
        <w:spacing w:after="0" w:line="124"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We are committed to pricing our products according to the value they deliver and employ flexible pricing approaches to help promote patient access. Our drug pricing governance framework is designed to help ensure that our pricing actions around the globe are legally compliant, financially sound, and aligned with our values and corporate objectives. We have internal processes and controls in place to help ensure that pricing decisions are thoroughly and appropriately vetted prior to implementation with involvement from senior management. This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process includes routine presentations to our Corporate Responsibility and Compliance Committee and our Board on drug pricing practices. Our strategy includes a focus on innovative drugs and biosimilars that can deliver volume-driven unit growth. In 2022, the average net price for Amgen medicines declined for a fifth straight year while our revenues benefited from volume-based growth across our portfolio. We continue to disclose in our annual report on Form 10-K and our quarterly reports on Form 10-Q, the pricing trends significant to our business. We believe that we have the appropriate governance mechanisms, oversight and processes in place to ensure that pricing decisions are made in-line with our values and our mission to serve patients. In addition, our Compensation Committee annually completes a thoughtful and rigorous evaluation of our executive compensation program for alignment with our mission to serve patients and deliver stockholder value without encouraging excessive or inappropriate risk-taking by our executives. A full description of risk management by our Compensation Committee and our ESG efforts can be found in the “Corporate Governance” section, including the subsections “— Compensation Committee Risk Management” and “—Our Approach to Environmental Sustainability, Social Responsibility, and Human Capital Management.”</w:t>
      </w:r>
    </w:p>
    <w:p>
      <w:pPr>
        <w:spacing w:after="0" w:line="620"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15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Non-Direct Compensation and Payouts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p>
      <w:pPr>
        <w:spacing w:after="0" w:line="291" w:lineRule="exact"/>
        <w:rPr>
          <w:sz w:val="20"/>
          <w:szCs w:val="20"/>
          <w:color w:val="auto"/>
        </w:rPr>
      </w:pPr>
    </w:p>
    <w:p>
      <w:pPr>
        <w:ind w:left="120" w:right="280"/>
        <w:spacing w:after="0" w:line="261" w:lineRule="auto"/>
        <w:rPr>
          <w:sz w:val="20"/>
          <w:szCs w:val="20"/>
          <w:color w:val="auto"/>
        </w:rPr>
      </w:pPr>
      <w:r>
        <w:rPr>
          <w:rFonts w:ascii="Arial" w:cs="Arial" w:eastAsia="Arial" w:hAnsi="Arial"/>
          <w:sz w:val="22"/>
          <w:szCs w:val="22"/>
          <w:b w:val="1"/>
          <w:bCs w:val="1"/>
          <w:color w:val="auto"/>
        </w:rPr>
        <w:t>Change of Control Benefits and Offer Letter With Limited Severance Benefits</w:t>
      </w:r>
    </w:p>
    <w:p>
      <w:pPr>
        <w:spacing w:after="0" w:line="70"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Our CEO and other NEOs are participants in our double-trigger Change of Control Severance Plan discussed below. In connection with new hires, we typically enter into offer letters detailing their initial compensation and requirements to pay back certain elements of compensation. To attract talented executives from outside the Company, our offer letters generally include severance terms that apply to terminations initiated by us and occur for reasons other than for “cause” within three years from the date of hire. These benefits are generally provided to officer-level candidates to provide an incentive for them to join us by reducing the risks associated with making such a job change. Other than the foregoing, our CEO and NEOs are not covered by contractual arrangements that provide for severance or other benefits in the event of termination.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of Control and Severance Benefits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171B9"/>
        </w:rPr>
        <w:t>Double Trigger Change of Control Severance Plan</w:t>
      </w:r>
    </w:p>
    <w:p>
      <w:pPr>
        <w:spacing w:after="0" w:line="111"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In the event of a change of control and a qualifying termination, our Change of Control Severance Plan provides severance payments to 1,832 U.S. staff members (as of December 31, 2022), including each NEO. There are no tax gross-up payments provided under the plan. The plan is structured so that payments and benefits are provided only if there is both a change of control and a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177165</wp:posOffset>
            </wp:positionV>
            <wp:extent cx="77152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both"/>
        <w:ind w:left="6"/>
        <w:spacing w:after="0" w:line="233" w:lineRule="auto"/>
        <w:rPr>
          <w:sz w:val="20"/>
          <w:szCs w:val="20"/>
          <w:color w:val="auto"/>
        </w:rPr>
      </w:pPr>
      <w:r>
        <w:rPr>
          <w:rFonts w:ascii="Arial" w:cs="Arial" w:eastAsia="Arial" w:hAnsi="Arial"/>
          <w:sz w:val="17"/>
          <w:szCs w:val="17"/>
          <w:color w:val="auto"/>
        </w:rPr>
        <w:t>either by us other than for “cause” or “disability” or by the participant for “good reason” (as each is defined in the plan)—sometimes referred to as a “double-trigger”—because the intent of the plan is to provide appropriate severance benefits in the event of a termination following a change of control, rather than to provide a change of control bonus. The cash severance multiple for our CEO and all other NEOs is two times annual cash compensation. The payments and benefit levels under the Change of Control Severance Plan do not influence and were not influenced by other elements of compensation. The Change of Control Severance Plan was adopted, and is continued by the Compensation Committee:</w:t>
      </w:r>
    </w:p>
    <w:p>
      <w:pPr>
        <w:spacing w:after="0" w:line="113" w:lineRule="exact"/>
        <w:rPr>
          <w:sz w:val="20"/>
          <w:szCs w:val="20"/>
          <w:color w:val="auto"/>
        </w:rPr>
      </w:pPr>
    </w:p>
    <w:p>
      <w:pPr>
        <w:jc w:val="both"/>
        <w:ind w:left="266" w:right="20" w:hanging="266"/>
        <w:spacing w:after="0" w:line="238" w:lineRule="auto"/>
        <w:tabs>
          <w:tab w:leader="none" w:pos="266" w:val="left"/>
        </w:tabs>
        <w:numPr>
          <w:ilvl w:val="0"/>
          <w:numId w:val="104"/>
        </w:numPr>
        <w:rPr>
          <w:rFonts w:ascii="Arial" w:cs="Arial" w:eastAsia="Arial" w:hAnsi="Arial"/>
          <w:sz w:val="17"/>
          <w:szCs w:val="17"/>
          <w:color w:val="0171B9"/>
        </w:rPr>
      </w:pPr>
      <w:r>
        <w:rPr>
          <w:rFonts w:ascii="Arial" w:cs="Arial" w:eastAsia="Arial" w:hAnsi="Arial"/>
          <w:sz w:val="17"/>
          <w:szCs w:val="17"/>
          <w:color w:val="auto"/>
        </w:rPr>
        <w:t>To reinforce and encourage the continued attention and dedication of members of management to their assigned duties without the distraction arising from the possibility of a change of control;</w:t>
      </w:r>
    </w:p>
    <w:p>
      <w:pPr>
        <w:spacing w:after="0" w:line="106" w:lineRule="exact"/>
        <w:rPr>
          <w:rFonts w:ascii="Arial" w:cs="Arial" w:eastAsia="Arial" w:hAnsi="Arial"/>
          <w:sz w:val="17"/>
          <w:szCs w:val="17"/>
          <w:color w:val="0171B9"/>
        </w:rPr>
      </w:pPr>
    </w:p>
    <w:p>
      <w:pPr>
        <w:jc w:val="both"/>
        <w:ind w:left="266" w:right="20" w:hanging="266"/>
        <w:spacing w:after="0" w:line="235" w:lineRule="auto"/>
        <w:tabs>
          <w:tab w:leader="none" w:pos="266" w:val="left"/>
        </w:tabs>
        <w:numPr>
          <w:ilvl w:val="0"/>
          <w:numId w:val="104"/>
        </w:numPr>
        <w:rPr>
          <w:rFonts w:ascii="Arial" w:cs="Arial" w:eastAsia="Arial" w:hAnsi="Arial"/>
          <w:sz w:val="17"/>
          <w:szCs w:val="17"/>
          <w:color w:val="0171B9"/>
        </w:rPr>
      </w:pPr>
      <w:r>
        <w:rPr>
          <w:rFonts w:ascii="Arial" w:cs="Arial" w:eastAsia="Arial" w:hAnsi="Arial"/>
          <w:sz w:val="17"/>
          <w:szCs w:val="17"/>
          <w:color w:val="auto"/>
        </w:rPr>
        <w:t>To enable and encourage management to focus their attention on obtaining the best possible deal for our stockholders and making an independent evaluation of all possible transactions, without being influenced by their personal concerns regarding the possible impact of various transactions on the security of their jobs and benefits; and</w:t>
      </w:r>
    </w:p>
    <w:p>
      <w:pPr>
        <w:spacing w:after="0" w:line="107" w:lineRule="exact"/>
        <w:rPr>
          <w:rFonts w:ascii="Arial" w:cs="Arial" w:eastAsia="Arial" w:hAnsi="Arial"/>
          <w:sz w:val="17"/>
          <w:szCs w:val="17"/>
          <w:color w:val="0171B9"/>
        </w:rPr>
      </w:pPr>
    </w:p>
    <w:p>
      <w:pPr>
        <w:jc w:val="both"/>
        <w:ind w:left="266" w:right="20" w:hanging="266"/>
        <w:spacing w:after="0" w:line="236" w:lineRule="auto"/>
        <w:tabs>
          <w:tab w:leader="none" w:pos="266" w:val="left"/>
        </w:tabs>
        <w:numPr>
          <w:ilvl w:val="0"/>
          <w:numId w:val="104"/>
        </w:numPr>
        <w:rPr>
          <w:rFonts w:ascii="Arial" w:cs="Arial" w:eastAsia="Arial" w:hAnsi="Arial"/>
          <w:sz w:val="17"/>
          <w:szCs w:val="17"/>
          <w:color w:val="0171B9"/>
        </w:rPr>
      </w:pPr>
      <w:r>
        <w:rPr>
          <w:rFonts w:ascii="Arial" w:cs="Arial" w:eastAsia="Arial" w:hAnsi="Arial"/>
          <w:sz w:val="17"/>
          <w:szCs w:val="17"/>
          <w:color w:val="auto"/>
        </w:rPr>
        <w:t>To provide severance benefits to any participant who incurs a termination of employment under the circumstances described within a certain period following a change of control in recognition of their contributions to the Company.</w:t>
      </w:r>
    </w:p>
    <w:p>
      <w:pPr>
        <w:spacing w:after="0" w:line="522" w:lineRule="exact"/>
        <w:rPr>
          <w:sz w:val="20"/>
          <w:szCs w:val="20"/>
          <w:color w:val="auto"/>
        </w:rPr>
      </w:pPr>
    </w:p>
    <w:p>
      <w:pPr>
        <w:sectPr>
          <w:pgSz w:w="11900" w:h="16838" w:orient="portrait"/>
          <w:cols w:equalWidth="0" w:num="2">
            <w:col w:w="5400" w:space="334"/>
            <w:col w:w="5406"/>
          </w:cols>
          <w:pgMar w:left="320" w:top="486" w:right="439" w:bottom="1440" w:gutter="0" w:footer="0" w:header="0"/>
          <w:type w:val="continuous"/>
        </w:sectPr>
      </w:pPr>
    </w:p>
    <w:p>
      <w:pPr>
        <w:spacing w:after="0" w:line="137" w:lineRule="exact"/>
        <w:rPr>
          <w:sz w:val="20"/>
          <w:szCs w:val="20"/>
          <w:color w:val="auto"/>
        </w:rPr>
      </w:pPr>
    </w:p>
    <w:p>
      <w:pPr>
        <w:ind w:left="540" w:hanging="424"/>
        <w:spacing w:after="0"/>
        <w:tabs>
          <w:tab w:leader="none" w:pos="5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Reference to our website is not intended to function as a hyperlink and the information contained on our website is not intended to be part of this proxy statement.</w:t>
      </w:r>
    </w:p>
    <w:p>
      <w:pPr>
        <w:spacing w:after="0" w:line="128"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72</w:t>
      </w:r>
      <w:r>
        <w:rPr>
          <w:sz w:val="20"/>
          <w:szCs w:val="20"/>
          <w:color w:val="auto"/>
        </w:rPr>
        <w:tab/>
      </w:r>
      <w:r>
        <w:rPr>
          <w:sz w:val="1"/>
          <w:szCs w:val="1"/>
          <w:color w:val="auto"/>
        </w:rPr>
        <w:drawing>
          <wp:inline distT="0" distB="0" distL="0" distR="0">
            <wp:extent cx="582930" cy="137160"/>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Compensation Discussion and Analysis</w:t>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120" w:right="120"/>
        <w:spacing w:after="0" w:line="253" w:lineRule="auto"/>
        <w:rPr>
          <w:sz w:val="20"/>
          <w:szCs w:val="20"/>
          <w:color w:val="auto"/>
        </w:rPr>
      </w:pPr>
      <w:r>
        <w:rPr>
          <w:rFonts w:ascii="Arial" w:cs="Arial" w:eastAsia="Arial" w:hAnsi="Arial"/>
          <w:sz w:val="20"/>
          <w:szCs w:val="20"/>
          <w:i w:val="1"/>
          <w:iCs w:val="1"/>
          <w:color w:val="0171B9"/>
        </w:rPr>
        <w:t>Change of Control and Severance Treatment of Long-Term Incentive Equity Awards</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 and Stock Options</w:t>
      </w:r>
    </w:p>
    <w:p>
      <w:pPr>
        <w:spacing w:after="0" w:line="120"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All unvested RSUs and stock options have “double-trigger” acceleration of vesting that requires a qualifying termination in connection with a change of control. All RSUs and stock options vest in full only if the grantee’s employment is involuntarily terminated (other than for “cause” or “disability”), or for staff members subject to the Change of Control Severance Plan, is voluntarily terminated with “good reason,” in each case within two years following a change of control. All RSUs and stock options also vest in the event of a termination of employment due to death or “disability” as follows: full vesting for grants made before the year of death or disability; and pro-rata vesting (based on months worked) for grants made during the year of death or disability. In the event of “retirement,” RSUs and stock options granted before the year of retirement continue vesting on their original vesting schedule, and for those awards granted in the year of retirement, they vest pro-rata based on months worked.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Performance Units</w:t>
      </w:r>
    </w:p>
    <w:p>
      <w:pPr>
        <w:spacing w:after="0" w:line="120"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 xml:space="preserve">The Compensation Committee has maintained change of control features for each of the performance periods under our performance award programs to ensure that these programs reward participants for our performance until the successful closing of any change of control. In general, the performance units are earned based on a truncated performance period ending on the quarter end immediately prior to any change of control (or target performance for the operating measures if the change of control occurs in the first year of a performance period). If the change of control occurs within the first six months of a performance period, the amount earned is pro-rated based on the number of months of the performance period prior to the change of control. In the event of a termination of employment due to death, disability, or retirement, our performance units provide for potential earn-out at the end of the performance period based on actual results with the amount earned pro-rated based on the termination date. For additional information on the levels of payout, see “Potential Payments Upon Termination or Change of Control— </w:t>
      </w:r>
      <w:r>
        <w:rPr>
          <w:rFonts w:ascii="Arial" w:cs="Arial" w:eastAsia="Arial" w:hAnsi="Arial"/>
          <w:sz w:val="17"/>
          <w:szCs w:val="17"/>
          <w:i w:val="1"/>
          <w:iCs w:val="1"/>
          <w:color w:val="auto"/>
        </w:rPr>
        <w:t>Long-Term Incentive Equity Awards—Performance Units</w:t>
      </w:r>
      <w:r>
        <w:rPr>
          <w:rFonts w:ascii="Arial" w:cs="Arial" w:eastAsia="Arial" w:hAnsi="Arial"/>
          <w:sz w:val="17"/>
          <w:szCs w:val="17"/>
          <w:color w:val="auto"/>
        </w:rPr>
        <w:t>” in our</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Compensation Tables.</w:t>
      </w:r>
    </w:p>
    <w:p>
      <w:pPr>
        <w:spacing w:after="0" w:line="175" w:lineRule="exact"/>
        <w:rPr>
          <w:sz w:val="20"/>
          <w:szCs w:val="20"/>
          <w:color w:val="auto"/>
        </w:rPr>
      </w:pPr>
    </w:p>
    <w:p>
      <w:pPr>
        <w:ind w:left="120" w:right="1020"/>
        <w:spacing w:after="0" w:line="261" w:lineRule="auto"/>
        <w:rPr>
          <w:sz w:val="20"/>
          <w:szCs w:val="20"/>
          <w:color w:val="auto"/>
        </w:rPr>
      </w:pPr>
      <w:r>
        <w:rPr>
          <w:rFonts w:ascii="Arial" w:cs="Arial" w:eastAsia="Arial" w:hAnsi="Arial"/>
          <w:sz w:val="22"/>
          <w:szCs w:val="22"/>
          <w:b w:val="1"/>
          <w:bCs w:val="1"/>
          <w:color w:val="auto"/>
        </w:rPr>
        <w:t>Limited Retirement Benefits and Deferred Compensation Plan</w:t>
      </w:r>
    </w:p>
    <w:p>
      <w:pPr>
        <w:spacing w:after="0" w:line="70"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Health, retirement, and other benefits programs are generally available to our U.S.-based staff members, including our NEOs, with the overall benefit programs typically targeted to align in value with those programs offered by our peer group. The primary survey used to make this comparison is the Aon Benefit Index</w:t>
      </w:r>
      <w:r>
        <w:rPr>
          <w:rFonts w:ascii="Arial" w:cs="Arial" w:eastAsia="Arial" w:hAnsi="Arial"/>
          <w:sz w:val="12"/>
          <w:szCs w:val="12"/>
          <w:color w:val="auto"/>
        </w:rPr>
        <w:t>®</w:t>
      </w:r>
      <w:r>
        <w:rPr>
          <w:rFonts w:ascii="Arial" w:cs="Arial" w:eastAsia="Arial" w:hAnsi="Arial"/>
          <w:sz w:val="17"/>
          <w:szCs w:val="17"/>
          <w:color w:val="auto"/>
        </w:rPr>
        <w:t>, last updated as of May 2022</w:t>
      </w:r>
      <w:r>
        <w:rPr>
          <w:rFonts w:ascii="Arial" w:cs="Arial" w:eastAsia="Arial" w:hAnsi="Arial"/>
          <w:sz w:val="17"/>
          <w:szCs w:val="17"/>
          <w:i w:val="1"/>
          <w:iCs w:val="1"/>
          <w:color w:val="auto"/>
        </w:rPr>
        <w:t>,</w:t>
      </w:r>
      <w:r>
        <w:rPr>
          <w:rFonts w:ascii="Arial" w:cs="Arial" w:eastAsia="Arial" w:hAnsi="Arial"/>
          <w:sz w:val="17"/>
          <w:szCs w:val="17"/>
          <w:color w:val="auto"/>
        </w:rPr>
        <w:t xml:space="preserve"> using a comparator group of 14 companies chosen by Amgen as representative of its peer group. The data generated from this survey is used by both the Compensation Committee and Company management in evaluating the competitive positioning and program design of these health, retirement, and other benefit programs.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Retirement and Savings Plan, Supplemental Retirement Plan, and Nonqualified Deferred Compensation Plan</w:t>
      </w:r>
    </w:p>
    <w:p>
      <w:pPr>
        <w:spacing w:after="0" w:line="6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Retirement and Savings Plan, or 401(k) Plan, is available to U.S.-based staff members of the Company and participating subsidiaries (except Puerto Rico). All 401(k) Plan participants are eligible to receive the same proportionate level of matching and core contributions from us. Under the 401(k) Plan, we provide to each staff member a 5% contribution on eligible compensation and up to a 5% matching contribution on voluntary deferrals. The Retirement and Savings Plan for Amgen Manufacturing Limited is available to staff members in Puerto Rico.</w:t>
      </w:r>
    </w:p>
    <w:p>
      <w:pPr>
        <w:spacing w:after="0" w:line="9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Our Supplemental Retirement Plan, or SRP, is available to all 401(k) Plan participants and is designed to provide a “make whole” benefit to 401(k) Plan participants with eligible compensation in excess of the Internal Revenue Code’s qualified plan compensation limit. The Company credits to the SRP a 10% contribution on eligible compensation in excess of the qualified plan compensation limit to represent the equivalent percentage of Company contributions that would have been made to the 401(k) Plan if the compensation had been eligible for deferral in the 401(k) Plan. For the same reason, the Company also credits to the SRP a 10% contribution on amounts voluntarily deferred by a participant into the Nonqualified Deferred Compensation Plan, or NDCP.</w:t>
      </w:r>
    </w:p>
    <w:p>
      <w:pPr>
        <w:spacing w:after="0" w:line="99"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The SRP enables us to provide the same percentage of base salary and annual cash incentive award as a retirement contribution to U.S.-based staff members at all levels.</w:t>
      </w:r>
    </w:p>
    <w:p>
      <w:pPr>
        <w:spacing w:after="0" w:line="93"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Earnings under the SRP and NDCP are market-based – there are no “above market” or guaranteed rates of returns offered in these plans. SRP and NDCP participants can direct notional account investments using the 401(k) Plan investing structure (excluding the self-direct brokerage and our Company stock) plus a variety of target date funds. Unlike a traditional pension plan, which generally provides a lifetime annuity that replaces a portion of a participant’s final pay, benefits from our 401(k) Plan and SRP are based on the investment return on the staff member’s own investment elections, with the participant bearing the risk of investment gains and losses.</w:t>
      </w:r>
    </w:p>
    <w:p>
      <w:pPr>
        <w:spacing w:after="0" w:line="10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NDCP offers all U.S.-based staff members (including Puerto Rico) at director level and above the opportunity to defer eligible base salary and/or annual cash incentive awards, up to maximum amounts typically permitted in similar plans sponsored by our peer group. We also have the discretion to make contributions to this plan, and we do not make such contributions on a regular basis. In 2022, no Company contributions were made to the NDCP accounts of any NEOs. We believe that offering the NDCP is appropriate because it provides participants the opportunity to save for retirement in a tax-effective fashion not readily available without our sponsorship.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1134745</wp:posOffset>
            </wp:positionH>
            <wp:positionV relativeFrom="paragraph">
              <wp:posOffset>-162560</wp:posOffset>
            </wp:positionV>
            <wp:extent cx="582930" cy="1371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2">
            <w:col w:w="5400" w:space="340"/>
            <w:col w:w="5400"/>
          </w:cols>
          <w:pgMar w:left="320" w:top="486" w:right="4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Compensation Discussion and Analysis</w:t>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120" w:right="740"/>
        <w:spacing w:after="0" w:line="301" w:lineRule="auto"/>
        <w:rPr>
          <w:sz w:val="20"/>
          <w:szCs w:val="20"/>
          <w:color w:val="auto"/>
        </w:rPr>
      </w:pPr>
      <w:r>
        <w:rPr>
          <w:rFonts w:ascii="Arial" w:cs="Arial" w:eastAsia="Arial" w:hAnsi="Arial"/>
          <w:sz w:val="17"/>
          <w:szCs w:val="17"/>
          <w:b w:val="1"/>
          <w:bCs w:val="1"/>
          <w:color w:val="auto"/>
        </w:rPr>
        <w:t>Health Savings Account and Retiree Medical Savings Account Plan for all U.S.-based Staff Members</w:t>
      </w:r>
    </w:p>
    <w:p>
      <w:pPr>
        <w:spacing w:after="0" w:line="39"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We offer a high deductible health plan and an associated health savings account that is generally available to U.S.-based (excluding Puerto Rico) staff members. We also maintain a Retiree Medical Savings Account Plan, or RMSA, available to U.S.-based (excluding Puerto Rico) staff members that allows all staff members to make after-tax deferrals to be used post-termination for reimbursement of eligible medical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expenses. Under the RMSA, the Company credits all eligible staff members with an annual contribution ($1,000) and makes a matching contribution equal to 50% of a staff member’s own voluntary deferrals to the RMSA (to a maximum match of $1,500 per year). Company credits can be accessed to reimburse eligible medical expenses of staff members who terminate having met the Company’s retirement criteria. We do not offer a traditional Company-paid retiree medical plan to our NEOs or other U.S.-based staff members.</w:t>
      </w:r>
    </w:p>
    <w:p>
      <w:pPr>
        <w:spacing w:after="0" w:line="522"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0171B9"/>
        </w:rPr>
        <w:t>Tax and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67310</wp:posOffset>
            </wp:positionV>
            <wp:extent cx="699516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p>
      <w:pPr>
        <w:spacing w:after="0" w:line="3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Tax Standards</w:t>
      </w:r>
    </w:p>
    <w:p>
      <w:pPr>
        <w:spacing w:after="0" w:line="124"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Section 162(m) of the Internal Revenue Code places a $1 million limit on the amount of compensation that we may deduct for income tax purposes for any year with respect to compensation paid to “covered employees.” For tax years beginning after December 31, 2017, a covered employee includes an executive officer who holds the positions of either principal executive officer, or PEO, or principal financial officer, or PFO, at any time during the tax year, as well as an executive officer whose total compensation for the tax year is required to be reported to shareholders under the Securities Exchange Act of 1934 by reason of such employee being among the three highest compensated officers for the taxable year (excluding the PEO and PFO), regardless of whether the executive officer is serving at year end. In addition, if an individual is a covered employee for a tax year beginning after December 31, 2016, the individual remains a covered employee for all future years.</w:t>
      </w:r>
    </w:p>
    <w:p>
      <w:pPr>
        <w:spacing w:after="0" w:line="96"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In 2017, The Tax Cuts and Jobs Act, or Tax Reform Act, was signed into law effective for taxable years beginning after December 31, 2017. Prior to the Tax Reform Act, the $1 million limit did not apply to performance-based compensation, as defined. While the Tax Reform Act eliminated the exception for performance-based compensation, a transition rule continues the exception of performance-based</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compensation provided pursuant to a written binding contract that was in effect on November 2, 2017 and not modified in any material respect on or after such date. Under the transition rule, compensation related to the exercise of stock options granted on or before November 2, 2017 is anticipated to qualify for the exception for performance-based compensation, provided that such contracts are not materially modified after that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Standards</w:t>
      </w:r>
    </w:p>
    <w:p>
      <w:pPr>
        <w:spacing w:after="0" w:line="12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Financial Accounting Standards Board, or FASB, Accounting Standards Codification, or ASC, Topic 718 requires us to recognize an expense for the fair value of equity-based compensation awards. Grants of stock options, RSUs, and performance units under our LTI equity award program are accounted for under FASB ASC Topic 718. The Compensation Committee regularly considers the accounting implications of significant compensation decisions, especially in connection with decisions that relate to our LTI equity award plans and programs. As accounting standards change, we may revise certain programs to appropriately align accounting expenses of our equity awards with our overall executive compensation philosophy and objectives.</w:t>
      </w:r>
    </w:p>
    <w:p>
      <w:pPr>
        <w:spacing w:after="0" w:line="475"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58"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74</w:t>
      </w:r>
      <w:r>
        <w:rPr>
          <w:sz w:val="20"/>
          <w:szCs w:val="20"/>
          <w:color w:val="auto"/>
        </w:rPr>
        <w:tab/>
      </w:r>
      <w:r>
        <w:rPr>
          <w:sz w:val="1"/>
          <w:szCs w:val="1"/>
          <w:color w:val="auto"/>
        </w:rPr>
        <w:drawing>
          <wp:inline distT="0" distB="0" distL="0" distR="0">
            <wp:extent cx="582930" cy="137160"/>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7760"/>
        <w:spacing w:after="0"/>
        <w:rPr>
          <w:sz w:val="20"/>
          <w:szCs w:val="20"/>
          <w:color w:val="auto"/>
        </w:rPr>
      </w:pPr>
      <w:r>
        <w:rPr>
          <w:rFonts w:ascii="Arial" w:cs="Arial" w:eastAsia="Arial" w:hAnsi="Arial"/>
          <w:sz w:val="22"/>
          <w:szCs w:val="22"/>
          <w:b w:val="1"/>
          <w:bCs w:val="1"/>
          <w:color w:val="FFFFFF"/>
          <w:shd w:val="clear" w:color="auto" w:fill="0171B9"/>
        </w:rPr>
        <w:t>Executive Compensation Tables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Executive Compensation Tables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The following table sets forth summary information concerning the compensation awarded to, paid to, or earned by each of our Named Executive Officers, or NEOs.</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580" w:type="dxa"/>
            <w:vAlign w:val="bottom"/>
            <w:shd w:val="clear" w:color="auto" w:fill="0171B9"/>
          </w:tcPr>
          <w:p>
            <w:pPr>
              <w:spacing w:after="0"/>
              <w:rPr>
                <w:sz w:val="16"/>
                <w:szCs w:val="16"/>
                <w:color w:val="auto"/>
              </w:rPr>
            </w:pPr>
          </w:p>
        </w:tc>
        <w:tc>
          <w:tcPr>
            <w:tcW w:w="600" w:type="dxa"/>
            <w:vAlign w:val="bottom"/>
            <w:shd w:val="clear" w:color="auto" w:fill="0171B9"/>
          </w:tcPr>
          <w:p>
            <w:pPr>
              <w:spacing w:after="0"/>
              <w:rPr>
                <w:sz w:val="16"/>
                <w:szCs w:val="16"/>
                <w:color w:val="auto"/>
              </w:rPr>
            </w:pPr>
          </w:p>
        </w:tc>
        <w:tc>
          <w:tcPr>
            <w:tcW w:w="1040" w:type="dxa"/>
            <w:vAlign w:val="bottom"/>
            <w:shd w:val="clear" w:color="auto" w:fill="0171B9"/>
          </w:tcPr>
          <w:p>
            <w:pPr>
              <w:spacing w:after="0"/>
              <w:rPr>
                <w:sz w:val="16"/>
                <w:szCs w:val="16"/>
                <w:color w:val="auto"/>
              </w:rPr>
            </w:pPr>
          </w:p>
        </w:tc>
        <w:tc>
          <w:tcPr>
            <w:tcW w:w="720" w:type="dxa"/>
            <w:vAlign w:val="bottom"/>
            <w:shd w:val="clear" w:color="auto" w:fill="0171B9"/>
          </w:tcPr>
          <w:p>
            <w:pPr>
              <w:spacing w:after="0"/>
              <w:rPr>
                <w:sz w:val="16"/>
                <w:szCs w:val="16"/>
                <w:color w:val="auto"/>
              </w:rPr>
            </w:pPr>
          </w:p>
        </w:tc>
        <w:tc>
          <w:tcPr>
            <w:tcW w:w="1160" w:type="dxa"/>
            <w:vAlign w:val="bottom"/>
            <w:shd w:val="clear" w:color="auto" w:fill="0171B9"/>
          </w:tcPr>
          <w:p>
            <w:pPr>
              <w:jc w:val="right"/>
              <w:ind w:right="159"/>
              <w:spacing w:after="0"/>
              <w:rPr>
                <w:sz w:val="20"/>
                <w:szCs w:val="20"/>
                <w:color w:val="auto"/>
              </w:rPr>
            </w:pPr>
            <w:r>
              <w:rPr>
                <w:rFonts w:ascii="Arial" w:cs="Arial" w:eastAsia="Arial" w:hAnsi="Arial"/>
                <w:sz w:val="16"/>
                <w:szCs w:val="16"/>
                <w:b w:val="1"/>
                <w:bCs w:val="1"/>
                <w:color w:val="FFFFFF"/>
              </w:rPr>
              <w:t>Stock</w:t>
            </w:r>
          </w:p>
        </w:tc>
        <w:tc>
          <w:tcPr>
            <w:tcW w:w="106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Option</w:t>
            </w:r>
          </w:p>
        </w:tc>
        <w:tc>
          <w:tcPr>
            <w:tcW w:w="138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Non-Equity</w:t>
            </w:r>
          </w:p>
        </w:tc>
        <w:tc>
          <w:tcPr>
            <w:tcW w:w="1460" w:type="dxa"/>
            <w:vAlign w:val="bottom"/>
            <w:shd w:val="clear" w:color="auto" w:fill="0171B9"/>
          </w:tcPr>
          <w:p>
            <w:pPr>
              <w:jc w:val="right"/>
              <w:ind w:right="159"/>
              <w:spacing w:after="0"/>
              <w:rPr>
                <w:sz w:val="20"/>
                <w:szCs w:val="20"/>
                <w:color w:val="auto"/>
              </w:rPr>
            </w:pPr>
            <w:r>
              <w:rPr>
                <w:rFonts w:ascii="Arial" w:cs="Arial" w:eastAsia="Arial" w:hAnsi="Arial"/>
                <w:sz w:val="16"/>
                <w:szCs w:val="16"/>
                <w:b w:val="1"/>
                <w:bCs w:val="1"/>
                <w:color w:val="FFFFFF"/>
              </w:rPr>
              <w:t>All Other</w:t>
            </w:r>
          </w:p>
        </w:tc>
        <w:tc>
          <w:tcPr>
            <w:tcW w:w="1020" w:type="dxa"/>
            <w:vAlign w:val="bottom"/>
            <w:shd w:val="clear" w:color="auto" w:fill="0171B9"/>
          </w:tcPr>
          <w:p>
            <w:pPr>
              <w:spacing w:after="0"/>
              <w:rPr>
                <w:sz w:val="16"/>
                <w:szCs w:val="16"/>
                <w:color w:val="auto"/>
              </w:rPr>
            </w:pPr>
          </w:p>
        </w:tc>
      </w:tr>
      <w:tr>
        <w:trPr>
          <w:trHeight w:val="189"/>
        </w:trPr>
        <w:tc>
          <w:tcPr>
            <w:tcW w:w="2580" w:type="dxa"/>
            <w:vAlign w:val="bottom"/>
            <w:shd w:val="clear" w:color="auto" w:fill="0171B9"/>
          </w:tcPr>
          <w:p>
            <w:pPr>
              <w:spacing w:after="0"/>
              <w:rPr>
                <w:sz w:val="16"/>
                <w:szCs w:val="16"/>
                <w:color w:val="auto"/>
              </w:rPr>
            </w:pPr>
          </w:p>
        </w:tc>
        <w:tc>
          <w:tcPr>
            <w:tcW w:w="600" w:type="dxa"/>
            <w:vAlign w:val="bottom"/>
            <w:shd w:val="clear" w:color="auto" w:fill="0171B9"/>
          </w:tcPr>
          <w:p>
            <w:pPr>
              <w:spacing w:after="0"/>
              <w:rPr>
                <w:sz w:val="16"/>
                <w:szCs w:val="16"/>
                <w:color w:val="auto"/>
              </w:rPr>
            </w:pPr>
          </w:p>
        </w:tc>
        <w:tc>
          <w:tcPr>
            <w:tcW w:w="104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Salary</w:t>
            </w:r>
          </w:p>
        </w:tc>
        <w:tc>
          <w:tcPr>
            <w:tcW w:w="72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Bonus</w:t>
            </w:r>
          </w:p>
        </w:tc>
        <w:tc>
          <w:tcPr>
            <w:tcW w:w="1160" w:type="dxa"/>
            <w:vAlign w:val="bottom"/>
            <w:shd w:val="clear" w:color="auto" w:fill="0171B9"/>
          </w:tcPr>
          <w:p>
            <w:pPr>
              <w:jc w:val="right"/>
              <w:ind w:right="159"/>
              <w:spacing w:after="0"/>
              <w:rPr>
                <w:sz w:val="20"/>
                <w:szCs w:val="20"/>
                <w:color w:val="auto"/>
              </w:rPr>
            </w:pPr>
            <w:r>
              <w:rPr>
                <w:rFonts w:ascii="Arial" w:cs="Arial" w:eastAsia="Arial" w:hAnsi="Arial"/>
                <w:sz w:val="16"/>
                <w:szCs w:val="16"/>
                <w:b w:val="1"/>
                <w:bCs w:val="1"/>
                <w:color w:val="FFFFFF"/>
              </w:rPr>
              <w:t>Awards</w:t>
            </w:r>
          </w:p>
        </w:tc>
        <w:tc>
          <w:tcPr>
            <w:tcW w:w="106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Awards</w:t>
            </w:r>
          </w:p>
        </w:tc>
        <w:tc>
          <w:tcPr>
            <w:tcW w:w="138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Incentive Plan</w:t>
            </w:r>
          </w:p>
        </w:tc>
        <w:tc>
          <w:tcPr>
            <w:tcW w:w="1460" w:type="dxa"/>
            <w:vAlign w:val="bottom"/>
            <w:shd w:val="clear" w:color="auto" w:fill="0171B9"/>
          </w:tcPr>
          <w:p>
            <w:pPr>
              <w:jc w:val="right"/>
              <w:ind w:right="159"/>
              <w:spacing w:after="0"/>
              <w:rPr>
                <w:sz w:val="20"/>
                <w:szCs w:val="20"/>
                <w:color w:val="auto"/>
              </w:rPr>
            </w:pPr>
            <w:r>
              <w:rPr>
                <w:rFonts w:ascii="Arial" w:cs="Arial" w:eastAsia="Arial" w:hAnsi="Arial"/>
                <w:sz w:val="16"/>
                <w:szCs w:val="16"/>
                <w:b w:val="1"/>
                <w:bCs w:val="1"/>
                <w:color w:val="FFFFFF"/>
              </w:rPr>
              <w:t>Compensation</w:t>
            </w:r>
          </w:p>
        </w:tc>
        <w:tc>
          <w:tcPr>
            <w:tcW w:w="1020" w:type="dxa"/>
            <w:vAlign w:val="bottom"/>
            <w:shd w:val="clear" w:color="auto" w:fill="0171B9"/>
          </w:tcPr>
          <w:p>
            <w:pPr>
              <w:jc w:val="right"/>
              <w:spacing w:after="0"/>
              <w:rPr>
                <w:sz w:val="20"/>
                <w:szCs w:val="20"/>
                <w:color w:val="auto"/>
              </w:rPr>
            </w:pPr>
            <w:r>
              <w:rPr>
                <w:rFonts w:ascii="Arial" w:cs="Arial" w:eastAsia="Arial" w:hAnsi="Arial"/>
                <w:sz w:val="16"/>
                <w:szCs w:val="16"/>
                <w:b w:val="1"/>
                <w:bCs w:val="1"/>
                <w:color w:val="FFFFFF"/>
              </w:rPr>
              <w:t>Total</w:t>
            </w:r>
          </w:p>
        </w:tc>
      </w:tr>
      <w:tr>
        <w:trPr>
          <w:trHeight w:val="221"/>
        </w:trPr>
        <w:tc>
          <w:tcPr>
            <w:tcW w:w="2580" w:type="dxa"/>
            <w:vAlign w:val="bottom"/>
            <w:shd w:val="clear" w:color="auto" w:fill="0171B9"/>
          </w:tcPr>
          <w:p>
            <w:pPr>
              <w:spacing w:after="0"/>
              <w:rPr>
                <w:sz w:val="19"/>
                <w:szCs w:val="19"/>
                <w:color w:val="auto"/>
              </w:rPr>
            </w:pPr>
          </w:p>
        </w:tc>
        <w:tc>
          <w:tcPr>
            <w:tcW w:w="60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Year</w:t>
            </w:r>
          </w:p>
        </w:tc>
        <w:tc>
          <w:tcPr>
            <w:tcW w:w="1040" w:type="dxa"/>
            <w:vAlign w:val="bottom"/>
            <w:shd w:val="clear" w:color="auto" w:fill="0171B9"/>
          </w:tcPr>
          <w:p>
            <w:pPr>
              <w:jc w:val="right"/>
              <w:spacing w:after="0" w:line="220"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4"/>
                <w:szCs w:val="24"/>
                <w:b w:val="1"/>
                <w:bCs w:val="1"/>
                <w:color w:val="FFFFFF"/>
                <w:vertAlign w:val="superscript"/>
              </w:rPr>
              <w:t>(1)</w:t>
            </w:r>
          </w:p>
        </w:tc>
        <w:tc>
          <w:tcPr>
            <w:tcW w:w="72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w:t>
            </w:r>
          </w:p>
        </w:tc>
        <w:tc>
          <w:tcPr>
            <w:tcW w:w="1160" w:type="dxa"/>
            <w:vAlign w:val="bottom"/>
            <w:shd w:val="clear" w:color="auto" w:fill="0171B9"/>
          </w:tcPr>
          <w:p>
            <w:pPr>
              <w:jc w:val="right"/>
              <w:ind w:right="19"/>
              <w:spacing w:after="0" w:line="220"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4"/>
                <w:szCs w:val="24"/>
                <w:b w:val="1"/>
                <w:bCs w:val="1"/>
                <w:color w:val="FFFFFF"/>
                <w:vertAlign w:val="superscript"/>
              </w:rPr>
              <w:t>(2)</w:t>
            </w:r>
          </w:p>
        </w:tc>
        <w:tc>
          <w:tcPr>
            <w:tcW w:w="1060" w:type="dxa"/>
            <w:vAlign w:val="bottom"/>
            <w:shd w:val="clear" w:color="auto" w:fill="0171B9"/>
          </w:tcPr>
          <w:p>
            <w:pPr>
              <w:jc w:val="right"/>
              <w:spacing w:after="0" w:line="220"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4"/>
                <w:szCs w:val="24"/>
                <w:b w:val="1"/>
                <w:bCs w:val="1"/>
                <w:color w:val="FFFFFF"/>
                <w:vertAlign w:val="superscript"/>
              </w:rPr>
              <w:t>(3)</w:t>
            </w:r>
          </w:p>
        </w:tc>
        <w:tc>
          <w:tcPr>
            <w:tcW w:w="1380" w:type="dxa"/>
            <w:vAlign w:val="bottom"/>
            <w:shd w:val="clear" w:color="auto" w:fill="0171B9"/>
          </w:tcPr>
          <w:p>
            <w:pPr>
              <w:jc w:val="right"/>
              <w:spacing w:after="0" w:line="220"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4"/>
                <w:szCs w:val="24"/>
                <w:b w:val="1"/>
                <w:bCs w:val="1"/>
                <w:color w:val="FFFFFF"/>
                <w:vertAlign w:val="superscript"/>
              </w:rPr>
              <w:t>(4)</w:t>
            </w:r>
          </w:p>
        </w:tc>
        <w:tc>
          <w:tcPr>
            <w:tcW w:w="1460" w:type="dxa"/>
            <w:vAlign w:val="bottom"/>
            <w:shd w:val="clear" w:color="auto" w:fill="0171B9"/>
          </w:tcPr>
          <w:p>
            <w:pPr>
              <w:jc w:val="right"/>
              <w:ind w:right="19"/>
              <w:spacing w:after="0" w:line="220"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4"/>
                <w:szCs w:val="24"/>
                <w:b w:val="1"/>
                <w:bCs w:val="1"/>
                <w:color w:val="FFFFFF"/>
                <w:vertAlign w:val="superscript"/>
              </w:rPr>
              <w:t>(5)</w:t>
            </w:r>
          </w:p>
        </w:tc>
        <w:tc>
          <w:tcPr>
            <w:tcW w:w="1020" w:type="dxa"/>
            <w:vAlign w:val="bottom"/>
            <w:shd w:val="clear" w:color="auto" w:fill="0171B9"/>
          </w:tcPr>
          <w:p>
            <w:pPr>
              <w:jc w:val="right"/>
              <w:spacing w:after="0"/>
              <w:rPr>
                <w:sz w:val="20"/>
                <w:szCs w:val="20"/>
                <w:color w:val="auto"/>
              </w:rPr>
            </w:pPr>
            <w:r>
              <w:rPr>
                <w:rFonts w:ascii="Arial" w:cs="Arial" w:eastAsia="Arial" w:hAnsi="Arial"/>
                <w:sz w:val="16"/>
                <w:szCs w:val="16"/>
                <w:b w:val="1"/>
                <w:bCs w:val="1"/>
                <w:color w:val="FFFFFF"/>
              </w:rPr>
              <w:t>($)</w:t>
            </w:r>
          </w:p>
        </w:tc>
      </w:tr>
      <w:tr>
        <w:trPr>
          <w:trHeight w:val="245"/>
        </w:trPr>
        <w:tc>
          <w:tcPr>
            <w:tcW w:w="2580" w:type="dxa"/>
            <w:vAlign w:val="bottom"/>
            <w:shd w:val="clear" w:color="auto" w:fill="CCE2F1"/>
          </w:tcPr>
          <w:p>
            <w:pPr>
              <w:ind w:left="80"/>
              <w:spacing w:after="0"/>
              <w:rPr>
                <w:sz w:val="20"/>
                <w:szCs w:val="20"/>
                <w:color w:val="auto"/>
              </w:rPr>
            </w:pPr>
            <w:r>
              <w:rPr>
                <w:rFonts w:ascii="Arial" w:cs="Arial" w:eastAsia="Arial" w:hAnsi="Arial"/>
                <w:sz w:val="16"/>
                <w:szCs w:val="16"/>
                <w:color w:val="auto"/>
              </w:rPr>
              <w:t>Robert A. Bradway</w:t>
            </w:r>
          </w:p>
        </w:tc>
        <w:tc>
          <w:tcPr>
            <w:tcW w:w="60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2022</w:t>
            </w:r>
          </w:p>
        </w:tc>
        <w:tc>
          <w:tcPr>
            <w:tcW w:w="104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1,722,300</w:t>
            </w:r>
          </w:p>
        </w:tc>
        <w:tc>
          <w:tcPr>
            <w:tcW w:w="72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0</w:t>
            </w:r>
          </w:p>
        </w:tc>
        <w:tc>
          <w:tcPr>
            <w:tcW w:w="1160" w:type="dxa"/>
            <w:vAlign w:val="bottom"/>
            <w:shd w:val="clear" w:color="auto" w:fill="CCE2F1"/>
          </w:tcPr>
          <w:p>
            <w:pPr>
              <w:jc w:val="right"/>
              <w:ind w:right="159"/>
              <w:spacing w:after="0"/>
              <w:rPr>
                <w:sz w:val="20"/>
                <w:szCs w:val="20"/>
                <w:color w:val="auto"/>
              </w:rPr>
            </w:pPr>
            <w:r>
              <w:rPr>
                <w:rFonts w:ascii="Arial" w:cs="Arial" w:eastAsia="Arial" w:hAnsi="Arial"/>
                <w:sz w:val="16"/>
                <w:szCs w:val="16"/>
                <w:color w:val="auto"/>
              </w:rPr>
              <w:t>11,138,544</w:t>
            </w:r>
          </w:p>
        </w:tc>
        <w:tc>
          <w:tcPr>
            <w:tcW w:w="106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4,773,714</w:t>
            </w:r>
          </w:p>
        </w:tc>
        <w:tc>
          <w:tcPr>
            <w:tcW w:w="138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3,122,000</w:t>
            </w:r>
          </w:p>
        </w:tc>
        <w:tc>
          <w:tcPr>
            <w:tcW w:w="1460" w:type="dxa"/>
            <w:vAlign w:val="bottom"/>
            <w:shd w:val="clear" w:color="auto" w:fill="CCE2F1"/>
          </w:tcPr>
          <w:p>
            <w:pPr>
              <w:jc w:val="right"/>
              <w:ind w:right="159"/>
              <w:spacing w:after="0"/>
              <w:rPr>
                <w:sz w:val="20"/>
                <w:szCs w:val="20"/>
                <w:color w:val="auto"/>
              </w:rPr>
            </w:pPr>
            <w:r>
              <w:rPr>
                <w:rFonts w:ascii="Arial" w:cs="Arial" w:eastAsia="Arial" w:hAnsi="Arial"/>
                <w:sz w:val="16"/>
                <w:szCs w:val="16"/>
                <w:color w:val="auto"/>
              </w:rPr>
              <w:t>643,175</w:t>
            </w:r>
          </w:p>
        </w:tc>
        <w:tc>
          <w:tcPr>
            <w:tcW w:w="1020" w:type="dxa"/>
            <w:vAlign w:val="bottom"/>
            <w:shd w:val="clear" w:color="auto" w:fill="CCE2F1"/>
          </w:tcPr>
          <w:p>
            <w:pPr>
              <w:jc w:val="right"/>
              <w:spacing w:after="0"/>
              <w:rPr>
                <w:sz w:val="20"/>
                <w:szCs w:val="20"/>
                <w:color w:val="auto"/>
              </w:rPr>
            </w:pPr>
            <w:r>
              <w:rPr>
                <w:rFonts w:ascii="Arial" w:cs="Arial" w:eastAsia="Arial" w:hAnsi="Arial"/>
                <w:sz w:val="16"/>
                <w:szCs w:val="16"/>
                <w:color w:val="auto"/>
              </w:rPr>
              <w:t>21,399,733</w:t>
            </w:r>
          </w:p>
        </w:tc>
      </w:tr>
      <w:tr>
        <w:trPr>
          <w:trHeight w:val="189"/>
        </w:trPr>
        <w:tc>
          <w:tcPr>
            <w:tcW w:w="2580" w:type="dxa"/>
            <w:vAlign w:val="bottom"/>
            <w:shd w:val="clear" w:color="auto" w:fill="CCE2F1"/>
          </w:tcPr>
          <w:p>
            <w:pPr>
              <w:ind w:left="240"/>
              <w:spacing w:after="0"/>
              <w:rPr>
                <w:sz w:val="20"/>
                <w:szCs w:val="20"/>
                <w:color w:val="auto"/>
              </w:rPr>
            </w:pPr>
            <w:r>
              <w:rPr>
                <w:rFonts w:ascii="Arial" w:cs="Arial" w:eastAsia="Arial" w:hAnsi="Arial"/>
                <w:sz w:val="16"/>
                <w:szCs w:val="16"/>
                <w:color w:val="auto"/>
              </w:rPr>
              <w:t>Chief Executive Officer</w:t>
            </w:r>
          </w:p>
        </w:tc>
        <w:tc>
          <w:tcPr>
            <w:tcW w:w="60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2021</w:t>
            </w:r>
          </w:p>
        </w:tc>
        <w:tc>
          <w:tcPr>
            <w:tcW w:w="104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1,674,061</w:t>
            </w:r>
          </w:p>
        </w:tc>
        <w:tc>
          <w:tcPr>
            <w:tcW w:w="72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0</w:t>
            </w:r>
          </w:p>
        </w:tc>
        <w:tc>
          <w:tcPr>
            <w:tcW w:w="1160" w:type="dxa"/>
            <w:vAlign w:val="bottom"/>
            <w:shd w:val="clear" w:color="auto" w:fill="CCE2F1"/>
          </w:tcPr>
          <w:p>
            <w:pPr>
              <w:jc w:val="right"/>
              <w:ind w:right="159"/>
              <w:spacing w:after="0"/>
              <w:rPr>
                <w:sz w:val="20"/>
                <w:szCs w:val="20"/>
                <w:color w:val="auto"/>
              </w:rPr>
            </w:pPr>
            <w:r>
              <w:rPr>
                <w:rFonts w:ascii="Arial" w:cs="Arial" w:eastAsia="Arial" w:hAnsi="Arial"/>
                <w:sz w:val="16"/>
                <w:szCs w:val="16"/>
                <w:color w:val="auto"/>
              </w:rPr>
              <w:t>11,138,622</w:t>
            </w:r>
          </w:p>
        </w:tc>
        <w:tc>
          <w:tcPr>
            <w:tcW w:w="106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4,773,710</w:t>
            </w:r>
          </w:p>
        </w:tc>
        <w:tc>
          <w:tcPr>
            <w:tcW w:w="138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3,420,000</w:t>
            </w:r>
          </w:p>
        </w:tc>
        <w:tc>
          <w:tcPr>
            <w:tcW w:w="1460" w:type="dxa"/>
            <w:vAlign w:val="bottom"/>
            <w:shd w:val="clear" w:color="auto" w:fill="CCE2F1"/>
          </w:tcPr>
          <w:p>
            <w:pPr>
              <w:jc w:val="right"/>
              <w:ind w:right="159"/>
              <w:spacing w:after="0"/>
              <w:rPr>
                <w:sz w:val="20"/>
                <w:szCs w:val="20"/>
                <w:color w:val="auto"/>
              </w:rPr>
            </w:pPr>
            <w:r>
              <w:rPr>
                <w:rFonts w:ascii="Arial" w:cs="Arial" w:eastAsia="Arial" w:hAnsi="Arial"/>
                <w:sz w:val="16"/>
                <w:szCs w:val="16"/>
                <w:color w:val="auto"/>
              </w:rPr>
              <w:t>714,761</w:t>
            </w:r>
          </w:p>
        </w:tc>
        <w:tc>
          <w:tcPr>
            <w:tcW w:w="1020" w:type="dxa"/>
            <w:vAlign w:val="bottom"/>
            <w:shd w:val="clear" w:color="auto" w:fill="CCE2F1"/>
          </w:tcPr>
          <w:p>
            <w:pPr>
              <w:jc w:val="right"/>
              <w:spacing w:after="0"/>
              <w:rPr>
                <w:sz w:val="20"/>
                <w:szCs w:val="20"/>
                <w:color w:val="auto"/>
              </w:rPr>
            </w:pPr>
            <w:r>
              <w:rPr>
                <w:rFonts w:ascii="Arial" w:cs="Arial" w:eastAsia="Arial" w:hAnsi="Arial"/>
                <w:sz w:val="16"/>
                <w:szCs w:val="16"/>
                <w:color w:val="auto"/>
              </w:rPr>
              <w:t>21,721,154</w:t>
            </w:r>
          </w:p>
        </w:tc>
      </w:tr>
      <w:tr>
        <w:trPr>
          <w:trHeight w:val="214"/>
        </w:trPr>
        <w:tc>
          <w:tcPr>
            <w:tcW w:w="2580" w:type="dxa"/>
            <w:vAlign w:val="bottom"/>
            <w:shd w:val="clear" w:color="auto" w:fill="CCE2F1"/>
          </w:tcPr>
          <w:p>
            <w:pPr>
              <w:ind w:left="240"/>
              <w:spacing w:after="0"/>
              <w:rPr>
                <w:sz w:val="20"/>
                <w:szCs w:val="20"/>
                <w:color w:val="auto"/>
              </w:rPr>
            </w:pPr>
            <w:r>
              <w:rPr>
                <w:rFonts w:ascii="Arial" w:cs="Arial" w:eastAsia="Arial" w:hAnsi="Arial"/>
                <w:sz w:val="16"/>
                <w:szCs w:val="16"/>
                <w:color w:val="auto"/>
              </w:rPr>
              <w:t>and President</w:t>
            </w:r>
          </w:p>
        </w:tc>
        <w:tc>
          <w:tcPr>
            <w:tcW w:w="60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2020</w:t>
            </w:r>
          </w:p>
        </w:tc>
        <w:tc>
          <w:tcPr>
            <w:tcW w:w="104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1,647,538</w:t>
            </w:r>
          </w:p>
        </w:tc>
        <w:tc>
          <w:tcPr>
            <w:tcW w:w="72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0</w:t>
            </w:r>
          </w:p>
        </w:tc>
        <w:tc>
          <w:tcPr>
            <w:tcW w:w="1160" w:type="dxa"/>
            <w:vAlign w:val="bottom"/>
            <w:shd w:val="clear" w:color="auto" w:fill="CCE2F1"/>
          </w:tcPr>
          <w:p>
            <w:pPr>
              <w:jc w:val="right"/>
              <w:ind w:right="159"/>
              <w:spacing w:after="0"/>
              <w:rPr>
                <w:sz w:val="20"/>
                <w:szCs w:val="20"/>
                <w:color w:val="auto"/>
              </w:rPr>
            </w:pPr>
            <w:r>
              <w:rPr>
                <w:rFonts w:ascii="Arial" w:cs="Arial" w:eastAsia="Arial" w:hAnsi="Arial"/>
                <w:sz w:val="16"/>
                <w:szCs w:val="16"/>
                <w:color w:val="auto"/>
              </w:rPr>
              <w:t>10,079,676</w:t>
            </w:r>
          </w:p>
        </w:tc>
        <w:tc>
          <w:tcPr>
            <w:tcW w:w="106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4,319,993</w:t>
            </w:r>
          </w:p>
        </w:tc>
        <w:tc>
          <w:tcPr>
            <w:tcW w:w="138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3,495,000</w:t>
            </w:r>
          </w:p>
        </w:tc>
        <w:tc>
          <w:tcPr>
            <w:tcW w:w="1460" w:type="dxa"/>
            <w:vAlign w:val="bottom"/>
            <w:shd w:val="clear" w:color="auto" w:fill="CCE2F1"/>
          </w:tcPr>
          <w:p>
            <w:pPr>
              <w:jc w:val="right"/>
              <w:ind w:right="159"/>
              <w:spacing w:after="0"/>
              <w:rPr>
                <w:sz w:val="20"/>
                <w:szCs w:val="20"/>
                <w:color w:val="auto"/>
              </w:rPr>
            </w:pPr>
            <w:r>
              <w:rPr>
                <w:rFonts w:ascii="Arial" w:cs="Arial" w:eastAsia="Arial" w:hAnsi="Arial"/>
                <w:sz w:val="16"/>
                <w:szCs w:val="16"/>
                <w:color w:val="auto"/>
              </w:rPr>
              <w:t>589,201</w:t>
            </w:r>
          </w:p>
        </w:tc>
        <w:tc>
          <w:tcPr>
            <w:tcW w:w="1020" w:type="dxa"/>
            <w:vAlign w:val="bottom"/>
            <w:shd w:val="clear" w:color="auto" w:fill="CCE2F1"/>
          </w:tcPr>
          <w:p>
            <w:pPr>
              <w:jc w:val="right"/>
              <w:spacing w:after="0"/>
              <w:rPr>
                <w:sz w:val="20"/>
                <w:szCs w:val="20"/>
                <w:color w:val="auto"/>
              </w:rPr>
            </w:pPr>
            <w:r>
              <w:rPr>
                <w:rFonts w:ascii="Arial" w:cs="Arial" w:eastAsia="Arial" w:hAnsi="Arial"/>
                <w:sz w:val="16"/>
                <w:szCs w:val="16"/>
                <w:color w:val="auto"/>
              </w:rPr>
              <w:t>20,131,408</w:t>
            </w:r>
          </w:p>
        </w:tc>
      </w:tr>
      <w:tr>
        <w:trPr>
          <w:trHeight w:val="231"/>
        </w:trPr>
        <w:tc>
          <w:tcPr>
            <w:tcW w:w="2580" w:type="dxa"/>
            <w:vAlign w:val="bottom"/>
          </w:tcPr>
          <w:p>
            <w:pPr>
              <w:ind w:left="80"/>
              <w:spacing w:after="0"/>
              <w:rPr>
                <w:sz w:val="20"/>
                <w:szCs w:val="20"/>
                <w:color w:val="auto"/>
              </w:rPr>
            </w:pPr>
            <w:r>
              <w:rPr>
                <w:rFonts w:ascii="Arial" w:cs="Arial" w:eastAsia="Arial" w:hAnsi="Arial"/>
                <w:sz w:val="16"/>
                <w:szCs w:val="16"/>
                <w:color w:val="auto"/>
              </w:rPr>
              <w:t>Murdo Gordon</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2022</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1,103,277</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3,499,679</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1,499,985</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1,333,000</w:t>
            </w: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281,285</w:t>
            </w:r>
          </w:p>
        </w:tc>
        <w:tc>
          <w:tcPr>
            <w:tcW w:w="1020" w:type="dxa"/>
            <w:vAlign w:val="bottom"/>
          </w:tcPr>
          <w:p>
            <w:pPr>
              <w:jc w:val="right"/>
              <w:spacing w:after="0"/>
              <w:rPr>
                <w:sz w:val="20"/>
                <w:szCs w:val="20"/>
                <w:color w:val="auto"/>
              </w:rPr>
            </w:pPr>
            <w:r>
              <w:rPr>
                <w:rFonts w:ascii="Arial" w:cs="Arial" w:eastAsia="Arial" w:hAnsi="Arial"/>
                <w:sz w:val="16"/>
                <w:szCs w:val="16"/>
                <w:color w:val="auto"/>
              </w:rPr>
              <w:t>7,717,226</w:t>
            </w:r>
          </w:p>
        </w:tc>
      </w:tr>
      <w:tr>
        <w:trPr>
          <w:trHeight w:val="189"/>
        </w:trPr>
        <w:tc>
          <w:tcPr>
            <w:tcW w:w="2580" w:type="dxa"/>
            <w:vAlign w:val="bottom"/>
          </w:tcPr>
          <w:p>
            <w:pPr>
              <w:ind w:left="240"/>
              <w:spacing w:after="0"/>
              <w:rPr>
                <w:sz w:val="20"/>
                <w:szCs w:val="20"/>
                <w:color w:val="auto"/>
              </w:rPr>
            </w:pPr>
            <w:r>
              <w:rPr>
                <w:rFonts w:ascii="Arial" w:cs="Arial" w:eastAsia="Arial" w:hAnsi="Arial"/>
                <w:sz w:val="16"/>
                <w:szCs w:val="16"/>
                <w:color w:val="auto"/>
              </w:rPr>
              <w:t>Executive Vice President,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2021</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1,072,595</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3,499,717</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1,499,963</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1,461,000</w:t>
            </w: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286,909</w:t>
            </w:r>
          </w:p>
        </w:tc>
        <w:tc>
          <w:tcPr>
            <w:tcW w:w="1020" w:type="dxa"/>
            <w:vAlign w:val="bottom"/>
          </w:tcPr>
          <w:p>
            <w:pPr>
              <w:jc w:val="right"/>
              <w:spacing w:after="0"/>
              <w:rPr>
                <w:sz w:val="20"/>
                <w:szCs w:val="20"/>
                <w:color w:val="auto"/>
              </w:rPr>
            </w:pPr>
            <w:r>
              <w:rPr>
                <w:rFonts w:ascii="Arial" w:cs="Arial" w:eastAsia="Arial" w:hAnsi="Arial"/>
                <w:sz w:val="16"/>
                <w:szCs w:val="16"/>
                <w:color w:val="auto"/>
              </w:rPr>
              <w:t>7,820,184</w:t>
            </w:r>
          </w:p>
        </w:tc>
      </w:tr>
      <w:tr>
        <w:trPr>
          <w:trHeight w:val="204"/>
        </w:trPr>
        <w:tc>
          <w:tcPr>
            <w:tcW w:w="2580" w:type="dxa"/>
            <w:vAlign w:val="bottom"/>
          </w:tcPr>
          <w:p>
            <w:pPr>
              <w:ind w:left="240"/>
              <w:spacing w:after="0"/>
              <w:rPr>
                <w:sz w:val="20"/>
                <w:szCs w:val="20"/>
                <w:color w:val="auto"/>
              </w:rPr>
            </w:pPr>
            <w:r>
              <w:rPr>
                <w:rFonts w:ascii="Arial" w:cs="Arial" w:eastAsia="Arial" w:hAnsi="Arial"/>
                <w:sz w:val="16"/>
                <w:szCs w:val="16"/>
                <w:color w:val="auto"/>
              </w:rPr>
              <w:t>Global Commercial Operations</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2020</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1,055,520</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2,869,779</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1,229,977</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1,493,000</w:t>
            </w: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327,774</w:t>
            </w:r>
          </w:p>
        </w:tc>
        <w:tc>
          <w:tcPr>
            <w:tcW w:w="1020" w:type="dxa"/>
            <w:vAlign w:val="bottom"/>
          </w:tcPr>
          <w:p>
            <w:pPr>
              <w:jc w:val="right"/>
              <w:spacing w:after="0"/>
              <w:rPr>
                <w:sz w:val="20"/>
                <w:szCs w:val="20"/>
                <w:color w:val="auto"/>
              </w:rPr>
            </w:pPr>
            <w:r>
              <w:rPr>
                <w:rFonts w:ascii="Arial" w:cs="Arial" w:eastAsia="Arial" w:hAnsi="Arial"/>
                <w:sz w:val="16"/>
                <w:szCs w:val="16"/>
                <w:color w:val="auto"/>
              </w:rPr>
              <w:t>6,976,050</w:t>
            </w:r>
          </w:p>
        </w:tc>
      </w:tr>
      <w:tr>
        <w:trPr>
          <w:trHeight w:val="241"/>
        </w:trPr>
        <w:tc>
          <w:tcPr>
            <w:tcW w:w="2580" w:type="dxa"/>
            <w:vAlign w:val="bottom"/>
            <w:shd w:val="clear" w:color="auto" w:fill="CCE2F1"/>
          </w:tcPr>
          <w:p>
            <w:pPr>
              <w:ind w:left="80"/>
              <w:spacing w:after="0"/>
              <w:rPr>
                <w:sz w:val="20"/>
                <w:szCs w:val="20"/>
                <w:color w:val="auto"/>
              </w:rPr>
            </w:pPr>
            <w:r>
              <w:rPr>
                <w:rFonts w:ascii="Arial" w:cs="Arial" w:eastAsia="Arial" w:hAnsi="Arial"/>
                <w:sz w:val="16"/>
                <w:szCs w:val="16"/>
                <w:color w:val="auto"/>
              </w:rPr>
              <w:t>David M. Reese</w:t>
            </w:r>
          </w:p>
        </w:tc>
        <w:tc>
          <w:tcPr>
            <w:tcW w:w="60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2022</w:t>
            </w:r>
          </w:p>
        </w:tc>
        <w:tc>
          <w:tcPr>
            <w:tcW w:w="104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1,158,846</w:t>
            </w:r>
          </w:p>
        </w:tc>
        <w:tc>
          <w:tcPr>
            <w:tcW w:w="72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0</w:t>
            </w:r>
          </w:p>
        </w:tc>
        <w:tc>
          <w:tcPr>
            <w:tcW w:w="1160" w:type="dxa"/>
            <w:vAlign w:val="bottom"/>
            <w:shd w:val="clear" w:color="auto" w:fill="CCE2F1"/>
          </w:tcPr>
          <w:p>
            <w:pPr>
              <w:jc w:val="right"/>
              <w:ind w:right="159"/>
              <w:spacing w:after="0"/>
              <w:rPr>
                <w:sz w:val="20"/>
                <w:szCs w:val="20"/>
                <w:color w:val="auto"/>
              </w:rPr>
            </w:pPr>
            <w:r>
              <w:rPr>
                <w:rFonts w:ascii="Arial" w:cs="Arial" w:eastAsia="Arial" w:hAnsi="Arial"/>
                <w:sz w:val="16"/>
                <w:szCs w:val="16"/>
                <w:color w:val="auto"/>
              </w:rPr>
              <w:t>3,149,736</w:t>
            </w:r>
          </w:p>
        </w:tc>
        <w:tc>
          <w:tcPr>
            <w:tcW w:w="106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1,349,995</w:t>
            </w:r>
          </w:p>
        </w:tc>
        <w:tc>
          <w:tcPr>
            <w:tcW w:w="138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1,397,000</w:t>
            </w:r>
          </w:p>
        </w:tc>
        <w:tc>
          <w:tcPr>
            <w:tcW w:w="1460" w:type="dxa"/>
            <w:vAlign w:val="bottom"/>
            <w:shd w:val="clear" w:color="auto" w:fill="CCE2F1"/>
          </w:tcPr>
          <w:p>
            <w:pPr>
              <w:jc w:val="right"/>
              <w:ind w:right="159"/>
              <w:spacing w:after="0"/>
              <w:rPr>
                <w:sz w:val="20"/>
                <w:szCs w:val="20"/>
                <w:color w:val="auto"/>
              </w:rPr>
            </w:pPr>
            <w:r>
              <w:rPr>
                <w:rFonts w:ascii="Arial" w:cs="Arial" w:eastAsia="Arial" w:hAnsi="Arial"/>
                <w:sz w:val="16"/>
                <w:szCs w:val="16"/>
                <w:color w:val="auto"/>
              </w:rPr>
              <w:t>277,547</w:t>
            </w:r>
          </w:p>
        </w:tc>
        <w:tc>
          <w:tcPr>
            <w:tcW w:w="1020" w:type="dxa"/>
            <w:vAlign w:val="bottom"/>
            <w:shd w:val="clear" w:color="auto" w:fill="CCE2F1"/>
          </w:tcPr>
          <w:p>
            <w:pPr>
              <w:jc w:val="right"/>
              <w:spacing w:after="0"/>
              <w:rPr>
                <w:sz w:val="20"/>
                <w:szCs w:val="20"/>
                <w:color w:val="auto"/>
              </w:rPr>
            </w:pPr>
            <w:r>
              <w:rPr>
                <w:rFonts w:ascii="Arial" w:cs="Arial" w:eastAsia="Arial" w:hAnsi="Arial"/>
                <w:sz w:val="16"/>
                <w:szCs w:val="16"/>
                <w:color w:val="auto"/>
              </w:rPr>
              <w:t>7,333,124</w:t>
            </w:r>
          </w:p>
        </w:tc>
      </w:tr>
      <w:tr>
        <w:trPr>
          <w:trHeight w:val="189"/>
        </w:trPr>
        <w:tc>
          <w:tcPr>
            <w:tcW w:w="2580" w:type="dxa"/>
            <w:vAlign w:val="bottom"/>
            <w:shd w:val="clear" w:color="auto" w:fill="CCE2F1"/>
          </w:tcPr>
          <w:p>
            <w:pPr>
              <w:ind w:left="240"/>
              <w:spacing w:after="0"/>
              <w:rPr>
                <w:sz w:val="20"/>
                <w:szCs w:val="20"/>
                <w:color w:val="auto"/>
              </w:rPr>
            </w:pPr>
            <w:r>
              <w:rPr>
                <w:rFonts w:ascii="Arial" w:cs="Arial" w:eastAsia="Arial" w:hAnsi="Arial"/>
                <w:sz w:val="16"/>
                <w:szCs w:val="16"/>
                <w:color w:val="auto"/>
              </w:rPr>
              <w:t>Executive Vice President,</w:t>
            </w:r>
          </w:p>
        </w:tc>
        <w:tc>
          <w:tcPr>
            <w:tcW w:w="60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2021</w:t>
            </w:r>
          </w:p>
        </w:tc>
        <w:tc>
          <w:tcPr>
            <w:tcW w:w="104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1,065,127</w:t>
            </w:r>
          </w:p>
        </w:tc>
        <w:tc>
          <w:tcPr>
            <w:tcW w:w="72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0</w:t>
            </w:r>
          </w:p>
        </w:tc>
        <w:tc>
          <w:tcPr>
            <w:tcW w:w="1160" w:type="dxa"/>
            <w:vAlign w:val="bottom"/>
            <w:shd w:val="clear" w:color="auto" w:fill="CCE2F1"/>
          </w:tcPr>
          <w:p>
            <w:pPr>
              <w:jc w:val="right"/>
              <w:ind w:right="159"/>
              <w:spacing w:after="0"/>
              <w:rPr>
                <w:sz w:val="20"/>
                <w:szCs w:val="20"/>
                <w:color w:val="auto"/>
              </w:rPr>
            </w:pPr>
            <w:r>
              <w:rPr>
                <w:rFonts w:ascii="Arial" w:cs="Arial" w:eastAsia="Arial" w:hAnsi="Arial"/>
                <w:sz w:val="16"/>
                <w:szCs w:val="16"/>
                <w:color w:val="auto"/>
              </w:rPr>
              <w:t>3,359,848</w:t>
            </w:r>
          </w:p>
        </w:tc>
        <w:tc>
          <w:tcPr>
            <w:tcW w:w="106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1,439,975</w:t>
            </w:r>
          </w:p>
        </w:tc>
        <w:tc>
          <w:tcPr>
            <w:tcW w:w="138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1,449,000</w:t>
            </w:r>
          </w:p>
        </w:tc>
        <w:tc>
          <w:tcPr>
            <w:tcW w:w="1460" w:type="dxa"/>
            <w:vAlign w:val="bottom"/>
            <w:shd w:val="clear" w:color="auto" w:fill="CCE2F1"/>
          </w:tcPr>
          <w:p>
            <w:pPr>
              <w:jc w:val="right"/>
              <w:ind w:right="159"/>
              <w:spacing w:after="0"/>
              <w:rPr>
                <w:sz w:val="20"/>
                <w:szCs w:val="20"/>
                <w:color w:val="auto"/>
              </w:rPr>
            </w:pPr>
            <w:r>
              <w:rPr>
                <w:rFonts w:ascii="Arial" w:cs="Arial" w:eastAsia="Arial" w:hAnsi="Arial"/>
                <w:sz w:val="16"/>
                <w:szCs w:val="16"/>
                <w:color w:val="auto"/>
              </w:rPr>
              <w:t>271,734</w:t>
            </w:r>
          </w:p>
        </w:tc>
        <w:tc>
          <w:tcPr>
            <w:tcW w:w="1020" w:type="dxa"/>
            <w:vAlign w:val="bottom"/>
            <w:shd w:val="clear" w:color="auto" w:fill="CCE2F1"/>
          </w:tcPr>
          <w:p>
            <w:pPr>
              <w:jc w:val="right"/>
              <w:spacing w:after="0"/>
              <w:rPr>
                <w:sz w:val="20"/>
                <w:szCs w:val="20"/>
                <w:color w:val="auto"/>
              </w:rPr>
            </w:pPr>
            <w:r>
              <w:rPr>
                <w:rFonts w:ascii="Arial" w:cs="Arial" w:eastAsia="Arial" w:hAnsi="Arial"/>
                <w:sz w:val="16"/>
                <w:szCs w:val="16"/>
                <w:color w:val="auto"/>
              </w:rPr>
              <w:t>7,585,684</w:t>
            </w:r>
          </w:p>
        </w:tc>
      </w:tr>
      <w:tr>
        <w:trPr>
          <w:trHeight w:val="214"/>
        </w:trPr>
        <w:tc>
          <w:tcPr>
            <w:tcW w:w="2580" w:type="dxa"/>
            <w:vAlign w:val="bottom"/>
            <w:shd w:val="clear" w:color="auto" w:fill="CCE2F1"/>
          </w:tcPr>
          <w:p>
            <w:pPr>
              <w:ind w:left="240"/>
              <w:spacing w:after="0"/>
              <w:rPr>
                <w:sz w:val="20"/>
                <w:szCs w:val="20"/>
                <w:color w:val="auto"/>
              </w:rPr>
            </w:pPr>
            <w:r>
              <w:rPr>
                <w:rFonts w:ascii="Arial" w:cs="Arial" w:eastAsia="Arial" w:hAnsi="Arial"/>
                <w:sz w:val="16"/>
                <w:szCs w:val="16"/>
                <w:color w:val="auto"/>
              </w:rPr>
              <w:t>Research and Development</w:t>
            </w:r>
          </w:p>
        </w:tc>
        <w:tc>
          <w:tcPr>
            <w:tcW w:w="60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2020</w:t>
            </w:r>
          </w:p>
        </w:tc>
        <w:tc>
          <w:tcPr>
            <w:tcW w:w="104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1,015,817</w:t>
            </w:r>
          </w:p>
        </w:tc>
        <w:tc>
          <w:tcPr>
            <w:tcW w:w="72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0</w:t>
            </w:r>
          </w:p>
        </w:tc>
        <w:tc>
          <w:tcPr>
            <w:tcW w:w="1160" w:type="dxa"/>
            <w:vAlign w:val="bottom"/>
            <w:shd w:val="clear" w:color="auto" w:fill="CCE2F1"/>
          </w:tcPr>
          <w:p>
            <w:pPr>
              <w:jc w:val="right"/>
              <w:ind w:right="159"/>
              <w:spacing w:after="0"/>
              <w:rPr>
                <w:sz w:val="20"/>
                <w:szCs w:val="20"/>
                <w:color w:val="auto"/>
              </w:rPr>
            </w:pPr>
            <w:r>
              <w:rPr>
                <w:rFonts w:ascii="Arial" w:cs="Arial" w:eastAsia="Arial" w:hAnsi="Arial"/>
                <w:sz w:val="16"/>
                <w:szCs w:val="16"/>
                <w:color w:val="auto"/>
              </w:rPr>
              <w:t>2,869,779</w:t>
            </w:r>
          </w:p>
        </w:tc>
        <w:tc>
          <w:tcPr>
            <w:tcW w:w="106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1,229,977</w:t>
            </w:r>
          </w:p>
        </w:tc>
        <w:tc>
          <w:tcPr>
            <w:tcW w:w="138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1,436,000</w:t>
            </w:r>
          </w:p>
        </w:tc>
        <w:tc>
          <w:tcPr>
            <w:tcW w:w="1460" w:type="dxa"/>
            <w:vAlign w:val="bottom"/>
            <w:shd w:val="clear" w:color="auto" w:fill="CCE2F1"/>
          </w:tcPr>
          <w:p>
            <w:pPr>
              <w:jc w:val="right"/>
              <w:ind w:right="159"/>
              <w:spacing w:after="0"/>
              <w:rPr>
                <w:sz w:val="20"/>
                <w:szCs w:val="20"/>
                <w:color w:val="auto"/>
              </w:rPr>
            </w:pPr>
            <w:r>
              <w:rPr>
                <w:rFonts w:ascii="Arial" w:cs="Arial" w:eastAsia="Arial" w:hAnsi="Arial"/>
                <w:sz w:val="16"/>
                <w:szCs w:val="16"/>
                <w:color w:val="auto"/>
              </w:rPr>
              <w:t>262,663</w:t>
            </w:r>
          </w:p>
        </w:tc>
        <w:tc>
          <w:tcPr>
            <w:tcW w:w="1020" w:type="dxa"/>
            <w:vAlign w:val="bottom"/>
            <w:shd w:val="clear" w:color="auto" w:fill="CCE2F1"/>
          </w:tcPr>
          <w:p>
            <w:pPr>
              <w:jc w:val="right"/>
              <w:spacing w:after="0"/>
              <w:rPr>
                <w:sz w:val="20"/>
                <w:szCs w:val="20"/>
                <w:color w:val="auto"/>
              </w:rPr>
            </w:pPr>
            <w:r>
              <w:rPr>
                <w:rFonts w:ascii="Arial" w:cs="Arial" w:eastAsia="Arial" w:hAnsi="Arial"/>
                <w:sz w:val="16"/>
                <w:szCs w:val="16"/>
                <w:color w:val="auto"/>
              </w:rPr>
              <w:t>6,814,236</w:t>
            </w:r>
          </w:p>
        </w:tc>
      </w:tr>
      <w:tr>
        <w:trPr>
          <w:trHeight w:val="231"/>
        </w:trPr>
        <w:tc>
          <w:tcPr>
            <w:tcW w:w="2580" w:type="dxa"/>
            <w:vAlign w:val="bottom"/>
          </w:tcPr>
          <w:p>
            <w:pPr>
              <w:ind w:left="80"/>
              <w:spacing w:after="0"/>
              <w:rPr>
                <w:sz w:val="20"/>
                <w:szCs w:val="20"/>
                <w:color w:val="auto"/>
              </w:rPr>
            </w:pPr>
            <w:r>
              <w:rPr>
                <w:rFonts w:ascii="Arial" w:cs="Arial" w:eastAsia="Arial" w:hAnsi="Arial"/>
                <w:sz w:val="16"/>
                <w:szCs w:val="16"/>
                <w:color w:val="auto"/>
              </w:rPr>
              <w:t>Peter H. Griffith</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2022</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1,044,492</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3,149,736</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1,349,995</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1,262,000</w:t>
            </w: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267,512</w:t>
            </w:r>
          </w:p>
        </w:tc>
        <w:tc>
          <w:tcPr>
            <w:tcW w:w="1020" w:type="dxa"/>
            <w:vAlign w:val="bottom"/>
          </w:tcPr>
          <w:p>
            <w:pPr>
              <w:jc w:val="right"/>
              <w:spacing w:after="0"/>
              <w:rPr>
                <w:sz w:val="20"/>
                <w:szCs w:val="20"/>
                <w:color w:val="auto"/>
              </w:rPr>
            </w:pPr>
            <w:r>
              <w:rPr>
                <w:rFonts w:ascii="Arial" w:cs="Arial" w:eastAsia="Arial" w:hAnsi="Arial"/>
                <w:sz w:val="16"/>
                <w:szCs w:val="16"/>
                <w:color w:val="auto"/>
              </w:rPr>
              <w:t>7,073,735</w:t>
            </w:r>
          </w:p>
        </w:tc>
      </w:tr>
      <w:tr>
        <w:trPr>
          <w:trHeight w:val="189"/>
        </w:trPr>
        <w:tc>
          <w:tcPr>
            <w:tcW w:w="2580" w:type="dxa"/>
            <w:vAlign w:val="bottom"/>
          </w:tcPr>
          <w:p>
            <w:pPr>
              <w:ind w:left="240"/>
              <w:spacing w:after="0"/>
              <w:rPr>
                <w:sz w:val="20"/>
                <w:szCs w:val="20"/>
                <w:color w:val="auto"/>
              </w:rPr>
            </w:pPr>
            <w:r>
              <w:rPr>
                <w:rFonts w:ascii="Arial" w:cs="Arial" w:eastAsia="Arial" w:hAnsi="Arial"/>
                <w:sz w:val="16"/>
                <w:szCs w:val="16"/>
                <w:color w:val="auto"/>
              </w:rPr>
              <w:t>Executive Vice President,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2021</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1,014,963</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2,799,665</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1,199,979</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1,382,000</w:t>
            </w: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267,427</w:t>
            </w:r>
          </w:p>
        </w:tc>
        <w:tc>
          <w:tcPr>
            <w:tcW w:w="1020" w:type="dxa"/>
            <w:vAlign w:val="bottom"/>
          </w:tcPr>
          <w:p>
            <w:pPr>
              <w:jc w:val="right"/>
              <w:spacing w:after="0"/>
              <w:rPr>
                <w:sz w:val="20"/>
                <w:szCs w:val="20"/>
                <w:color w:val="auto"/>
              </w:rPr>
            </w:pPr>
            <w:r>
              <w:rPr>
                <w:rFonts w:ascii="Arial" w:cs="Arial" w:eastAsia="Arial" w:hAnsi="Arial"/>
                <w:sz w:val="16"/>
                <w:szCs w:val="16"/>
                <w:color w:val="auto"/>
              </w:rPr>
              <w:t>6,664,034</w:t>
            </w:r>
          </w:p>
        </w:tc>
      </w:tr>
      <w:tr>
        <w:trPr>
          <w:trHeight w:val="198"/>
        </w:trPr>
        <w:tc>
          <w:tcPr>
            <w:tcW w:w="2580" w:type="dxa"/>
            <w:vAlign w:val="bottom"/>
          </w:tcPr>
          <w:p>
            <w:pPr>
              <w:ind w:left="240"/>
              <w:spacing w:after="0"/>
              <w:rPr>
                <w:sz w:val="20"/>
                <w:szCs w:val="20"/>
                <w:color w:val="auto"/>
              </w:rPr>
            </w:pPr>
            <w:r>
              <w:rPr>
                <w:rFonts w:ascii="Arial" w:cs="Arial" w:eastAsia="Arial" w:hAnsi="Arial"/>
                <w:sz w:val="16"/>
                <w:szCs w:val="16"/>
                <w:color w:val="auto"/>
              </w:rPr>
              <w:t>and Chief Financial Officer</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2020</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998,864</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2,799,625</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1,199,958</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1,413,000</w:t>
            </w: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154,383</w:t>
            </w:r>
          </w:p>
        </w:tc>
        <w:tc>
          <w:tcPr>
            <w:tcW w:w="1020" w:type="dxa"/>
            <w:vAlign w:val="bottom"/>
          </w:tcPr>
          <w:p>
            <w:pPr>
              <w:jc w:val="right"/>
              <w:spacing w:after="0"/>
              <w:rPr>
                <w:sz w:val="20"/>
                <w:szCs w:val="20"/>
                <w:color w:val="auto"/>
              </w:rPr>
            </w:pPr>
            <w:r>
              <w:rPr>
                <w:rFonts w:ascii="Arial" w:cs="Arial" w:eastAsia="Arial" w:hAnsi="Arial"/>
                <w:sz w:val="16"/>
                <w:szCs w:val="16"/>
                <w:color w:val="auto"/>
              </w:rPr>
              <w:t>6,565,830</w:t>
            </w:r>
          </w:p>
        </w:tc>
      </w:tr>
      <w:tr>
        <w:trPr>
          <w:trHeight w:val="234"/>
        </w:trPr>
        <w:tc>
          <w:tcPr>
            <w:tcW w:w="2580" w:type="dxa"/>
            <w:vAlign w:val="bottom"/>
            <w:shd w:val="clear" w:color="auto" w:fill="CCE2F1"/>
          </w:tcPr>
          <w:p>
            <w:pPr>
              <w:ind w:left="80"/>
              <w:spacing w:after="0"/>
              <w:rPr>
                <w:sz w:val="20"/>
                <w:szCs w:val="20"/>
                <w:color w:val="auto"/>
              </w:rPr>
            </w:pPr>
            <w:r>
              <w:rPr>
                <w:rFonts w:ascii="Arial" w:cs="Arial" w:eastAsia="Arial" w:hAnsi="Arial"/>
                <w:sz w:val="16"/>
                <w:szCs w:val="16"/>
                <w:color w:val="auto"/>
              </w:rPr>
              <w:t>Esteban Santos</w:t>
            </w:r>
          </w:p>
        </w:tc>
        <w:tc>
          <w:tcPr>
            <w:tcW w:w="60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2022</w:t>
            </w:r>
          </w:p>
        </w:tc>
        <w:tc>
          <w:tcPr>
            <w:tcW w:w="104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1,022,946</w:t>
            </w:r>
          </w:p>
        </w:tc>
        <w:tc>
          <w:tcPr>
            <w:tcW w:w="72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0</w:t>
            </w:r>
          </w:p>
        </w:tc>
        <w:tc>
          <w:tcPr>
            <w:tcW w:w="1160" w:type="dxa"/>
            <w:vAlign w:val="bottom"/>
            <w:shd w:val="clear" w:color="auto" w:fill="CCE2F1"/>
          </w:tcPr>
          <w:p>
            <w:pPr>
              <w:jc w:val="right"/>
              <w:ind w:right="159"/>
              <w:spacing w:after="0"/>
              <w:rPr>
                <w:sz w:val="20"/>
                <w:szCs w:val="20"/>
                <w:color w:val="auto"/>
              </w:rPr>
            </w:pPr>
            <w:r>
              <w:rPr>
                <w:rFonts w:ascii="Arial" w:cs="Arial" w:eastAsia="Arial" w:hAnsi="Arial"/>
                <w:sz w:val="16"/>
                <w:szCs w:val="16"/>
                <w:color w:val="auto"/>
              </w:rPr>
              <w:t>2,939,724</w:t>
            </w:r>
          </w:p>
        </w:tc>
        <w:tc>
          <w:tcPr>
            <w:tcW w:w="106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1,259,959</w:t>
            </w:r>
          </w:p>
        </w:tc>
        <w:tc>
          <w:tcPr>
            <w:tcW w:w="138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1,236,000</w:t>
            </w:r>
          </w:p>
        </w:tc>
        <w:tc>
          <w:tcPr>
            <w:tcW w:w="1460" w:type="dxa"/>
            <w:vAlign w:val="bottom"/>
            <w:shd w:val="clear" w:color="auto" w:fill="CCE2F1"/>
          </w:tcPr>
          <w:p>
            <w:pPr>
              <w:jc w:val="right"/>
              <w:ind w:right="159"/>
              <w:spacing w:after="0"/>
              <w:rPr>
                <w:sz w:val="20"/>
                <w:szCs w:val="20"/>
                <w:color w:val="auto"/>
              </w:rPr>
            </w:pPr>
            <w:r>
              <w:rPr>
                <w:rFonts w:ascii="Arial" w:cs="Arial" w:eastAsia="Arial" w:hAnsi="Arial"/>
                <w:sz w:val="16"/>
                <w:szCs w:val="16"/>
                <w:color w:val="auto"/>
              </w:rPr>
              <w:t>262,995</w:t>
            </w:r>
          </w:p>
        </w:tc>
        <w:tc>
          <w:tcPr>
            <w:tcW w:w="1020" w:type="dxa"/>
            <w:vAlign w:val="bottom"/>
            <w:shd w:val="clear" w:color="auto" w:fill="CCE2F1"/>
          </w:tcPr>
          <w:p>
            <w:pPr>
              <w:jc w:val="right"/>
              <w:spacing w:after="0"/>
              <w:rPr>
                <w:sz w:val="20"/>
                <w:szCs w:val="20"/>
                <w:color w:val="auto"/>
              </w:rPr>
            </w:pPr>
            <w:r>
              <w:rPr>
                <w:rFonts w:ascii="Arial" w:cs="Arial" w:eastAsia="Arial" w:hAnsi="Arial"/>
                <w:sz w:val="16"/>
                <w:szCs w:val="16"/>
                <w:color w:val="auto"/>
              </w:rPr>
              <w:t>6,721,624</w:t>
            </w:r>
          </w:p>
        </w:tc>
      </w:tr>
      <w:tr>
        <w:trPr>
          <w:trHeight w:val="189"/>
        </w:trPr>
        <w:tc>
          <w:tcPr>
            <w:tcW w:w="2580" w:type="dxa"/>
            <w:vAlign w:val="bottom"/>
            <w:shd w:val="clear" w:color="auto" w:fill="CCE2F1"/>
          </w:tcPr>
          <w:p>
            <w:pPr>
              <w:ind w:left="240"/>
              <w:spacing w:after="0"/>
              <w:rPr>
                <w:sz w:val="20"/>
                <w:szCs w:val="20"/>
                <w:color w:val="auto"/>
              </w:rPr>
            </w:pPr>
            <w:r>
              <w:rPr>
                <w:rFonts w:ascii="Arial" w:cs="Arial" w:eastAsia="Arial" w:hAnsi="Arial"/>
                <w:sz w:val="16"/>
                <w:szCs w:val="16"/>
                <w:color w:val="auto"/>
              </w:rPr>
              <w:t>Executive Vice President,</w:t>
            </w:r>
          </w:p>
        </w:tc>
        <w:tc>
          <w:tcPr>
            <w:tcW w:w="60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2021</w:t>
            </w:r>
          </w:p>
        </w:tc>
        <w:tc>
          <w:tcPr>
            <w:tcW w:w="104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994,246</w:t>
            </w:r>
          </w:p>
        </w:tc>
        <w:tc>
          <w:tcPr>
            <w:tcW w:w="72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0</w:t>
            </w:r>
          </w:p>
        </w:tc>
        <w:tc>
          <w:tcPr>
            <w:tcW w:w="1160" w:type="dxa"/>
            <w:vAlign w:val="bottom"/>
            <w:shd w:val="clear" w:color="auto" w:fill="CCE2F1"/>
          </w:tcPr>
          <w:p>
            <w:pPr>
              <w:jc w:val="right"/>
              <w:ind w:right="159"/>
              <w:spacing w:after="0"/>
              <w:rPr>
                <w:sz w:val="20"/>
                <w:szCs w:val="20"/>
                <w:color w:val="auto"/>
              </w:rPr>
            </w:pPr>
            <w:r>
              <w:rPr>
                <w:rFonts w:ascii="Arial" w:cs="Arial" w:eastAsia="Arial" w:hAnsi="Arial"/>
                <w:sz w:val="16"/>
                <w:szCs w:val="16"/>
                <w:color w:val="auto"/>
              </w:rPr>
              <w:t>3,324,824</w:t>
            </w:r>
          </w:p>
        </w:tc>
        <w:tc>
          <w:tcPr>
            <w:tcW w:w="106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1,424,988</w:t>
            </w:r>
          </w:p>
        </w:tc>
        <w:tc>
          <w:tcPr>
            <w:tcW w:w="138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1,354,000</w:t>
            </w:r>
          </w:p>
        </w:tc>
        <w:tc>
          <w:tcPr>
            <w:tcW w:w="1460" w:type="dxa"/>
            <w:vAlign w:val="bottom"/>
            <w:shd w:val="clear" w:color="auto" w:fill="CCE2F1"/>
          </w:tcPr>
          <w:p>
            <w:pPr>
              <w:jc w:val="right"/>
              <w:ind w:right="159"/>
              <w:spacing w:after="0"/>
              <w:rPr>
                <w:sz w:val="20"/>
                <w:szCs w:val="20"/>
                <w:color w:val="auto"/>
              </w:rPr>
            </w:pPr>
            <w:r>
              <w:rPr>
                <w:rFonts w:ascii="Arial" w:cs="Arial" w:eastAsia="Arial" w:hAnsi="Arial"/>
                <w:sz w:val="16"/>
                <w:szCs w:val="16"/>
                <w:color w:val="auto"/>
              </w:rPr>
              <w:t>264,575</w:t>
            </w:r>
          </w:p>
        </w:tc>
        <w:tc>
          <w:tcPr>
            <w:tcW w:w="1020" w:type="dxa"/>
            <w:vAlign w:val="bottom"/>
            <w:shd w:val="clear" w:color="auto" w:fill="CCE2F1"/>
          </w:tcPr>
          <w:p>
            <w:pPr>
              <w:jc w:val="right"/>
              <w:spacing w:after="0"/>
              <w:rPr>
                <w:sz w:val="20"/>
                <w:szCs w:val="20"/>
                <w:color w:val="auto"/>
              </w:rPr>
            </w:pPr>
            <w:r>
              <w:rPr>
                <w:rFonts w:ascii="Arial" w:cs="Arial" w:eastAsia="Arial" w:hAnsi="Arial"/>
                <w:sz w:val="16"/>
                <w:szCs w:val="16"/>
                <w:color w:val="auto"/>
              </w:rPr>
              <w:t>7,362,633</w:t>
            </w:r>
          </w:p>
        </w:tc>
      </w:tr>
      <w:tr>
        <w:trPr>
          <w:trHeight w:val="208"/>
        </w:trPr>
        <w:tc>
          <w:tcPr>
            <w:tcW w:w="2580" w:type="dxa"/>
            <w:vAlign w:val="bottom"/>
            <w:tcBorders>
              <w:bottom w:val="single" w:sz="8" w:color="0171B9"/>
            </w:tcBorders>
            <w:shd w:val="clear" w:color="auto" w:fill="CCE2F1"/>
          </w:tcPr>
          <w:p>
            <w:pPr>
              <w:ind w:left="240"/>
              <w:spacing w:after="0"/>
              <w:rPr>
                <w:sz w:val="20"/>
                <w:szCs w:val="20"/>
                <w:color w:val="auto"/>
              </w:rPr>
            </w:pPr>
            <w:r>
              <w:rPr>
                <w:rFonts w:ascii="Arial" w:cs="Arial" w:eastAsia="Arial" w:hAnsi="Arial"/>
                <w:sz w:val="16"/>
                <w:szCs w:val="16"/>
                <w:color w:val="auto"/>
              </w:rPr>
              <w:t>Operations</w:t>
            </w:r>
          </w:p>
        </w:tc>
        <w:tc>
          <w:tcPr>
            <w:tcW w:w="600" w:type="dxa"/>
            <w:vAlign w:val="bottom"/>
            <w:tcBorders>
              <w:bottom w:val="single" w:sz="8" w:color="0171B9"/>
            </w:tcBorders>
            <w:shd w:val="clear" w:color="auto" w:fill="CCE2F1"/>
          </w:tcPr>
          <w:p>
            <w:pPr>
              <w:jc w:val="right"/>
              <w:ind w:right="39"/>
              <w:spacing w:after="0"/>
              <w:rPr>
                <w:sz w:val="20"/>
                <w:szCs w:val="20"/>
                <w:color w:val="auto"/>
              </w:rPr>
            </w:pPr>
            <w:r>
              <w:rPr>
                <w:rFonts w:ascii="Arial" w:cs="Arial" w:eastAsia="Arial" w:hAnsi="Arial"/>
                <w:sz w:val="16"/>
                <w:szCs w:val="16"/>
                <w:color w:val="auto"/>
              </w:rPr>
              <w:t>2020</w:t>
            </w:r>
          </w:p>
        </w:tc>
        <w:tc>
          <w:tcPr>
            <w:tcW w:w="1040" w:type="dxa"/>
            <w:vAlign w:val="bottom"/>
            <w:tcBorders>
              <w:bottom w:val="single" w:sz="8" w:color="0171B9"/>
            </w:tcBorders>
            <w:shd w:val="clear" w:color="auto" w:fill="CCE2F1"/>
          </w:tcPr>
          <w:p>
            <w:pPr>
              <w:jc w:val="right"/>
              <w:ind w:right="139"/>
              <w:spacing w:after="0"/>
              <w:rPr>
                <w:sz w:val="20"/>
                <w:szCs w:val="20"/>
                <w:color w:val="auto"/>
              </w:rPr>
            </w:pPr>
            <w:r>
              <w:rPr>
                <w:rFonts w:ascii="Arial" w:cs="Arial" w:eastAsia="Arial" w:hAnsi="Arial"/>
                <w:sz w:val="16"/>
                <w:szCs w:val="16"/>
                <w:color w:val="auto"/>
              </w:rPr>
              <w:t>978,446</w:t>
            </w:r>
          </w:p>
        </w:tc>
        <w:tc>
          <w:tcPr>
            <w:tcW w:w="720" w:type="dxa"/>
            <w:vAlign w:val="bottom"/>
            <w:tcBorders>
              <w:bottom w:val="single" w:sz="8" w:color="0171B9"/>
            </w:tcBorders>
            <w:shd w:val="clear" w:color="auto" w:fill="CCE2F1"/>
          </w:tcPr>
          <w:p>
            <w:pPr>
              <w:jc w:val="right"/>
              <w:ind w:right="39"/>
              <w:spacing w:after="0"/>
              <w:rPr>
                <w:sz w:val="20"/>
                <w:szCs w:val="20"/>
                <w:color w:val="auto"/>
              </w:rPr>
            </w:pPr>
            <w:r>
              <w:rPr>
                <w:rFonts w:ascii="Arial" w:cs="Arial" w:eastAsia="Arial" w:hAnsi="Arial"/>
                <w:sz w:val="16"/>
                <w:szCs w:val="16"/>
                <w:color w:val="auto"/>
              </w:rPr>
              <w:t>0</w:t>
            </w:r>
          </w:p>
        </w:tc>
        <w:tc>
          <w:tcPr>
            <w:tcW w:w="1160" w:type="dxa"/>
            <w:vAlign w:val="bottom"/>
            <w:tcBorders>
              <w:bottom w:val="single" w:sz="8" w:color="0171B9"/>
            </w:tcBorders>
            <w:shd w:val="clear" w:color="auto" w:fill="CCE2F1"/>
          </w:tcPr>
          <w:p>
            <w:pPr>
              <w:jc w:val="right"/>
              <w:ind w:right="159"/>
              <w:spacing w:after="0"/>
              <w:rPr>
                <w:sz w:val="20"/>
                <w:szCs w:val="20"/>
                <w:color w:val="auto"/>
              </w:rPr>
            </w:pPr>
            <w:r>
              <w:rPr>
                <w:rFonts w:ascii="Arial" w:cs="Arial" w:eastAsia="Arial" w:hAnsi="Arial"/>
                <w:sz w:val="16"/>
                <w:szCs w:val="16"/>
                <w:color w:val="auto"/>
              </w:rPr>
              <w:t>2,799,625</w:t>
            </w:r>
          </w:p>
        </w:tc>
        <w:tc>
          <w:tcPr>
            <w:tcW w:w="1060" w:type="dxa"/>
            <w:vAlign w:val="bottom"/>
            <w:tcBorders>
              <w:bottom w:val="single" w:sz="8" w:color="0171B9"/>
            </w:tcBorders>
            <w:shd w:val="clear" w:color="auto" w:fill="CCE2F1"/>
          </w:tcPr>
          <w:p>
            <w:pPr>
              <w:jc w:val="right"/>
              <w:ind w:right="139"/>
              <w:spacing w:after="0"/>
              <w:rPr>
                <w:sz w:val="20"/>
                <w:szCs w:val="20"/>
                <w:color w:val="auto"/>
              </w:rPr>
            </w:pPr>
            <w:r>
              <w:rPr>
                <w:rFonts w:ascii="Arial" w:cs="Arial" w:eastAsia="Arial" w:hAnsi="Arial"/>
                <w:sz w:val="16"/>
                <w:szCs w:val="16"/>
                <w:color w:val="auto"/>
              </w:rPr>
              <w:t>1,199,958</w:t>
            </w:r>
          </w:p>
        </w:tc>
        <w:tc>
          <w:tcPr>
            <w:tcW w:w="1380" w:type="dxa"/>
            <w:vAlign w:val="bottom"/>
            <w:tcBorders>
              <w:bottom w:val="single" w:sz="8" w:color="0171B9"/>
            </w:tcBorders>
            <w:shd w:val="clear" w:color="auto" w:fill="CCE2F1"/>
          </w:tcPr>
          <w:p>
            <w:pPr>
              <w:jc w:val="right"/>
              <w:ind w:right="139"/>
              <w:spacing w:after="0"/>
              <w:rPr>
                <w:sz w:val="20"/>
                <w:szCs w:val="20"/>
                <w:color w:val="auto"/>
              </w:rPr>
            </w:pPr>
            <w:r>
              <w:rPr>
                <w:rFonts w:ascii="Arial" w:cs="Arial" w:eastAsia="Arial" w:hAnsi="Arial"/>
                <w:sz w:val="16"/>
                <w:szCs w:val="16"/>
                <w:color w:val="auto"/>
              </w:rPr>
              <w:t>1,384,000</w:t>
            </w:r>
          </w:p>
        </w:tc>
        <w:tc>
          <w:tcPr>
            <w:tcW w:w="1460" w:type="dxa"/>
            <w:vAlign w:val="bottom"/>
            <w:tcBorders>
              <w:bottom w:val="single" w:sz="8" w:color="0171B9"/>
            </w:tcBorders>
            <w:shd w:val="clear" w:color="auto" w:fill="CCE2F1"/>
          </w:tcPr>
          <w:p>
            <w:pPr>
              <w:jc w:val="right"/>
              <w:ind w:right="159"/>
              <w:spacing w:after="0"/>
              <w:rPr>
                <w:sz w:val="20"/>
                <w:szCs w:val="20"/>
                <w:color w:val="auto"/>
              </w:rPr>
            </w:pPr>
            <w:r>
              <w:rPr>
                <w:rFonts w:ascii="Arial" w:cs="Arial" w:eastAsia="Arial" w:hAnsi="Arial"/>
                <w:sz w:val="16"/>
                <w:szCs w:val="16"/>
                <w:color w:val="auto"/>
              </w:rPr>
              <w:t>229,624</w:t>
            </w:r>
          </w:p>
        </w:tc>
        <w:tc>
          <w:tcPr>
            <w:tcW w:w="1020" w:type="dxa"/>
            <w:vAlign w:val="bottom"/>
            <w:tcBorders>
              <w:bottom w:val="single" w:sz="8" w:color="0171B9"/>
            </w:tcBorders>
            <w:shd w:val="clear" w:color="auto" w:fill="CCE2F1"/>
          </w:tcPr>
          <w:p>
            <w:pPr>
              <w:jc w:val="right"/>
              <w:spacing w:after="0"/>
              <w:rPr>
                <w:sz w:val="20"/>
                <w:szCs w:val="20"/>
                <w:color w:val="auto"/>
              </w:rPr>
            </w:pPr>
            <w:r>
              <w:rPr>
                <w:rFonts w:ascii="Arial" w:cs="Arial" w:eastAsia="Arial" w:hAnsi="Arial"/>
                <w:sz w:val="16"/>
                <w:szCs w:val="16"/>
                <w:color w:val="auto"/>
              </w:rPr>
              <w:t>6,591,653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-2022475</wp:posOffset>
            </wp:positionV>
            <wp:extent cx="699516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6" w:lineRule="exact"/>
        <w:rPr>
          <w:sz w:val="20"/>
          <w:szCs w:val="20"/>
          <w:color w:val="auto"/>
        </w:rPr>
      </w:pPr>
    </w:p>
    <w:p>
      <w:pPr>
        <w:jc w:val="both"/>
        <w:ind w:left="540" w:hanging="424"/>
        <w:spacing w:after="0" w:line="211" w:lineRule="auto"/>
        <w:tabs>
          <w:tab w:leader="none" w:pos="540" w:val="left"/>
        </w:tabs>
        <w:numPr>
          <w:ilvl w:val="0"/>
          <w:numId w:val="106"/>
        </w:numPr>
        <w:rPr>
          <w:rFonts w:ascii="Arial" w:cs="Arial" w:eastAsia="Arial" w:hAnsi="Arial"/>
          <w:sz w:val="22"/>
          <w:szCs w:val="22"/>
          <w:color w:val="auto"/>
          <w:vertAlign w:val="superscript"/>
        </w:rPr>
      </w:pPr>
      <w:r>
        <w:rPr>
          <w:rFonts w:ascii="Arial" w:cs="Arial" w:eastAsia="Arial" w:hAnsi="Arial"/>
          <w:sz w:val="14"/>
          <w:szCs w:val="14"/>
          <w:color w:val="auto"/>
        </w:rPr>
        <w:t>Reflects base salary earned in each bi-weekly pay period (or portion thereof) during each fiscal year before pre-tax contributions and, therefore, includes compensation deferred under our qualified deferred compensation plan and nonqualified deferred compensation plan, or NDCP. Under payroll practices for salaried staff members of our U.S. entities, including our NEOs, base salary earned in a pay period is computed by dividing the annual base salary then in effect by 26, which is the number of full bi-weekly pay periods in a year.</w:t>
      </w:r>
    </w:p>
    <w:p>
      <w:pPr>
        <w:jc w:val="both"/>
        <w:ind w:left="540" w:right="20" w:hanging="424"/>
        <w:spacing w:after="0" w:line="207" w:lineRule="auto"/>
        <w:tabs>
          <w:tab w:leader="none" w:pos="540" w:val="left"/>
        </w:tabs>
        <w:numPr>
          <w:ilvl w:val="0"/>
          <w:numId w:val="106"/>
        </w:numPr>
        <w:rPr>
          <w:rFonts w:ascii="Arial" w:cs="Arial" w:eastAsia="Arial" w:hAnsi="Arial"/>
          <w:sz w:val="22"/>
          <w:szCs w:val="22"/>
          <w:color w:val="auto"/>
          <w:vertAlign w:val="superscript"/>
        </w:rPr>
      </w:pPr>
      <w:r>
        <w:rPr>
          <w:rFonts w:ascii="Arial" w:cs="Arial" w:eastAsia="Arial" w:hAnsi="Arial"/>
          <w:sz w:val="14"/>
          <w:szCs w:val="14"/>
          <w:color w:val="auto"/>
        </w:rPr>
        <w:t>For 2022, reflects the grant date fair values of performance units for the 2022-2024 performance period and restricted stock units, or RSUs, granted during 2022 determined in accordance with Accounting Standards Codification, or ASC, Topic 718 (see footnotes 6 and 7 to the “Grants of Plan-Based Awards” table for information on how these amounts were determined).</w:t>
      </w:r>
    </w:p>
    <w:p>
      <w:pPr>
        <w:spacing w:after="0" w:line="117" w:lineRule="exact"/>
        <w:rPr>
          <w:sz w:val="20"/>
          <w:szCs w:val="20"/>
          <w:color w:val="auto"/>
        </w:r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7760"/>
        <w:spacing w:after="0"/>
        <w:rPr>
          <w:sz w:val="20"/>
          <w:szCs w:val="20"/>
          <w:color w:val="auto"/>
        </w:rPr>
      </w:pPr>
      <w:r>
        <w:rPr>
          <w:rFonts w:ascii="Arial" w:cs="Arial" w:eastAsia="Arial" w:hAnsi="Arial"/>
          <w:sz w:val="22"/>
          <w:szCs w:val="22"/>
          <w:b w:val="1"/>
          <w:bCs w:val="1"/>
          <w:color w:val="FFFFFF"/>
          <w:shd w:val="clear" w:color="auto" w:fill="0171B9"/>
        </w:rPr>
        <w:t>Executive Compensation Tables</w:t>
      </w:r>
    </w:p>
    <w:p>
      <w:pPr>
        <w:spacing w:after="0" w:line="378" w:lineRule="exact"/>
        <w:rPr>
          <w:sz w:val="20"/>
          <w:szCs w:val="20"/>
          <w:color w:val="auto"/>
        </w:rPr>
      </w:pPr>
    </w:p>
    <w:p>
      <w:pPr>
        <w:jc w:val="both"/>
        <w:ind w:left="540" w:right="20"/>
        <w:spacing w:after="0" w:line="243" w:lineRule="auto"/>
        <w:rPr>
          <w:sz w:val="20"/>
          <w:szCs w:val="20"/>
          <w:color w:val="auto"/>
        </w:rPr>
      </w:pPr>
      <w:r>
        <w:rPr>
          <w:rFonts w:ascii="Arial" w:cs="Arial" w:eastAsia="Arial" w:hAnsi="Arial"/>
          <w:sz w:val="14"/>
          <w:szCs w:val="14"/>
          <w:color w:val="auto"/>
        </w:rPr>
        <w:t>The number of units to be earned for the performance units granted during 2022 is based on the average of our performance against annual operating performance measures established at the commencement of the three year performance period, with the payout on such measures modified up or down by our total shareholder return, or TSR, relative to the TSRs of the companies in the Standard &amp; Poor’s 500 Index, or S&amp;P 500, all computed over the performance period. These operating performance measures are performance conditions, as defined under ASC 718, while the relative TSR measure is a market condition under ASC 718. The values shown in the “Grants of Plan-Based Awards” table are based on probable outcomes of these performance conditions as of the grant date, and target performance of the TSR market condition. The table below shows the grant date fair values under ASC 718 of these performance unit awards: (1) if the maximum is achieved with regard to all of the operating performance measures which would result in an earnout of 170% based on the operating performance measures with the TSR market condition at target, with no increase or decrease based on the market condition; and (2) if the maximum is achieved with regard to all of the operating performance measures and maximum performance occurs under the TSR market condition which results in an additional 30% earnout, for total earned payout of 200% of performance 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248285</wp:posOffset>
            </wp:positionV>
            <wp:extent cx="6711950" cy="1974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711950" cy="197485"/>
                    </a:xfrm>
                    <a:prstGeom prst="rect">
                      <a:avLst/>
                    </a:prstGeom>
                    <a:noFill/>
                  </pic:spPr>
                </pic:pic>
              </a:graphicData>
            </a:graphic>
          </wp:anchor>
        </w:drawing>
      </w:r>
    </w:p>
    <w:p>
      <w:pPr>
        <w:spacing w:after="0" w:line="380"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FFFFFF"/>
        </w:rPr>
        <w:t>Fair Value of Performance Units for the 2022-2024 Performance Period</w:t>
      </w:r>
    </w:p>
    <w:p>
      <w:pPr>
        <w:spacing w:after="0" w:line="64" w:lineRule="exact"/>
        <w:rPr>
          <w:sz w:val="20"/>
          <w:szCs w:val="20"/>
          <w:color w:val="auto"/>
        </w:rPr>
      </w:pPr>
    </w:p>
    <w:tbl>
      <w:tblPr>
        <w:tblLayout w:type="fixed"/>
        <w:tblInd w:w="560" w:type="dxa"/>
        <w:tblCellMar>
          <w:top w:w="0" w:type="dxa"/>
          <w:left w:w="0" w:type="dxa"/>
          <w:bottom w:w="0" w:type="dxa"/>
          <w:right w:w="0" w:type="dxa"/>
        </w:tblCellMar>
      </w:tblPr>
      <w:tr>
        <w:trPr>
          <w:trHeight w:val="54"/>
        </w:trPr>
        <w:tc>
          <w:tcPr>
            <w:tcW w:w="3100" w:type="dxa"/>
            <w:vAlign w:val="bottom"/>
            <w:shd w:val="clear" w:color="auto" w:fill="0171B9"/>
          </w:tcPr>
          <w:p>
            <w:pPr>
              <w:spacing w:after="0"/>
              <w:rPr>
                <w:sz w:val="4"/>
                <w:szCs w:val="4"/>
                <w:color w:val="auto"/>
              </w:rPr>
            </w:pPr>
          </w:p>
        </w:tc>
        <w:tc>
          <w:tcPr>
            <w:tcW w:w="3760" w:type="dxa"/>
            <w:vAlign w:val="bottom"/>
          </w:tcPr>
          <w:p>
            <w:pPr>
              <w:spacing w:after="0"/>
              <w:rPr>
                <w:sz w:val="4"/>
                <w:szCs w:val="4"/>
                <w:color w:val="auto"/>
              </w:rPr>
            </w:pPr>
          </w:p>
        </w:tc>
        <w:tc>
          <w:tcPr>
            <w:tcW w:w="3720" w:type="dxa"/>
            <w:vAlign w:val="bottom"/>
          </w:tcPr>
          <w:p>
            <w:pPr>
              <w:spacing w:after="0"/>
              <w:rPr>
                <w:sz w:val="4"/>
                <w:szCs w:val="4"/>
                <w:color w:val="auto"/>
              </w:rPr>
            </w:pPr>
          </w:p>
        </w:tc>
      </w:tr>
      <w:tr>
        <w:trPr>
          <w:trHeight w:val="171"/>
        </w:trPr>
        <w:tc>
          <w:tcPr>
            <w:tcW w:w="3100" w:type="dxa"/>
            <w:vAlign w:val="bottom"/>
            <w:shd w:val="clear" w:color="auto" w:fill="0171B9"/>
          </w:tcPr>
          <w:p>
            <w:pPr>
              <w:spacing w:after="0"/>
              <w:rPr>
                <w:sz w:val="14"/>
                <w:szCs w:val="14"/>
                <w:color w:val="auto"/>
              </w:rPr>
            </w:pPr>
          </w:p>
        </w:tc>
        <w:tc>
          <w:tcPr>
            <w:tcW w:w="3760" w:type="dxa"/>
            <w:vAlign w:val="bottom"/>
            <w:shd w:val="clear" w:color="auto" w:fill="0171B9"/>
          </w:tcPr>
          <w:p>
            <w:pPr>
              <w:jc w:val="right"/>
              <w:ind w:right="99"/>
              <w:spacing w:after="0" w:line="171" w:lineRule="exact"/>
              <w:rPr>
                <w:sz w:val="20"/>
                <w:szCs w:val="20"/>
                <w:color w:val="auto"/>
              </w:rPr>
            </w:pPr>
            <w:r>
              <w:rPr>
                <w:rFonts w:ascii="Arial" w:cs="Arial" w:eastAsia="Arial" w:hAnsi="Arial"/>
                <w:sz w:val="16"/>
                <w:szCs w:val="16"/>
                <w:b w:val="1"/>
                <w:bCs w:val="1"/>
                <w:color w:val="FFFFFF"/>
              </w:rPr>
              <w:t>Maximum Performance of Operating Metrics</w:t>
            </w:r>
          </w:p>
        </w:tc>
        <w:tc>
          <w:tcPr>
            <w:tcW w:w="3720" w:type="dxa"/>
            <w:vAlign w:val="bottom"/>
            <w:shd w:val="clear" w:color="auto" w:fill="0171B9"/>
          </w:tcPr>
          <w:p>
            <w:pPr>
              <w:jc w:val="right"/>
              <w:ind w:right="79"/>
              <w:spacing w:after="0" w:line="171" w:lineRule="exact"/>
              <w:rPr>
                <w:sz w:val="20"/>
                <w:szCs w:val="20"/>
                <w:color w:val="auto"/>
              </w:rPr>
            </w:pPr>
            <w:r>
              <w:rPr>
                <w:rFonts w:ascii="Arial" w:cs="Arial" w:eastAsia="Arial" w:hAnsi="Arial"/>
                <w:sz w:val="16"/>
                <w:szCs w:val="16"/>
                <w:b w:val="1"/>
                <w:bCs w:val="1"/>
                <w:color w:val="FFFFFF"/>
              </w:rPr>
              <w:t>Maximum Performance of Operating Metrics</w:t>
            </w:r>
          </w:p>
        </w:tc>
      </w:tr>
      <w:tr>
        <w:trPr>
          <w:trHeight w:val="255"/>
        </w:trPr>
        <w:tc>
          <w:tcPr>
            <w:tcW w:w="3100" w:type="dxa"/>
            <w:vAlign w:val="bottom"/>
            <w:tcBorders>
              <w:bottom w:val="single" w:sz="8" w:color="0171B9"/>
            </w:tcBorders>
            <w:shd w:val="clear" w:color="auto" w:fill="0171B9"/>
          </w:tcPr>
          <w:p>
            <w:pPr>
              <w:ind w:left="100"/>
              <w:spacing w:after="0"/>
              <w:rPr>
                <w:sz w:val="20"/>
                <w:szCs w:val="20"/>
                <w:color w:val="auto"/>
              </w:rPr>
            </w:pPr>
            <w:r>
              <w:rPr>
                <w:rFonts w:ascii="Arial" w:cs="Arial" w:eastAsia="Arial" w:hAnsi="Arial"/>
                <w:sz w:val="16"/>
                <w:szCs w:val="16"/>
                <w:b w:val="1"/>
                <w:bCs w:val="1"/>
                <w:color w:val="FFFFFF"/>
              </w:rPr>
              <w:t>Name</w:t>
            </w:r>
          </w:p>
        </w:tc>
        <w:tc>
          <w:tcPr>
            <w:tcW w:w="3760" w:type="dxa"/>
            <w:vAlign w:val="bottom"/>
            <w:tcBorders>
              <w:bottom w:val="single" w:sz="8" w:color="0171B9"/>
            </w:tcBorders>
            <w:shd w:val="clear" w:color="auto" w:fill="0171B9"/>
          </w:tcPr>
          <w:p>
            <w:pPr>
              <w:jc w:val="right"/>
              <w:ind w:right="99"/>
              <w:spacing w:after="0"/>
              <w:rPr>
                <w:sz w:val="20"/>
                <w:szCs w:val="20"/>
                <w:color w:val="auto"/>
              </w:rPr>
            </w:pPr>
            <w:r>
              <w:rPr>
                <w:rFonts w:ascii="Arial" w:cs="Arial" w:eastAsia="Arial" w:hAnsi="Arial"/>
                <w:sz w:val="16"/>
                <w:szCs w:val="16"/>
                <w:b w:val="1"/>
                <w:bCs w:val="1"/>
                <w:color w:val="FFFFFF"/>
              </w:rPr>
              <w:t>and Target TSR Performance ($)</w:t>
            </w:r>
          </w:p>
        </w:tc>
        <w:tc>
          <w:tcPr>
            <w:tcW w:w="3720" w:type="dxa"/>
            <w:vAlign w:val="bottom"/>
            <w:tcBorders>
              <w:bottom w:val="single" w:sz="8" w:color="0171B9"/>
            </w:tcBorders>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and TSR Metrics ($)</w:t>
            </w:r>
          </w:p>
        </w:tc>
      </w:tr>
      <w:tr>
        <w:trPr>
          <w:trHeight w:val="264"/>
        </w:trPr>
        <w:tc>
          <w:tcPr>
            <w:tcW w:w="310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Robert A. Bradway</w:t>
            </w:r>
          </w:p>
        </w:tc>
        <w:tc>
          <w:tcPr>
            <w:tcW w:w="3760" w:type="dxa"/>
            <w:vAlign w:val="bottom"/>
            <w:tcBorders>
              <w:bottom w:val="single" w:sz="8" w:color="CCE2F1"/>
            </w:tcBorders>
            <w:shd w:val="clear" w:color="auto" w:fill="CCE2F1"/>
          </w:tcPr>
          <w:p>
            <w:pPr>
              <w:jc w:val="right"/>
              <w:ind w:right="99"/>
              <w:spacing w:after="0"/>
              <w:rPr>
                <w:sz w:val="20"/>
                <w:szCs w:val="20"/>
                <w:color w:val="auto"/>
              </w:rPr>
            </w:pPr>
            <w:r>
              <w:rPr>
                <w:rFonts w:ascii="Arial" w:cs="Arial" w:eastAsia="Arial" w:hAnsi="Arial"/>
                <w:sz w:val="16"/>
                <w:szCs w:val="16"/>
                <w:color w:val="auto"/>
              </w:rPr>
              <w:t>13,525,524</w:t>
            </w:r>
          </w:p>
        </w:tc>
        <w:tc>
          <w:tcPr>
            <w:tcW w:w="372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15,912,469</w:t>
            </w:r>
          </w:p>
        </w:tc>
      </w:tr>
      <w:tr>
        <w:trPr>
          <w:trHeight w:val="237"/>
        </w:trPr>
        <w:tc>
          <w:tcPr>
            <w:tcW w:w="3100" w:type="dxa"/>
            <w:vAlign w:val="bottom"/>
          </w:tcPr>
          <w:p>
            <w:pPr>
              <w:ind w:left="100"/>
              <w:spacing w:after="0"/>
              <w:rPr>
                <w:sz w:val="20"/>
                <w:szCs w:val="20"/>
                <w:color w:val="auto"/>
              </w:rPr>
            </w:pPr>
            <w:r>
              <w:rPr>
                <w:rFonts w:ascii="Arial" w:cs="Arial" w:eastAsia="Arial" w:hAnsi="Arial"/>
                <w:sz w:val="16"/>
                <w:szCs w:val="16"/>
                <w:color w:val="auto"/>
              </w:rPr>
              <w:t>Murdo Gordon</w:t>
            </w:r>
          </w:p>
        </w:tc>
        <w:tc>
          <w:tcPr>
            <w:tcW w:w="3760" w:type="dxa"/>
            <w:vAlign w:val="bottom"/>
          </w:tcPr>
          <w:p>
            <w:pPr>
              <w:jc w:val="right"/>
              <w:ind w:right="99"/>
              <w:spacing w:after="0"/>
              <w:rPr>
                <w:sz w:val="20"/>
                <w:szCs w:val="20"/>
                <w:color w:val="auto"/>
              </w:rPr>
            </w:pPr>
            <w:r>
              <w:rPr>
                <w:rFonts w:ascii="Arial" w:cs="Arial" w:eastAsia="Arial" w:hAnsi="Arial"/>
                <w:sz w:val="16"/>
                <w:szCs w:val="16"/>
                <w:color w:val="auto"/>
              </w:rPr>
              <w:t>4,249,479</w:t>
            </w:r>
          </w:p>
        </w:tc>
        <w:tc>
          <w:tcPr>
            <w:tcW w:w="3720" w:type="dxa"/>
            <w:vAlign w:val="bottom"/>
          </w:tcPr>
          <w:p>
            <w:pPr>
              <w:jc w:val="right"/>
              <w:ind w:right="79"/>
              <w:spacing w:after="0"/>
              <w:rPr>
                <w:sz w:val="20"/>
                <w:szCs w:val="20"/>
                <w:color w:val="auto"/>
              </w:rPr>
            </w:pPr>
            <w:r>
              <w:rPr>
                <w:rFonts w:ascii="Arial" w:cs="Arial" w:eastAsia="Arial" w:hAnsi="Arial"/>
                <w:sz w:val="16"/>
                <w:szCs w:val="16"/>
                <w:color w:val="auto"/>
              </w:rPr>
              <w:t>4,999,591</w:t>
            </w:r>
          </w:p>
        </w:tc>
      </w:tr>
      <w:tr>
        <w:trPr>
          <w:trHeight w:val="33"/>
        </w:trPr>
        <w:tc>
          <w:tcPr>
            <w:tcW w:w="3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310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David M. Reese</w:t>
            </w:r>
          </w:p>
        </w:tc>
        <w:tc>
          <w:tcPr>
            <w:tcW w:w="3760" w:type="dxa"/>
            <w:vAlign w:val="bottom"/>
            <w:tcBorders>
              <w:bottom w:val="single" w:sz="8" w:color="CCE2F1"/>
            </w:tcBorders>
            <w:shd w:val="clear" w:color="auto" w:fill="CCE2F1"/>
          </w:tcPr>
          <w:p>
            <w:pPr>
              <w:jc w:val="right"/>
              <w:ind w:right="99"/>
              <w:spacing w:after="0"/>
              <w:rPr>
                <w:sz w:val="20"/>
                <w:szCs w:val="20"/>
                <w:color w:val="auto"/>
              </w:rPr>
            </w:pPr>
            <w:r>
              <w:rPr>
                <w:rFonts w:ascii="Arial" w:cs="Arial" w:eastAsia="Arial" w:hAnsi="Arial"/>
                <w:sz w:val="16"/>
                <w:szCs w:val="16"/>
                <w:color w:val="auto"/>
              </w:rPr>
              <w:t>3,824,556</w:t>
            </w:r>
          </w:p>
        </w:tc>
        <w:tc>
          <w:tcPr>
            <w:tcW w:w="372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4,499,681</w:t>
            </w:r>
          </w:p>
        </w:tc>
      </w:tr>
      <w:tr>
        <w:trPr>
          <w:trHeight w:val="237"/>
        </w:trPr>
        <w:tc>
          <w:tcPr>
            <w:tcW w:w="3100" w:type="dxa"/>
            <w:vAlign w:val="bottom"/>
          </w:tcPr>
          <w:p>
            <w:pPr>
              <w:ind w:left="100"/>
              <w:spacing w:after="0"/>
              <w:rPr>
                <w:sz w:val="20"/>
                <w:szCs w:val="20"/>
                <w:color w:val="auto"/>
              </w:rPr>
            </w:pPr>
            <w:r>
              <w:rPr>
                <w:rFonts w:ascii="Arial" w:cs="Arial" w:eastAsia="Arial" w:hAnsi="Arial"/>
                <w:sz w:val="16"/>
                <w:szCs w:val="16"/>
                <w:color w:val="auto"/>
              </w:rPr>
              <w:t>Peter H. Griffith</w:t>
            </w:r>
          </w:p>
        </w:tc>
        <w:tc>
          <w:tcPr>
            <w:tcW w:w="3760" w:type="dxa"/>
            <w:vAlign w:val="bottom"/>
          </w:tcPr>
          <w:p>
            <w:pPr>
              <w:jc w:val="right"/>
              <w:ind w:right="99"/>
              <w:spacing w:after="0"/>
              <w:rPr>
                <w:sz w:val="20"/>
                <w:szCs w:val="20"/>
                <w:color w:val="auto"/>
              </w:rPr>
            </w:pPr>
            <w:r>
              <w:rPr>
                <w:rFonts w:ascii="Arial" w:cs="Arial" w:eastAsia="Arial" w:hAnsi="Arial"/>
                <w:sz w:val="16"/>
                <w:szCs w:val="16"/>
                <w:color w:val="auto"/>
              </w:rPr>
              <w:t>3,824,556</w:t>
            </w:r>
          </w:p>
        </w:tc>
        <w:tc>
          <w:tcPr>
            <w:tcW w:w="3720" w:type="dxa"/>
            <w:vAlign w:val="bottom"/>
          </w:tcPr>
          <w:p>
            <w:pPr>
              <w:jc w:val="right"/>
              <w:ind w:right="79"/>
              <w:spacing w:after="0"/>
              <w:rPr>
                <w:sz w:val="20"/>
                <w:szCs w:val="20"/>
                <w:color w:val="auto"/>
              </w:rPr>
            </w:pPr>
            <w:r>
              <w:rPr>
                <w:rFonts w:ascii="Arial" w:cs="Arial" w:eastAsia="Arial" w:hAnsi="Arial"/>
                <w:sz w:val="16"/>
                <w:szCs w:val="16"/>
                <w:color w:val="auto"/>
              </w:rPr>
              <w:t>4,499,681</w:t>
            </w:r>
          </w:p>
        </w:tc>
      </w:tr>
      <w:tr>
        <w:trPr>
          <w:trHeight w:val="33"/>
        </w:trPr>
        <w:tc>
          <w:tcPr>
            <w:tcW w:w="3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310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Esteban Santos</w:t>
            </w:r>
          </w:p>
        </w:tc>
        <w:tc>
          <w:tcPr>
            <w:tcW w:w="3760" w:type="dxa"/>
            <w:vAlign w:val="bottom"/>
            <w:tcBorders>
              <w:bottom w:val="single" w:sz="8" w:color="CCE2F1"/>
            </w:tcBorders>
            <w:shd w:val="clear" w:color="auto" w:fill="CCE2F1"/>
          </w:tcPr>
          <w:p>
            <w:pPr>
              <w:jc w:val="right"/>
              <w:ind w:right="99"/>
              <w:spacing w:after="0"/>
              <w:rPr>
                <w:sz w:val="20"/>
                <w:szCs w:val="20"/>
                <w:color w:val="auto"/>
              </w:rPr>
            </w:pPr>
            <w:r>
              <w:rPr>
                <w:rFonts w:ascii="Arial" w:cs="Arial" w:eastAsia="Arial" w:hAnsi="Arial"/>
                <w:sz w:val="16"/>
                <w:szCs w:val="16"/>
                <w:color w:val="auto"/>
              </w:rPr>
              <w:t>3,569,652</w:t>
            </w:r>
          </w:p>
        </w:tc>
        <w:tc>
          <w:tcPr>
            <w:tcW w:w="372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4,199,736</w:t>
            </w:r>
          </w:p>
        </w:tc>
      </w:tr>
      <w:tr>
        <w:trPr>
          <w:trHeight w:val="20"/>
        </w:trPr>
        <w:tc>
          <w:tcPr>
            <w:tcW w:w="3100" w:type="dxa"/>
            <w:vAlign w:val="bottom"/>
            <w:shd w:val="clear" w:color="auto" w:fill="0171B9"/>
          </w:tcPr>
          <w:p>
            <w:pPr>
              <w:spacing w:after="0" w:line="20" w:lineRule="exact"/>
              <w:rPr>
                <w:sz w:val="1"/>
                <w:szCs w:val="1"/>
                <w:color w:val="auto"/>
              </w:rPr>
            </w:pPr>
          </w:p>
        </w:tc>
        <w:tc>
          <w:tcPr>
            <w:tcW w:w="3760" w:type="dxa"/>
            <w:vAlign w:val="bottom"/>
            <w:shd w:val="clear" w:color="auto" w:fill="0171B9"/>
          </w:tcPr>
          <w:p>
            <w:pPr>
              <w:spacing w:after="0" w:line="20" w:lineRule="exact"/>
              <w:rPr>
                <w:sz w:val="1"/>
                <w:szCs w:val="1"/>
                <w:color w:val="auto"/>
              </w:rPr>
            </w:pPr>
          </w:p>
        </w:tc>
        <w:tc>
          <w:tcPr>
            <w:tcW w:w="3720" w:type="dxa"/>
            <w:vAlign w:val="bottom"/>
            <w:shd w:val="clear" w:color="auto" w:fill="0171B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-873760</wp:posOffset>
            </wp:positionV>
            <wp:extent cx="671195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228" w:lineRule="exact"/>
        <w:rPr>
          <w:sz w:val="20"/>
          <w:szCs w:val="20"/>
          <w:color w:val="auto"/>
        </w:rPr>
      </w:pPr>
    </w:p>
    <w:p>
      <w:pPr>
        <w:ind w:left="540" w:right="20" w:hanging="424"/>
        <w:spacing w:after="0" w:line="187" w:lineRule="auto"/>
        <w:tabs>
          <w:tab w:leader="none" w:pos="540" w:val="left"/>
        </w:tabs>
        <w:numPr>
          <w:ilvl w:val="0"/>
          <w:numId w:val="107"/>
        </w:numPr>
        <w:rPr>
          <w:rFonts w:ascii="Arial" w:cs="Arial" w:eastAsia="Arial" w:hAnsi="Arial"/>
          <w:sz w:val="22"/>
          <w:szCs w:val="22"/>
          <w:color w:val="auto"/>
          <w:vertAlign w:val="superscript"/>
        </w:rPr>
      </w:pPr>
      <w:r>
        <w:rPr>
          <w:rFonts w:ascii="Arial" w:cs="Arial" w:eastAsia="Arial" w:hAnsi="Arial"/>
          <w:sz w:val="14"/>
          <w:szCs w:val="14"/>
          <w:color w:val="auto"/>
        </w:rPr>
        <w:t>For 2022, reflects the grant date fair values of non-qualified stock options granted during 2022 determined in accordance with ASC 718 (see footnote 8 to the “Grants of Plan-Based Awards” table for information on how these amounts were determined).</w:t>
      </w:r>
    </w:p>
    <w:p>
      <w:pPr>
        <w:spacing w:after="0" w:line="1" w:lineRule="exact"/>
        <w:rPr>
          <w:rFonts w:ascii="Arial" w:cs="Arial" w:eastAsia="Arial" w:hAnsi="Arial"/>
          <w:sz w:val="22"/>
          <w:szCs w:val="22"/>
          <w:color w:val="auto"/>
          <w:vertAlign w:val="superscript"/>
        </w:rPr>
      </w:pPr>
    </w:p>
    <w:p>
      <w:pPr>
        <w:jc w:val="both"/>
        <w:ind w:left="540" w:right="20" w:hanging="424"/>
        <w:spacing w:after="0" w:line="202" w:lineRule="auto"/>
        <w:tabs>
          <w:tab w:leader="none" w:pos="540" w:val="left"/>
        </w:tabs>
        <w:numPr>
          <w:ilvl w:val="0"/>
          <w:numId w:val="107"/>
        </w:numPr>
        <w:rPr>
          <w:rFonts w:ascii="Arial" w:cs="Arial" w:eastAsia="Arial" w:hAnsi="Arial"/>
          <w:sz w:val="22"/>
          <w:szCs w:val="22"/>
          <w:color w:val="auto"/>
          <w:vertAlign w:val="superscript"/>
        </w:rPr>
      </w:pPr>
      <w:r>
        <w:rPr>
          <w:rFonts w:ascii="Arial" w:cs="Arial" w:eastAsia="Arial" w:hAnsi="Arial"/>
          <w:sz w:val="14"/>
          <w:szCs w:val="14"/>
          <w:color w:val="auto"/>
        </w:rPr>
        <w:t>Reflects amounts that were earned under our Executive Incentive Plan, or EIP, for 2022 performance which were determined and paid in March 2022 (see footnote 2 to the “Grants of Plan-Based Awards” table for information on how these amounts were determined). For a description of our EIP, see “Elements of Compensation and Specific Compensation Decisions—</w:t>
      </w:r>
      <w:r>
        <w:rPr>
          <w:rFonts w:ascii="Arial" w:cs="Arial" w:eastAsia="Arial" w:hAnsi="Arial"/>
          <w:sz w:val="14"/>
          <w:szCs w:val="14"/>
          <w:i w:val="1"/>
          <w:iCs w:val="1"/>
          <w:color w:val="auto"/>
        </w:rPr>
        <w:t>Annual Cash Incentive Awards</w:t>
      </w:r>
      <w:r>
        <w:rPr>
          <w:rFonts w:ascii="Arial" w:cs="Arial" w:eastAsia="Arial" w:hAnsi="Arial"/>
          <w:sz w:val="14"/>
          <w:szCs w:val="14"/>
          <w:color w:val="auto"/>
        </w:rPr>
        <w:t>” in our Compensation Discussion and Analysis.</w:t>
      </w:r>
    </w:p>
    <w:p>
      <w:pPr>
        <w:spacing w:after="0" w:line="2" w:lineRule="exact"/>
        <w:rPr>
          <w:rFonts w:ascii="Arial" w:cs="Arial" w:eastAsia="Arial" w:hAnsi="Arial"/>
          <w:sz w:val="22"/>
          <w:szCs w:val="22"/>
          <w:color w:val="auto"/>
          <w:vertAlign w:val="superscript"/>
        </w:rPr>
      </w:pPr>
    </w:p>
    <w:p>
      <w:pPr>
        <w:ind w:left="540" w:hanging="424"/>
        <w:spacing w:after="0" w:line="189" w:lineRule="auto"/>
        <w:tabs>
          <w:tab w:leader="none" w:pos="540" w:val="left"/>
        </w:tabs>
        <w:numPr>
          <w:ilvl w:val="0"/>
          <w:numId w:val="107"/>
        </w:numPr>
        <w:rPr>
          <w:rFonts w:ascii="Arial" w:cs="Arial" w:eastAsia="Arial" w:hAnsi="Arial"/>
          <w:sz w:val="19"/>
          <w:szCs w:val="19"/>
          <w:color w:val="auto"/>
          <w:vertAlign w:val="superscript"/>
        </w:rPr>
      </w:pPr>
      <w:r>
        <w:rPr>
          <w:rFonts w:ascii="Arial" w:cs="Arial" w:eastAsia="Arial" w:hAnsi="Arial"/>
          <w:sz w:val="13"/>
          <w:szCs w:val="13"/>
          <w:color w:val="auto"/>
        </w:rPr>
        <w:t>See the subsection “All Other Compensation—Perquisites and Other Compensation” immediately following these footnotes.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All Other Compensation—Perquisites and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1" w:lineRule="exact"/>
        <w:rPr>
          <w:sz w:val="20"/>
          <w:szCs w:val="20"/>
          <w:color w:val="auto"/>
        </w:rPr>
      </w:pPr>
    </w:p>
    <w:p>
      <w:pPr>
        <w:jc w:val="both"/>
        <w:ind w:left="120"/>
        <w:spacing w:after="0" w:line="248" w:lineRule="auto"/>
        <w:rPr>
          <w:sz w:val="20"/>
          <w:szCs w:val="20"/>
          <w:color w:val="auto"/>
        </w:rPr>
      </w:pPr>
      <w:r>
        <w:rPr>
          <w:rFonts w:ascii="Arial" w:cs="Arial" w:eastAsia="Arial" w:hAnsi="Arial"/>
          <w:sz w:val="17"/>
          <w:szCs w:val="17"/>
          <w:i w:val="1"/>
          <w:iCs w:val="1"/>
          <w:color w:val="0171B9"/>
        </w:rPr>
        <w:t xml:space="preserve">Perquisites. </w:t>
      </w:r>
      <w:r>
        <w:rPr>
          <w:rFonts w:ascii="Arial" w:cs="Arial" w:eastAsia="Arial" w:hAnsi="Arial"/>
          <w:sz w:val="17"/>
          <w:szCs w:val="17"/>
          <w:color w:val="000000"/>
        </w:rPr>
        <w:t>The amounts reported reflect the aggregate incremental cost of perquisites and other personal benefits provided to our NEOs and</w:t>
      </w:r>
      <w:r>
        <w:rPr>
          <w:rFonts w:ascii="Arial" w:cs="Arial" w:eastAsia="Arial" w:hAnsi="Arial"/>
          <w:sz w:val="17"/>
          <w:szCs w:val="17"/>
          <w:i w:val="1"/>
          <w:iCs w:val="1"/>
          <w:color w:val="0171B9"/>
        </w:rPr>
        <w:t xml:space="preserve"> </w:t>
      </w:r>
      <w:r>
        <w:rPr>
          <w:rFonts w:ascii="Arial" w:cs="Arial" w:eastAsia="Arial" w:hAnsi="Arial"/>
          <w:sz w:val="17"/>
          <w:szCs w:val="17"/>
          <w:color w:val="000000"/>
        </w:rPr>
        <w:t>are included in the “All Other Compensation” column of the “Summary Compensation Table.” The following table sets forth the perquisites provided to our NEOs in 2022.</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4360" w:type="dxa"/>
            <w:vAlign w:val="bottom"/>
            <w:shd w:val="clear" w:color="auto" w:fill="0171B9"/>
          </w:tcPr>
          <w:p>
            <w:pPr>
              <w:spacing w:after="0"/>
              <w:rPr>
                <w:sz w:val="17"/>
                <w:szCs w:val="17"/>
                <w:color w:val="auto"/>
              </w:rPr>
            </w:pPr>
          </w:p>
        </w:tc>
        <w:tc>
          <w:tcPr>
            <w:tcW w:w="1400" w:type="dxa"/>
            <w:vAlign w:val="bottom"/>
            <w:shd w:val="clear" w:color="auto" w:fill="0171B9"/>
          </w:tcPr>
          <w:p>
            <w:pPr>
              <w:spacing w:after="0"/>
              <w:rPr>
                <w:sz w:val="17"/>
                <w:szCs w:val="17"/>
                <w:color w:val="auto"/>
              </w:rPr>
            </w:pPr>
          </w:p>
        </w:tc>
        <w:tc>
          <w:tcPr>
            <w:tcW w:w="1440" w:type="dxa"/>
            <w:vAlign w:val="bottom"/>
            <w:shd w:val="clear" w:color="auto" w:fill="0171B9"/>
          </w:tcPr>
          <w:p>
            <w:pPr>
              <w:jc w:val="right"/>
              <w:ind w:right="159"/>
              <w:spacing w:after="0"/>
              <w:rPr>
                <w:sz w:val="20"/>
                <w:szCs w:val="20"/>
                <w:color w:val="auto"/>
              </w:rPr>
            </w:pPr>
            <w:r>
              <w:rPr>
                <w:rFonts w:ascii="Arial" w:cs="Arial" w:eastAsia="Arial" w:hAnsi="Arial"/>
                <w:sz w:val="16"/>
                <w:szCs w:val="16"/>
                <w:b w:val="1"/>
                <w:bCs w:val="1"/>
                <w:color w:val="FFFFFF"/>
              </w:rPr>
              <w:t>Personal Use</w:t>
            </w:r>
          </w:p>
        </w:tc>
        <w:tc>
          <w:tcPr>
            <w:tcW w:w="1340" w:type="dxa"/>
            <w:vAlign w:val="bottom"/>
            <w:shd w:val="clear" w:color="auto" w:fill="0171B9"/>
          </w:tcPr>
          <w:p>
            <w:pPr>
              <w:ind w:left="320"/>
              <w:spacing w:after="0"/>
              <w:rPr>
                <w:sz w:val="20"/>
                <w:szCs w:val="20"/>
                <w:color w:val="auto"/>
              </w:rPr>
            </w:pPr>
            <w:r>
              <w:rPr>
                <w:rFonts w:ascii="Arial" w:cs="Arial" w:eastAsia="Arial" w:hAnsi="Arial"/>
                <w:sz w:val="16"/>
                <w:szCs w:val="16"/>
                <w:b w:val="1"/>
                <w:bCs w:val="1"/>
                <w:color w:val="FFFFFF"/>
              </w:rPr>
              <w:t>Personal</w:t>
            </w:r>
          </w:p>
        </w:tc>
        <w:tc>
          <w:tcPr>
            <w:tcW w:w="1420" w:type="dxa"/>
            <w:vAlign w:val="bottom"/>
            <w:shd w:val="clear" w:color="auto" w:fill="0171B9"/>
          </w:tcPr>
          <w:p>
            <w:pPr>
              <w:spacing w:after="0"/>
              <w:rPr>
                <w:sz w:val="17"/>
                <w:szCs w:val="17"/>
                <w:color w:val="auto"/>
              </w:rPr>
            </w:pPr>
          </w:p>
        </w:tc>
        <w:tc>
          <w:tcPr>
            <w:tcW w:w="1060" w:type="dxa"/>
            <w:vAlign w:val="bottom"/>
            <w:shd w:val="clear" w:color="auto" w:fill="0171B9"/>
          </w:tcPr>
          <w:p>
            <w:pPr>
              <w:spacing w:after="0"/>
              <w:rPr>
                <w:sz w:val="17"/>
                <w:szCs w:val="17"/>
                <w:color w:val="auto"/>
              </w:rPr>
            </w:pPr>
          </w:p>
        </w:tc>
      </w:tr>
      <w:tr>
        <w:trPr>
          <w:trHeight w:val="189"/>
        </w:trPr>
        <w:tc>
          <w:tcPr>
            <w:tcW w:w="4360" w:type="dxa"/>
            <w:vAlign w:val="bottom"/>
            <w:shd w:val="clear" w:color="auto" w:fill="0171B9"/>
          </w:tcPr>
          <w:p>
            <w:pPr>
              <w:spacing w:after="0"/>
              <w:rPr>
                <w:sz w:val="16"/>
                <w:szCs w:val="16"/>
                <w:color w:val="auto"/>
              </w:rPr>
            </w:pPr>
          </w:p>
        </w:tc>
        <w:tc>
          <w:tcPr>
            <w:tcW w:w="1400" w:type="dxa"/>
            <w:vAlign w:val="bottom"/>
            <w:shd w:val="clear" w:color="auto" w:fill="0171B9"/>
          </w:tcPr>
          <w:p>
            <w:pPr>
              <w:jc w:val="right"/>
              <w:ind w:right="179"/>
              <w:spacing w:after="0"/>
              <w:rPr>
                <w:sz w:val="20"/>
                <w:szCs w:val="20"/>
                <w:color w:val="auto"/>
              </w:rPr>
            </w:pPr>
            <w:r>
              <w:rPr>
                <w:rFonts w:ascii="Arial" w:cs="Arial" w:eastAsia="Arial" w:hAnsi="Arial"/>
                <w:sz w:val="16"/>
                <w:szCs w:val="16"/>
                <w:b w:val="1"/>
                <w:bCs w:val="1"/>
                <w:color w:val="FFFFFF"/>
              </w:rPr>
              <w:t>Personal Use</w:t>
            </w:r>
          </w:p>
        </w:tc>
        <w:tc>
          <w:tcPr>
            <w:tcW w:w="1440" w:type="dxa"/>
            <w:vAlign w:val="bottom"/>
            <w:shd w:val="clear" w:color="auto" w:fill="0171B9"/>
          </w:tcPr>
          <w:p>
            <w:pPr>
              <w:jc w:val="center"/>
              <w:spacing w:after="0"/>
              <w:rPr>
                <w:sz w:val="20"/>
                <w:szCs w:val="20"/>
                <w:color w:val="auto"/>
              </w:rPr>
            </w:pPr>
            <w:r>
              <w:rPr>
                <w:rFonts w:ascii="Arial" w:cs="Arial" w:eastAsia="Arial" w:hAnsi="Arial"/>
                <w:sz w:val="16"/>
                <w:szCs w:val="16"/>
                <w:b w:val="1"/>
                <w:bCs w:val="1"/>
                <w:color w:val="FFFFFF"/>
              </w:rPr>
              <w:t>of Company</w:t>
            </w:r>
          </w:p>
        </w:tc>
        <w:tc>
          <w:tcPr>
            <w:tcW w:w="1340" w:type="dxa"/>
            <w:vAlign w:val="bottom"/>
            <w:shd w:val="clear" w:color="auto" w:fill="0171B9"/>
          </w:tcPr>
          <w:p>
            <w:pPr>
              <w:ind w:left="320"/>
              <w:spacing w:after="0"/>
              <w:rPr>
                <w:sz w:val="20"/>
                <w:szCs w:val="20"/>
                <w:color w:val="auto"/>
              </w:rPr>
            </w:pPr>
            <w:r>
              <w:rPr>
                <w:rFonts w:ascii="Arial" w:cs="Arial" w:eastAsia="Arial" w:hAnsi="Arial"/>
                <w:sz w:val="16"/>
                <w:szCs w:val="16"/>
                <w:b w:val="1"/>
                <w:bCs w:val="1"/>
                <w:color w:val="FFFFFF"/>
              </w:rPr>
              <w:t>Financial</w:t>
            </w:r>
          </w:p>
        </w:tc>
        <w:tc>
          <w:tcPr>
            <w:tcW w:w="1420" w:type="dxa"/>
            <w:vAlign w:val="bottom"/>
            <w:shd w:val="clear" w:color="auto" w:fill="0171B9"/>
          </w:tcPr>
          <w:p>
            <w:pPr>
              <w:spacing w:after="0"/>
              <w:rPr>
                <w:sz w:val="16"/>
                <w:szCs w:val="16"/>
                <w:color w:val="auto"/>
              </w:rPr>
            </w:pPr>
          </w:p>
        </w:tc>
        <w:tc>
          <w:tcPr>
            <w:tcW w:w="1060" w:type="dxa"/>
            <w:vAlign w:val="bottom"/>
            <w:shd w:val="clear" w:color="auto" w:fill="0171B9"/>
          </w:tcPr>
          <w:p>
            <w:pPr>
              <w:spacing w:after="0"/>
              <w:rPr>
                <w:sz w:val="16"/>
                <w:szCs w:val="16"/>
                <w:color w:val="auto"/>
              </w:rPr>
            </w:pPr>
          </w:p>
        </w:tc>
      </w:tr>
      <w:tr>
        <w:trPr>
          <w:trHeight w:val="189"/>
        </w:trPr>
        <w:tc>
          <w:tcPr>
            <w:tcW w:w="4360" w:type="dxa"/>
            <w:vAlign w:val="bottom"/>
            <w:shd w:val="clear" w:color="auto" w:fill="0171B9"/>
          </w:tcPr>
          <w:p>
            <w:pPr>
              <w:spacing w:after="0"/>
              <w:rPr>
                <w:sz w:val="16"/>
                <w:szCs w:val="16"/>
                <w:color w:val="auto"/>
              </w:rPr>
            </w:pPr>
          </w:p>
        </w:tc>
        <w:tc>
          <w:tcPr>
            <w:tcW w:w="1400" w:type="dxa"/>
            <w:vAlign w:val="bottom"/>
            <w:shd w:val="clear" w:color="auto" w:fill="0171B9"/>
          </w:tcPr>
          <w:p>
            <w:pPr>
              <w:jc w:val="right"/>
              <w:ind w:right="219"/>
              <w:spacing w:after="0"/>
              <w:rPr>
                <w:sz w:val="20"/>
                <w:szCs w:val="20"/>
                <w:color w:val="auto"/>
              </w:rPr>
            </w:pPr>
            <w:r>
              <w:rPr>
                <w:rFonts w:ascii="Arial" w:cs="Arial" w:eastAsia="Arial" w:hAnsi="Arial"/>
                <w:sz w:val="16"/>
                <w:szCs w:val="16"/>
                <w:b w:val="1"/>
                <w:bCs w:val="1"/>
                <w:color w:val="FFFFFF"/>
              </w:rPr>
              <w:t>of Company</w:t>
            </w:r>
          </w:p>
        </w:tc>
        <w:tc>
          <w:tcPr>
            <w:tcW w:w="1440" w:type="dxa"/>
            <w:vAlign w:val="bottom"/>
            <w:shd w:val="clear" w:color="auto" w:fill="0171B9"/>
          </w:tcPr>
          <w:p>
            <w:pPr>
              <w:jc w:val="center"/>
              <w:spacing w:after="0"/>
              <w:rPr>
                <w:sz w:val="20"/>
                <w:szCs w:val="20"/>
                <w:color w:val="auto"/>
              </w:rPr>
            </w:pPr>
            <w:r>
              <w:rPr>
                <w:rFonts w:ascii="Arial" w:cs="Arial" w:eastAsia="Arial" w:hAnsi="Arial"/>
                <w:sz w:val="16"/>
                <w:szCs w:val="16"/>
                <w:b w:val="1"/>
                <w:bCs w:val="1"/>
                <w:color w:val="FFFFFF"/>
              </w:rPr>
              <w:t>Car and</w:t>
            </w:r>
          </w:p>
        </w:tc>
        <w:tc>
          <w:tcPr>
            <w:tcW w:w="1340" w:type="dxa"/>
            <w:vAlign w:val="bottom"/>
            <w:shd w:val="clear" w:color="auto" w:fill="0171B9"/>
          </w:tcPr>
          <w:p>
            <w:pPr>
              <w:ind w:left="320"/>
              <w:spacing w:after="0"/>
              <w:rPr>
                <w:sz w:val="20"/>
                <w:szCs w:val="20"/>
                <w:color w:val="auto"/>
              </w:rPr>
            </w:pPr>
            <w:r>
              <w:rPr>
                <w:rFonts w:ascii="Arial" w:cs="Arial" w:eastAsia="Arial" w:hAnsi="Arial"/>
                <w:sz w:val="16"/>
                <w:szCs w:val="16"/>
                <w:b w:val="1"/>
                <w:bCs w:val="1"/>
                <w:color w:val="FFFFFF"/>
              </w:rPr>
              <w:t>Planning</w:t>
            </w:r>
          </w:p>
        </w:tc>
        <w:tc>
          <w:tcPr>
            <w:tcW w:w="1420" w:type="dxa"/>
            <w:vAlign w:val="bottom"/>
            <w:shd w:val="clear" w:color="auto" w:fill="0171B9"/>
          </w:tcPr>
          <w:p>
            <w:pPr>
              <w:spacing w:after="0"/>
              <w:rPr>
                <w:sz w:val="16"/>
                <w:szCs w:val="16"/>
                <w:color w:val="auto"/>
              </w:rPr>
            </w:pPr>
          </w:p>
        </w:tc>
        <w:tc>
          <w:tcPr>
            <w:tcW w:w="1060" w:type="dxa"/>
            <w:vAlign w:val="bottom"/>
            <w:shd w:val="clear" w:color="auto" w:fill="0171B9"/>
          </w:tcPr>
          <w:p>
            <w:pPr>
              <w:spacing w:after="0"/>
              <w:rPr>
                <w:sz w:val="16"/>
                <w:szCs w:val="16"/>
                <w:color w:val="auto"/>
              </w:rPr>
            </w:pPr>
          </w:p>
        </w:tc>
      </w:tr>
      <w:tr>
        <w:trPr>
          <w:trHeight w:val="207"/>
        </w:trPr>
        <w:tc>
          <w:tcPr>
            <w:tcW w:w="4360" w:type="dxa"/>
            <w:vAlign w:val="bottom"/>
            <w:shd w:val="clear" w:color="auto" w:fill="0171B9"/>
          </w:tcPr>
          <w:p>
            <w:pPr>
              <w:spacing w:after="0"/>
              <w:rPr>
                <w:sz w:val="18"/>
                <w:szCs w:val="18"/>
                <w:color w:val="auto"/>
              </w:rPr>
            </w:pPr>
          </w:p>
        </w:tc>
        <w:tc>
          <w:tcPr>
            <w:tcW w:w="1400" w:type="dxa"/>
            <w:vAlign w:val="bottom"/>
            <w:shd w:val="clear" w:color="auto" w:fill="0171B9"/>
          </w:tcPr>
          <w:p>
            <w:pPr>
              <w:jc w:val="right"/>
              <w:ind w:right="339"/>
              <w:spacing w:after="0" w:line="207" w:lineRule="exact"/>
              <w:rPr>
                <w:sz w:val="20"/>
                <w:szCs w:val="20"/>
                <w:color w:val="auto"/>
              </w:rPr>
            </w:pPr>
            <w:r>
              <w:rPr>
                <w:rFonts w:ascii="Arial" w:cs="Arial" w:eastAsia="Arial" w:hAnsi="Arial"/>
                <w:sz w:val="16"/>
                <w:szCs w:val="16"/>
                <w:b w:val="1"/>
                <w:bCs w:val="1"/>
                <w:color w:val="FFFFFF"/>
              </w:rPr>
              <w:t>Aircraft</w:t>
            </w:r>
            <w:r>
              <w:rPr>
                <w:rFonts w:ascii="Arial" w:cs="Arial" w:eastAsia="Arial" w:hAnsi="Arial"/>
                <w:sz w:val="24"/>
                <w:szCs w:val="24"/>
                <w:b w:val="1"/>
                <w:bCs w:val="1"/>
                <w:color w:val="FFFFFF"/>
                <w:vertAlign w:val="superscript"/>
              </w:rPr>
              <w:t>(1)</w:t>
            </w:r>
          </w:p>
        </w:tc>
        <w:tc>
          <w:tcPr>
            <w:tcW w:w="1440" w:type="dxa"/>
            <w:vAlign w:val="bottom"/>
            <w:shd w:val="clear" w:color="auto" w:fill="0171B9"/>
          </w:tcPr>
          <w:p>
            <w:pPr>
              <w:jc w:val="center"/>
              <w:spacing w:after="0" w:line="207" w:lineRule="exact"/>
              <w:rPr>
                <w:sz w:val="20"/>
                <w:szCs w:val="20"/>
                <w:color w:val="auto"/>
              </w:rPr>
            </w:pPr>
            <w:r>
              <w:rPr>
                <w:rFonts w:ascii="Arial" w:cs="Arial" w:eastAsia="Arial" w:hAnsi="Arial"/>
                <w:sz w:val="16"/>
                <w:szCs w:val="16"/>
                <w:b w:val="1"/>
                <w:bCs w:val="1"/>
                <w:color w:val="FFFFFF"/>
                <w:w w:val="94"/>
              </w:rPr>
              <w:t>Driver</w:t>
            </w:r>
            <w:r>
              <w:rPr>
                <w:rFonts w:ascii="Arial" w:cs="Arial" w:eastAsia="Arial" w:hAnsi="Arial"/>
                <w:sz w:val="24"/>
                <w:szCs w:val="24"/>
                <w:b w:val="1"/>
                <w:bCs w:val="1"/>
                <w:color w:val="FFFFFF"/>
                <w:w w:val="94"/>
                <w:vertAlign w:val="superscript"/>
              </w:rPr>
              <w:t>(2)</w:t>
            </w:r>
          </w:p>
        </w:tc>
        <w:tc>
          <w:tcPr>
            <w:tcW w:w="1340" w:type="dxa"/>
            <w:vAlign w:val="bottom"/>
            <w:shd w:val="clear" w:color="auto" w:fill="0171B9"/>
          </w:tcPr>
          <w:p>
            <w:pPr>
              <w:ind w:left="340"/>
              <w:spacing w:after="0"/>
              <w:rPr>
                <w:sz w:val="20"/>
                <w:szCs w:val="20"/>
                <w:color w:val="auto"/>
              </w:rPr>
            </w:pPr>
            <w:r>
              <w:rPr>
                <w:rFonts w:ascii="Arial" w:cs="Arial" w:eastAsia="Arial" w:hAnsi="Arial"/>
                <w:sz w:val="16"/>
                <w:szCs w:val="16"/>
                <w:b w:val="1"/>
                <w:bCs w:val="1"/>
                <w:color w:val="FFFFFF"/>
              </w:rPr>
              <w:t>Services</w:t>
            </w:r>
          </w:p>
        </w:tc>
        <w:tc>
          <w:tcPr>
            <w:tcW w:w="1420" w:type="dxa"/>
            <w:vAlign w:val="bottom"/>
            <w:shd w:val="clear" w:color="auto" w:fill="0171B9"/>
          </w:tcPr>
          <w:p>
            <w:pPr>
              <w:jc w:val="right"/>
              <w:ind w:right="379"/>
              <w:spacing w:after="0" w:line="207" w:lineRule="exact"/>
              <w:rPr>
                <w:sz w:val="20"/>
                <w:szCs w:val="20"/>
                <w:color w:val="auto"/>
              </w:rPr>
            </w:pPr>
            <w:r>
              <w:rPr>
                <w:rFonts w:ascii="Arial" w:cs="Arial" w:eastAsia="Arial" w:hAnsi="Arial"/>
                <w:sz w:val="16"/>
                <w:szCs w:val="16"/>
                <w:b w:val="1"/>
                <w:bCs w:val="1"/>
                <w:color w:val="FFFFFF"/>
              </w:rPr>
              <w:t>Other</w:t>
            </w:r>
            <w:r>
              <w:rPr>
                <w:rFonts w:ascii="Arial" w:cs="Arial" w:eastAsia="Arial" w:hAnsi="Arial"/>
                <w:sz w:val="24"/>
                <w:szCs w:val="24"/>
                <w:b w:val="1"/>
                <w:bCs w:val="1"/>
                <w:color w:val="FFFFFF"/>
                <w:vertAlign w:val="superscript"/>
              </w:rPr>
              <w:t>(3)</w:t>
            </w:r>
          </w:p>
        </w:tc>
        <w:tc>
          <w:tcPr>
            <w:tcW w:w="1060" w:type="dxa"/>
            <w:vAlign w:val="bottom"/>
            <w:shd w:val="clear" w:color="auto" w:fill="0171B9"/>
          </w:tcPr>
          <w:p>
            <w:pPr>
              <w:spacing w:after="0"/>
              <w:rPr>
                <w:sz w:val="18"/>
                <w:szCs w:val="18"/>
                <w:color w:val="auto"/>
              </w:rPr>
            </w:pPr>
          </w:p>
        </w:tc>
      </w:tr>
      <w:tr>
        <w:trPr>
          <w:trHeight w:val="225"/>
        </w:trPr>
        <w:tc>
          <w:tcPr>
            <w:tcW w:w="4360" w:type="dxa"/>
            <w:vAlign w:val="bottom"/>
            <w:shd w:val="clear" w:color="auto" w:fill="0171B9"/>
          </w:tcPr>
          <w:p>
            <w:pPr>
              <w:spacing w:after="0"/>
              <w:rPr>
                <w:sz w:val="19"/>
                <w:szCs w:val="19"/>
                <w:color w:val="auto"/>
              </w:rPr>
            </w:pPr>
          </w:p>
        </w:tc>
        <w:tc>
          <w:tcPr>
            <w:tcW w:w="1400" w:type="dxa"/>
            <w:vAlign w:val="bottom"/>
            <w:shd w:val="clear" w:color="auto" w:fill="0171B9"/>
          </w:tcPr>
          <w:p>
            <w:pPr>
              <w:jc w:val="right"/>
              <w:ind w:right="179"/>
              <w:spacing w:after="0"/>
              <w:rPr>
                <w:sz w:val="20"/>
                <w:szCs w:val="20"/>
                <w:color w:val="auto"/>
              </w:rPr>
            </w:pPr>
            <w:r>
              <w:rPr>
                <w:rFonts w:ascii="Arial" w:cs="Arial" w:eastAsia="Arial" w:hAnsi="Arial"/>
                <w:sz w:val="16"/>
                <w:szCs w:val="16"/>
                <w:b w:val="1"/>
                <w:bCs w:val="1"/>
                <w:color w:val="FFFFFF"/>
              </w:rPr>
              <w:t>Aggregate</w:t>
            </w:r>
          </w:p>
        </w:tc>
        <w:tc>
          <w:tcPr>
            <w:tcW w:w="144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Aggregate</w:t>
            </w:r>
          </w:p>
        </w:tc>
        <w:tc>
          <w:tcPr>
            <w:tcW w:w="1340" w:type="dxa"/>
            <w:vAlign w:val="bottom"/>
            <w:shd w:val="clear" w:color="auto" w:fill="0171B9"/>
          </w:tcPr>
          <w:p>
            <w:pPr>
              <w:ind w:left="320"/>
              <w:spacing w:after="0"/>
              <w:rPr>
                <w:sz w:val="20"/>
                <w:szCs w:val="20"/>
                <w:color w:val="auto"/>
              </w:rPr>
            </w:pPr>
            <w:r>
              <w:rPr>
                <w:rFonts w:ascii="Arial" w:cs="Arial" w:eastAsia="Arial" w:hAnsi="Arial"/>
                <w:sz w:val="16"/>
                <w:szCs w:val="16"/>
                <w:b w:val="1"/>
                <w:bCs w:val="1"/>
                <w:color w:val="FFFFFF"/>
              </w:rPr>
              <w:t>Aggregate</w:t>
            </w:r>
          </w:p>
        </w:tc>
        <w:tc>
          <w:tcPr>
            <w:tcW w:w="1420" w:type="dxa"/>
            <w:vAlign w:val="bottom"/>
            <w:shd w:val="clear" w:color="auto" w:fill="0171B9"/>
          </w:tcPr>
          <w:p>
            <w:pPr>
              <w:jc w:val="right"/>
              <w:ind w:right="199"/>
              <w:spacing w:after="0"/>
              <w:rPr>
                <w:sz w:val="20"/>
                <w:szCs w:val="20"/>
                <w:color w:val="auto"/>
              </w:rPr>
            </w:pPr>
            <w:r>
              <w:rPr>
                <w:rFonts w:ascii="Arial" w:cs="Arial" w:eastAsia="Arial" w:hAnsi="Arial"/>
                <w:sz w:val="16"/>
                <w:szCs w:val="16"/>
                <w:b w:val="1"/>
                <w:bCs w:val="1"/>
                <w:color w:val="FFFFFF"/>
              </w:rPr>
              <w:t>Aggregate</w:t>
            </w:r>
          </w:p>
        </w:tc>
        <w:tc>
          <w:tcPr>
            <w:tcW w:w="1060" w:type="dxa"/>
            <w:vAlign w:val="bottom"/>
            <w:shd w:val="clear" w:color="auto" w:fill="0171B9"/>
          </w:tcPr>
          <w:p>
            <w:pPr>
              <w:spacing w:after="0"/>
              <w:rPr>
                <w:sz w:val="19"/>
                <w:szCs w:val="19"/>
                <w:color w:val="auto"/>
              </w:rPr>
            </w:pPr>
          </w:p>
        </w:tc>
      </w:tr>
      <w:tr>
        <w:trPr>
          <w:trHeight w:val="189"/>
        </w:trPr>
        <w:tc>
          <w:tcPr>
            <w:tcW w:w="4360" w:type="dxa"/>
            <w:vAlign w:val="bottom"/>
            <w:shd w:val="clear" w:color="auto" w:fill="0171B9"/>
          </w:tcPr>
          <w:p>
            <w:pPr>
              <w:spacing w:after="0"/>
              <w:rPr>
                <w:sz w:val="16"/>
                <w:szCs w:val="16"/>
                <w:color w:val="auto"/>
              </w:rPr>
            </w:pPr>
          </w:p>
        </w:tc>
        <w:tc>
          <w:tcPr>
            <w:tcW w:w="1400" w:type="dxa"/>
            <w:vAlign w:val="bottom"/>
            <w:shd w:val="clear" w:color="auto" w:fill="0171B9"/>
          </w:tcPr>
          <w:p>
            <w:pPr>
              <w:jc w:val="right"/>
              <w:ind w:right="179"/>
              <w:spacing w:after="0"/>
              <w:rPr>
                <w:sz w:val="20"/>
                <w:szCs w:val="20"/>
                <w:color w:val="auto"/>
              </w:rPr>
            </w:pPr>
            <w:r>
              <w:rPr>
                <w:rFonts w:ascii="Arial" w:cs="Arial" w:eastAsia="Arial" w:hAnsi="Arial"/>
                <w:sz w:val="16"/>
                <w:szCs w:val="16"/>
                <w:b w:val="1"/>
                <w:bCs w:val="1"/>
                <w:color w:val="FFFFFF"/>
              </w:rPr>
              <w:t>Incremental</w:t>
            </w:r>
          </w:p>
        </w:tc>
        <w:tc>
          <w:tcPr>
            <w:tcW w:w="144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Incremental</w:t>
            </w:r>
          </w:p>
        </w:tc>
        <w:tc>
          <w:tcPr>
            <w:tcW w:w="134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Incremental</w:t>
            </w:r>
          </w:p>
        </w:tc>
        <w:tc>
          <w:tcPr>
            <w:tcW w:w="1420" w:type="dxa"/>
            <w:vAlign w:val="bottom"/>
            <w:shd w:val="clear" w:color="auto" w:fill="0171B9"/>
          </w:tcPr>
          <w:p>
            <w:pPr>
              <w:jc w:val="right"/>
              <w:ind w:right="199"/>
              <w:spacing w:after="0"/>
              <w:rPr>
                <w:sz w:val="20"/>
                <w:szCs w:val="20"/>
                <w:color w:val="auto"/>
              </w:rPr>
            </w:pPr>
            <w:r>
              <w:rPr>
                <w:rFonts w:ascii="Arial" w:cs="Arial" w:eastAsia="Arial" w:hAnsi="Arial"/>
                <w:sz w:val="16"/>
                <w:szCs w:val="16"/>
                <w:b w:val="1"/>
                <w:bCs w:val="1"/>
                <w:color w:val="FFFFFF"/>
              </w:rPr>
              <w:t>Incremental</w:t>
            </w:r>
          </w:p>
        </w:tc>
        <w:tc>
          <w:tcPr>
            <w:tcW w:w="1060" w:type="dxa"/>
            <w:vAlign w:val="bottom"/>
            <w:shd w:val="clear" w:color="auto" w:fill="0171B9"/>
          </w:tcPr>
          <w:p>
            <w:pPr>
              <w:spacing w:after="0"/>
              <w:rPr>
                <w:sz w:val="16"/>
                <w:szCs w:val="16"/>
                <w:color w:val="auto"/>
              </w:rPr>
            </w:pPr>
          </w:p>
        </w:tc>
      </w:tr>
      <w:tr>
        <w:trPr>
          <w:trHeight w:val="248"/>
        </w:trPr>
        <w:tc>
          <w:tcPr>
            <w:tcW w:w="4360" w:type="dxa"/>
            <w:vAlign w:val="bottom"/>
            <w:shd w:val="clear" w:color="auto" w:fill="0171B9"/>
          </w:tcPr>
          <w:p>
            <w:pPr>
              <w:ind w:left="80"/>
              <w:spacing w:after="0"/>
              <w:rPr>
                <w:sz w:val="20"/>
                <w:szCs w:val="20"/>
                <w:color w:val="auto"/>
              </w:rPr>
            </w:pPr>
            <w:r>
              <w:rPr>
                <w:rFonts w:ascii="Arial" w:cs="Arial" w:eastAsia="Arial" w:hAnsi="Arial"/>
                <w:sz w:val="16"/>
                <w:szCs w:val="16"/>
                <w:b w:val="1"/>
                <w:bCs w:val="1"/>
                <w:color w:val="FFFFFF"/>
              </w:rPr>
              <w:t>Name</w:t>
            </w:r>
          </w:p>
        </w:tc>
        <w:tc>
          <w:tcPr>
            <w:tcW w:w="1400" w:type="dxa"/>
            <w:vAlign w:val="bottom"/>
            <w:shd w:val="clear" w:color="auto" w:fill="0171B9"/>
          </w:tcPr>
          <w:p>
            <w:pPr>
              <w:jc w:val="right"/>
              <w:ind w:right="179"/>
              <w:spacing w:after="0"/>
              <w:rPr>
                <w:sz w:val="20"/>
                <w:szCs w:val="20"/>
                <w:color w:val="auto"/>
              </w:rPr>
            </w:pPr>
            <w:r>
              <w:rPr>
                <w:rFonts w:ascii="Arial" w:cs="Arial" w:eastAsia="Arial" w:hAnsi="Arial"/>
                <w:sz w:val="16"/>
                <w:szCs w:val="16"/>
                <w:b w:val="1"/>
                <w:bCs w:val="1"/>
                <w:color w:val="FFFFFF"/>
              </w:rPr>
              <w:t>Cost($)</w:t>
            </w:r>
          </w:p>
        </w:tc>
        <w:tc>
          <w:tcPr>
            <w:tcW w:w="144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Cost($)</w:t>
            </w:r>
          </w:p>
        </w:tc>
        <w:tc>
          <w:tcPr>
            <w:tcW w:w="134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Cost($)</w:t>
            </w:r>
          </w:p>
        </w:tc>
        <w:tc>
          <w:tcPr>
            <w:tcW w:w="1420" w:type="dxa"/>
            <w:vAlign w:val="bottom"/>
            <w:shd w:val="clear" w:color="auto" w:fill="0171B9"/>
          </w:tcPr>
          <w:p>
            <w:pPr>
              <w:jc w:val="right"/>
              <w:ind w:right="199"/>
              <w:spacing w:after="0"/>
              <w:rPr>
                <w:sz w:val="20"/>
                <w:szCs w:val="20"/>
                <w:color w:val="auto"/>
              </w:rPr>
            </w:pPr>
            <w:r>
              <w:rPr>
                <w:rFonts w:ascii="Arial" w:cs="Arial" w:eastAsia="Arial" w:hAnsi="Arial"/>
                <w:sz w:val="16"/>
                <w:szCs w:val="16"/>
                <w:b w:val="1"/>
                <w:bCs w:val="1"/>
                <w:color w:val="FFFFFF"/>
              </w:rPr>
              <w:t>Cost($)</w:t>
            </w:r>
          </w:p>
        </w:tc>
        <w:tc>
          <w:tcPr>
            <w:tcW w:w="1060" w:type="dxa"/>
            <w:vAlign w:val="bottom"/>
            <w:shd w:val="clear" w:color="auto" w:fill="0171B9"/>
          </w:tcPr>
          <w:p>
            <w:pPr>
              <w:jc w:val="right"/>
              <w:ind w:right="99"/>
              <w:spacing w:after="0"/>
              <w:rPr>
                <w:sz w:val="20"/>
                <w:szCs w:val="20"/>
                <w:color w:val="auto"/>
              </w:rPr>
            </w:pPr>
            <w:r>
              <w:rPr>
                <w:rFonts w:ascii="Arial" w:cs="Arial" w:eastAsia="Arial" w:hAnsi="Arial"/>
                <w:sz w:val="16"/>
                <w:szCs w:val="16"/>
                <w:b w:val="1"/>
                <w:bCs w:val="1"/>
                <w:color w:val="FFFFFF"/>
              </w:rPr>
              <w:t>Total($)</w:t>
            </w:r>
          </w:p>
        </w:tc>
      </w:tr>
      <w:tr>
        <w:trPr>
          <w:trHeight w:val="263"/>
        </w:trPr>
        <w:tc>
          <w:tcPr>
            <w:tcW w:w="4360" w:type="dxa"/>
            <w:vAlign w:val="bottom"/>
            <w:tcBorders>
              <w:bottom w:val="single" w:sz="8" w:color="CCE2F1"/>
            </w:tcBorders>
            <w:shd w:val="clear" w:color="auto" w:fill="CCE2F1"/>
          </w:tcPr>
          <w:p>
            <w:pPr>
              <w:ind w:left="60"/>
              <w:spacing w:after="0"/>
              <w:rPr>
                <w:sz w:val="20"/>
                <w:szCs w:val="20"/>
                <w:color w:val="auto"/>
              </w:rPr>
            </w:pPr>
            <w:r>
              <w:rPr>
                <w:rFonts w:ascii="Arial" w:cs="Arial" w:eastAsia="Arial" w:hAnsi="Arial"/>
                <w:sz w:val="16"/>
                <w:szCs w:val="16"/>
                <w:color w:val="auto"/>
              </w:rPr>
              <w:t>Robert A. Bradway</w:t>
            </w:r>
          </w:p>
        </w:tc>
        <w:tc>
          <w:tcPr>
            <w:tcW w:w="1400" w:type="dxa"/>
            <w:vAlign w:val="bottom"/>
            <w:tcBorders>
              <w:bottom w:val="single" w:sz="8" w:color="CCE2F1"/>
            </w:tcBorders>
            <w:shd w:val="clear" w:color="auto" w:fill="CCE2F1"/>
          </w:tcPr>
          <w:p>
            <w:pPr>
              <w:jc w:val="right"/>
              <w:ind w:right="179"/>
              <w:spacing w:after="0"/>
              <w:rPr>
                <w:sz w:val="20"/>
                <w:szCs w:val="20"/>
                <w:color w:val="auto"/>
              </w:rPr>
            </w:pPr>
            <w:r>
              <w:rPr>
                <w:rFonts w:ascii="Arial" w:cs="Arial" w:eastAsia="Arial" w:hAnsi="Arial"/>
                <w:sz w:val="16"/>
                <w:szCs w:val="16"/>
                <w:color w:val="auto"/>
              </w:rPr>
              <w:t>100,241</w:t>
            </w:r>
          </w:p>
        </w:tc>
        <w:tc>
          <w:tcPr>
            <w:tcW w:w="144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3,650</w:t>
            </w:r>
          </w:p>
        </w:tc>
        <w:tc>
          <w:tcPr>
            <w:tcW w:w="134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15,000</w:t>
            </w:r>
          </w:p>
        </w:tc>
        <w:tc>
          <w:tcPr>
            <w:tcW w:w="1420" w:type="dxa"/>
            <w:vAlign w:val="bottom"/>
            <w:tcBorders>
              <w:bottom w:val="single" w:sz="8" w:color="CCE2F1"/>
            </w:tcBorders>
            <w:shd w:val="clear" w:color="auto" w:fill="CCE2F1"/>
          </w:tcPr>
          <w:p>
            <w:pPr>
              <w:jc w:val="right"/>
              <w:ind w:right="199"/>
              <w:spacing w:after="0"/>
              <w:rPr>
                <w:sz w:val="20"/>
                <w:szCs w:val="20"/>
                <w:color w:val="auto"/>
              </w:rPr>
            </w:pPr>
            <w:r>
              <w:rPr>
                <w:rFonts w:ascii="Arial" w:cs="Arial" w:eastAsia="Arial" w:hAnsi="Arial"/>
                <w:sz w:val="16"/>
                <w:szCs w:val="16"/>
                <w:color w:val="auto"/>
              </w:rPr>
              <w:t>10,279</w:t>
            </w:r>
          </w:p>
        </w:tc>
        <w:tc>
          <w:tcPr>
            <w:tcW w:w="1060" w:type="dxa"/>
            <w:vAlign w:val="bottom"/>
            <w:tcBorders>
              <w:bottom w:val="single" w:sz="8" w:color="CCE2F1"/>
            </w:tcBorders>
            <w:shd w:val="clear" w:color="auto" w:fill="CCE2F1"/>
          </w:tcPr>
          <w:p>
            <w:pPr>
              <w:jc w:val="right"/>
              <w:ind w:right="99"/>
              <w:spacing w:after="0"/>
              <w:rPr>
                <w:sz w:val="20"/>
                <w:szCs w:val="20"/>
                <w:color w:val="auto"/>
              </w:rPr>
            </w:pPr>
            <w:r>
              <w:rPr>
                <w:rFonts w:ascii="Arial" w:cs="Arial" w:eastAsia="Arial" w:hAnsi="Arial"/>
                <w:sz w:val="16"/>
                <w:szCs w:val="16"/>
                <w:color w:val="auto"/>
              </w:rPr>
              <w:t>129,170</w:t>
            </w:r>
          </w:p>
        </w:tc>
      </w:tr>
      <w:tr>
        <w:trPr>
          <w:trHeight w:val="237"/>
        </w:trPr>
        <w:tc>
          <w:tcPr>
            <w:tcW w:w="4360" w:type="dxa"/>
            <w:vAlign w:val="bottom"/>
          </w:tcPr>
          <w:p>
            <w:pPr>
              <w:ind w:left="60"/>
              <w:spacing w:after="0"/>
              <w:rPr>
                <w:sz w:val="20"/>
                <w:szCs w:val="20"/>
                <w:color w:val="auto"/>
              </w:rPr>
            </w:pPr>
            <w:r>
              <w:rPr>
                <w:rFonts w:ascii="Arial" w:cs="Arial" w:eastAsia="Arial" w:hAnsi="Arial"/>
                <w:sz w:val="16"/>
                <w:szCs w:val="16"/>
                <w:color w:val="auto"/>
              </w:rPr>
              <w:t>Murdo Gordon</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15,000</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10,000</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25,000</w:t>
            </w:r>
          </w:p>
        </w:tc>
      </w:tr>
      <w:tr>
        <w:trPr>
          <w:trHeight w:val="33"/>
        </w:trPr>
        <w:tc>
          <w:tcPr>
            <w:tcW w:w="4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60" w:type="dxa"/>
            <w:vAlign w:val="bottom"/>
            <w:tcBorders>
              <w:bottom w:val="single" w:sz="8" w:color="CCE2F1"/>
            </w:tcBorders>
            <w:shd w:val="clear" w:color="auto" w:fill="CCE2F1"/>
          </w:tcPr>
          <w:p>
            <w:pPr>
              <w:ind w:left="60"/>
              <w:spacing w:after="0"/>
              <w:rPr>
                <w:sz w:val="20"/>
                <w:szCs w:val="20"/>
                <w:color w:val="auto"/>
              </w:rPr>
            </w:pPr>
            <w:r>
              <w:rPr>
                <w:rFonts w:ascii="Arial" w:cs="Arial" w:eastAsia="Arial" w:hAnsi="Arial"/>
                <w:sz w:val="16"/>
                <w:szCs w:val="16"/>
                <w:color w:val="auto"/>
              </w:rPr>
              <w:t>David M. Reese</w:t>
            </w:r>
          </w:p>
        </w:tc>
        <w:tc>
          <w:tcPr>
            <w:tcW w:w="1400" w:type="dxa"/>
            <w:vAlign w:val="bottom"/>
            <w:tcBorders>
              <w:bottom w:val="single" w:sz="8" w:color="CCE2F1"/>
            </w:tcBorders>
            <w:shd w:val="clear" w:color="auto" w:fill="CCE2F1"/>
          </w:tcPr>
          <w:p>
            <w:pPr>
              <w:jc w:val="right"/>
              <w:ind w:right="179"/>
              <w:spacing w:after="0"/>
              <w:rPr>
                <w:sz w:val="20"/>
                <w:szCs w:val="20"/>
                <w:color w:val="auto"/>
              </w:rPr>
            </w:pPr>
            <w:r>
              <w:rPr>
                <w:rFonts w:ascii="Arial" w:cs="Arial" w:eastAsia="Arial" w:hAnsi="Arial"/>
                <w:sz w:val="16"/>
                <w:szCs w:val="16"/>
                <w:color w:val="auto"/>
              </w:rPr>
              <w:t>0</w:t>
            </w:r>
          </w:p>
        </w:tc>
        <w:tc>
          <w:tcPr>
            <w:tcW w:w="144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0</w:t>
            </w:r>
          </w:p>
        </w:tc>
        <w:tc>
          <w:tcPr>
            <w:tcW w:w="134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15,000</w:t>
            </w:r>
          </w:p>
        </w:tc>
        <w:tc>
          <w:tcPr>
            <w:tcW w:w="1420" w:type="dxa"/>
            <w:vAlign w:val="bottom"/>
            <w:tcBorders>
              <w:bottom w:val="single" w:sz="8" w:color="CCE2F1"/>
            </w:tcBorders>
            <w:shd w:val="clear" w:color="auto" w:fill="CCE2F1"/>
          </w:tcPr>
          <w:p>
            <w:pPr>
              <w:jc w:val="right"/>
              <w:ind w:right="199"/>
              <w:spacing w:after="0"/>
              <w:rPr>
                <w:sz w:val="20"/>
                <w:szCs w:val="20"/>
                <w:color w:val="auto"/>
              </w:rPr>
            </w:pPr>
            <w:r>
              <w:rPr>
                <w:rFonts w:ascii="Arial" w:cs="Arial" w:eastAsia="Arial" w:hAnsi="Arial"/>
                <w:sz w:val="16"/>
                <w:szCs w:val="16"/>
                <w:color w:val="auto"/>
              </w:rPr>
              <w:t>2,166</w:t>
            </w:r>
          </w:p>
        </w:tc>
        <w:tc>
          <w:tcPr>
            <w:tcW w:w="1060" w:type="dxa"/>
            <w:vAlign w:val="bottom"/>
            <w:tcBorders>
              <w:bottom w:val="single" w:sz="8" w:color="CCE2F1"/>
            </w:tcBorders>
            <w:shd w:val="clear" w:color="auto" w:fill="CCE2F1"/>
          </w:tcPr>
          <w:p>
            <w:pPr>
              <w:jc w:val="right"/>
              <w:ind w:right="99"/>
              <w:spacing w:after="0"/>
              <w:rPr>
                <w:sz w:val="20"/>
                <w:szCs w:val="20"/>
                <w:color w:val="auto"/>
              </w:rPr>
            </w:pPr>
            <w:r>
              <w:rPr>
                <w:rFonts w:ascii="Arial" w:cs="Arial" w:eastAsia="Arial" w:hAnsi="Arial"/>
                <w:sz w:val="16"/>
                <w:szCs w:val="16"/>
                <w:color w:val="auto"/>
              </w:rPr>
              <w:t>17,166</w:t>
            </w:r>
          </w:p>
        </w:tc>
      </w:tr>
      <w:tr>
        <w:trPr>
          <w:trHeight w:val="237"/>
        </w:trPr>
        <w:tc>
          <w:tcPr>
            <w:tcW w:w="4360" w:type="dxa"/>
            <w:vAlign w:val="bottom"/>
          </w:tcPr>
          <w:p>
            <w:pPr>
              <w:ind w:left="60"/>
              <w:spacing w:after="0"/>
              <w:rPr>
                <w:sz w:val="20"/>
                <w:szCs w:val="20"/>
                <w:color w:val="auto"/>
              </w:rPr>
            </w:pPr>
            <w:r>
              <w:rPr>
                <w:rFonts w:ascii="Arial" w:cs="Arial" w:eastAsia="Arial" w:hAnsi="Arial"/>
                <w:sz w:val="16"/>
                <w:szCs w:val="16"/>
                <w:color w:val="auto"/>
              </w:rPr>
              <w:t>Peter H. Griffith</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0</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15,000</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10,000</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25,000</w:t>
            </w:r>
          </w:p>
        </w:tc>
      </w:tr>
      <w:tr>
        <w:trPr>
          <w:trHeight w:val="33"/>
        </w:trPr>
        <w:tc>
          <w:tcPr>
            <w:tcW w:w="4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60" w:type="dxa"/>
            <w:vAlign w:val="bottom"/>
            <w:tcBorders>
              <w:bottom w:val="single" w:sz="8" w:color="CCE2F1"/>
            </w:tcBorders>
            <w:shd w:val="clear" w:color="auto" w:fill="CCE2F1"/>
          </w:tcPr>
          <w:p>
            <w:pPr>
              <w:ind w:left="60"/>
              <w:spacing w:after="0"/>
              <w:rPr>
                <w:sz w:val="20"/>
                <w:szCs w:val="20"/>
                <w:color w:val="auto"/>
              </w:rPr>
            </w:pPr>
            <w:r>
              <w:rPr>
                <w:rFonts w:ascii="Arial" w:cs="Arial" w:eastAsia="Arial" w:hAnsi="Arial"/>
                <w:sz w:val="16"/>
                <w:szCs w:val="16"/>
                <w:color w:val="auto"/>
              </w:rPr>
              <w:t>Esteban Santos</w:t>
            </w:r>
          </w:p>
        </w:tc>
        <w:tc>
          <w:tcPr>
            <w:tcW w:w="1400" w:type="dxa"/>
            <w:vAlign w:val="bottom"/>
            <w:tcBorders>
              <w:bottom w:val="single" w:sz="8" w:color="CCE2F1"/>
            </w:tcBorders>
            <w:shd w:val="clear" w:color="auto" w:fill="CCE2F1"/>
          </w:tcPr>
          <w:p>
            <w:pPr>
              <w:jc w:val="right"/>
              <w:ind w:right="179"/>
              <w:spacing w:after="0"/>
              <w:rPr>
                <w:sz w:val="20"/>
                <w:szCs w:val="20"/>
                <w:color w:val="auto"/>
              </w:rPr>
            </w:pPr>
            <w:r>
              <w:rPr>
                <w:rFonts w:ascii="Arial" w:cs="Arial" w:eastAsia="Arial" w:hAnsi="Arial"/>
                <w:sz w:val="16"/>
                <w:szCs w:val="16"/>
                <w:color w:val="auto"/>
              </w:rPr>
              <w:t>434</w:t>
            </w:r>
          </w:p>
        </w:tc>
        <w:tc>
          <w:tcPr>
            <w:tcW w:w="144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0</w:t>
            </w:r>
          </w:p>
        </w:tc>
        <w:tc>
          <w:tcPr>
            <w:tcW w:w="134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15,000</w:t>
            </w:r>
          </w:p>
        </w:tc>
        <w:tc>
          <w:tcPr>
            <w:tcW w:w="1420" w:type="dxa"/>
            <w:vAlign w:val="bottom"/>
            <w:tcBorders>
              <w:bottom w:val="single" w:sz="8" w:color="CCE2F1"/>
            </w:tcBorders>
            <w:shd w:val="clear" w:color="auto" w:fill="CCE2F1"/>
          </w:tcPr>
          <w:p>
            <w:pPr>
              <w:jc w:val="right"/>
              <w:ind w:right="199"/>
              <w:spacing w:after="0"/>
              <w:rPr>
                <w:sz w:val="20"/>
                <w:szCs w:val="20"/>
                <w:color w:val="auto"/>
              </w:rPr>
            </w:pPr>
            <w:r>
              <w:rPr>
                <w:rFonts w:ascii="Arial" w:cs="Arial" w:eastAsia="Arial" w:hAnsi="Arial"/>
                <w:sz w:val="16"/>
                <w:szCs w:val="16"/>
                <w:color w:val="auto"/>
              </w:rPr>
              <w:t>10,000</w:t>
            </w:r>
          </w:p>
        </w:tc>
        <w:tc>
          <w:tcPr>
            <w:tcW w:w="1060" w:type="dxa"/>
            <w:vAlign w:val="bottom"/>
            <w:tcBorders>
              <w:bottom w:val="single" w:sz="8" w:color="CCE2F1"/>
            </w:tcBorders>
            <w:shd w:val="clear" w:color="auto" w:fill="CCE2F1"/>
          </w:tcPr>
          <w:p>
            <w:pPr>
              <w:jc w:val="right"/>
              <w:ind w:right="99"/>
              <w:spacing w:after="0"/>
              <w:rPr>
                <w:sz w:val="20"/>
                <w:szCs w:val="20"/>
                <w:color w:val="auto"/>
              </w:rPr>
            </w:pPr>
            <w:r>
              <w:rPr>
                <w:rFonts w:ascii="Arial" w:cs="Arial" w:eastAsia="Arial" w:hAnsi="Arial"/>
                <w:sz w:val="16"/>
                <w:szCs w:val="16"/>
                <w:color w:val="auto"/>
              </w:rPr>
              <w:t>25,434</w:t>
            </w:r>
          </w:p>
        </w:tc>
      </w:tr>
      <w:tr>
        <w:trPr>
          <w:trHeight w:val="20"/>
        </w:trPr>
        <w:tc>
          <w:tcPr>
            <w:tcW w:w="4360" w:type="dxa"/>
            <w:vAlign w:val="bottom"/>
            <w:shd w:val="clear" w:color="auto" w:fill="0171B9"/>
          </w:tcPr>
          <w:p>
            <w:pPr>
              <w:spacing w:after="0" w:line="20" w:lineRule="exact"/>
              <w:rPr>
                <w:sz w:val="1"/>
                <w:szCs w:val="1"/>
                <w:color w:val="auto"/>
              </w:rPr>
            </w:pPr>
          </w:p>
        </w:tc>
        <w:tc>
          <w:tcPr>
            <w:tcW w:w="1400" w:type="dxa"/>
            <w:vAlign w:val="bottom"/>
            <w:shd w:val="clear" w:color="auto" w:fill="0171B9"/>
          </w:tcPr>
          <w:p>
            <w:pPr>
              <w:spacing w:after="0" w:line="20" w:lineRule="exact"/>
              <w:rPr>
                <w:sz w:val="1"/>
                <w:szCs w:val="1"/>
                <w:color w:val="auto"/>
              </w:rPr>
            </w:pPr>
          </w:p>
        </w:tc>
        <w:tc>
          <w:tcPr>
            <w:tcW w:w="1440" w:type="dxa"/>
            <w:vAlign w:val="bottom"/>
            <w:shd w:val="clear" w:color="auto" w:fill="0171B9"/>
          </w:tcPr>
          <w:p>
            <w:pPr>
              <w:spacing w:after="0" w:line="20" w:lineRule="exact"/>
              <w:rPr>
                <w:sz w:val="1"/>
                <w:szCs w:val="1"/>
                <w:color w:val="auto"/>
              </w:rPr>
            </w:pPr>
          </w:p>
        </w:tc>
        <w:tc>
          <w:tcPr>
            <w:tcW w:w="1340" w:type="dxa"/>
            <w:vAlign w:val="bottom"/>
            <w:shd w:val="clear" w:color="auto" w:fill="0171B9"/>
          </w:tcPr>
          <w:p>
            <w:pPr>
              <w:spacing w:after="0" w:line="20" w:lineRule="exact"/>
              <w:rPr>
                <w:sz w:val="1"/>
                <w:szCs w:val="1"/>
                <w:color w:val="auto"/>
              </w:rPr>
            </w:pPr>
          </w:p>
        </w:tc>
        <w:tc>
          <w:tcPr>
            <w:tcW w:w="1420" w:type="dxa"/>
            <w:vAlign w:val="bottom"/>
            <w:shd w:val="clear" w:color="auto" w:fill="0171B9"/>
          </w:tcPr>
          <w:p>
            <w:pPr>
              <w:spacing w:after="0" w:line="20" w:lineRule="exact"/>
              <w:rPr>
                <w:sz w:val="1"/>
                <w:szCs w:val="1"/>
                <w:color w:val="auto"/>
              </w:rPr>
            </w:pPr>
          </w:p>
        </w:tc>
        <w:tc>
          <w:tcPr>
            <w:tcW w:w="1060" w:type="dxa"/>
            <w:vAlign w:val="bottom"/>
            <w:shd w:val="clear" w:color="auto" w:fill="0171B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-873760</wp:posOffset>
            </wp:positionV>
            <wp:extent cx="699516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-1293495</wp:posOffset>
            </wp:positionV>
            <wp:extent cx="330898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28" w:lineRule="exact"/>
        <w:rPr>
          <w:sz w:val="20"/>
          <w:szCs w:val="20"/>
          <w:color w:val="auto"/>
        </w:rPr>
      </w:pPr>
    </w:p>
    <w:p>
      <w:pPr>
        <w:jc w:val="both"/>
        <w:ind w:left="540" w:right="20" w:hanging="424"/>
        <w:spacing w:after="0" w:line="225" w:lineRule="auto"/>
        <w:tabs>
          <w:tab w:leader="none" w:pos="540" w:val="left"/>
        </w:tabs>
        <w:numPr>
          <w:ilvl w:val="0"/>
          <w:numId w:val="108"/>
        </w:numPr>
        <w:rPr>
          <w:rFonts w:ascii="Arial" w:cs="Arial" w:eastAsia="Arial" w:hAnsi="Arial"/>
          <w:sz w:val="22"/>
          <w:szCs w:val="22"/>
          <w:color w:val="auto"/>
          <w:vertAlign w:val="superscript"/>
        </w:rPr>
      </w:pPr>
      <w:r>
        <w:rPr>
          <w:rFonts w:ascii="Arial" w:cs="Arial" w:eastAsia="Arial" w:hAnsi="Arial"/>
          <w:sz w:val="14"/>
          <w:szCs w:val="14"/>
          <w:color w:val="auto"/>
        </w:rPr>
        <w:t>The aggregate incremental cost of use of our aircraft for personal travel by our NEOs is allocated entirely to the highest ranking NEO present on the flight (except for on-board catering costs which are allocated equally to each NEO present). If each NEO present on the flight is the same level, the aggregate incremental costs of use of our aircraft for personal travel is allocated equally to each NEO present. The aggregate incremental cost for personal use of our aircraft is calculated based on our variable operating costs, which include crew travel expenses, on-board catering, landing fees, trip-related hangar/parking costs, fuel, trip-related maintenance, and other smaller variable costs. In determining the incremental cost relating to fuel and trip-related maintenance, we applied an estimate derived from our average costs, consistent with prior years. We believe that the use of this methodology for 2022 is a reasonably accurate method for calculating fuel and trip-related maintenance costs. Because our aircraft are used primarily for business travel, we do not include the fixed costs that do not change based on usage, such as pilots’ salaries, our aircraft purchase costs, and the cost of maintenance not related to trips.</w:t>
      </w:r>
    </w:p>
    <w:p>
      <w:pPr>
        <w:spacing w:after="0" w:line="2" w:lineRule="exact"/>
        <w:rPr>
          <w:rFonts w:ascii="Arial" w:cs="Arial" w:eastAsia="Arial" w:hAnsi="Arial"/>
          <w:sz w:val="22"/>
          <w:szCs w:val="22"/>
          <w:color w:val="auto"/>
          <w:vertAlign w:val="superscript"/>
        </w:rPr>
      </w:pPr>
    </w:p>
    <w:p>
      <w:pPr>
        <w:jc w:val="both"/>
        <w:ind w:left="540" w:hanging="424"/>
        <w:spacing w:after="0" w:line="214" w:lineRule="auto"/>
        <w:tabs>
          <w:tab w:leader="none" w:pos="540" w:val="left"/>
        </w:tabs>
        <w:numPr>
          <w:ilvl w:val="0"/>
          <w:numId w:val="108"/>
        </w:numPr>
        <w:rPr>
          <w:rFonts w:ascii="Arial" w:cs="Arial" w:eastAsia="Arial" w:hAnsi="Arial"/>
          <w:sz w:val="22"/>
          <w:szCs w:val="22"/>
          <w:color w:val="auto"/>
          <w:vertAlign w:val="superscript"/>
        </w:rPr>
      </w:pPr>
      <w:r>
        <w:rPr>
          <w:rFonts w:ascii="Arial" w:cs="Arial" w:eastAsia="Arial" w:hAnsi="Arial"/>
          <w:sz w:val="14"/>
          <w:szCs w:val="14"/>
          <w:color w:val="auto"/>
        </w:rPr>
        <w:t>The aggregate incremental cost for personal use of the car and driver provided by us is determined as the sum of the cost of fuel, driver overtime costs allocable to personal usage, and maintenance costs for the total number of personal miles driven. Personal miles include travel to and from work from home. As the cars are used primarily for business travel, fixed costs that would be incurred by us to operate the company cars for business use such as car lease or rental costs and driver salaries are not included.</w:t>
      </w:r>
    </w:p>
    <w:p>
      <w:pPr>
        <w:sectPr>
          <w:pgSz w:w="11900" w:h="16838" w:orient="portrait"/>
          <w:cols w:equalWidth="0" w:num="1">
            <w:col w:w="11140"/>
          </w:cols>
          <w:pgMar w:left="320" w:top="486" w:right="439" w:bottom="1440" w:gutter="0" w:footer="0" w:header="0"/>
        </w:sectPr>
      </w:pPr>
    </w:p>
    <w:p>
      <w:pPr>
        <w:spacing w:after="0" w:line="119"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76</w:t>
      </w:r>
      <w:r>
        <w:rPr>
          <w:sz w:val="20"/>
          <w:szCs w:val="20"/>
          <w:color w:val="auto"/>
        </w:rPr>
        <w:tab/>
      </w:r>
      <w:r>
        <w:rPr>
          <w:sz w:val="1"/>
          <w:szCs w:val="1"/>
          <w:color w:val="auto"/>
        </w:rPr>
        <w:drawing>
          <wp:inline distT="0" distB="0" distL="0" distR="0">
            <wp:extent cx="582930" cy="137160"/>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7760"/>
        <w:spacing w:after="0"/>
        <w:rPr>
          <w:sz w:val="20"/>
          <w:szCs w:val="20"/>
          <w:color w:val="auto"/>
        </w:rPr>
      </w:pPr>
      <w:r>
        <w:rPr>
          <w:rFonts w:ascii="Arial" w:cs="Arial" w:eastAsia="Arial" w:hAnsi="Arial"/>
          <w:sz w:val="22"/>
          <w:szCs w:val="22"/>
          <w:b w:val="1"/>
          <w:bCs w:val="1"/>
          <w:color w:val="FFFFFF"/>
          <w:shd w:val="clear" w:color="auto" w:fill="0171B9"/>
        </w:rPr>
        <w:t>Executive Compensation Tables</w:t>
      </w:r>
    </w:p>
    <w:p>
      <w:pPr>
        <w:spacing w:after="0" w:line="287" w:lineRule="exact"/>
        <w:rPr>
          <w:sz w:val="20"/>
          <w:szCs w:val="20"/>
          <w:color w:val="auto"/>
        </w:rPr>
      </w:pPr>
    </w:p>
    <w:p>
      <w:pPr>
        <w:ind w:left="540" w:hanging="424"/>
        <w:spacing w:after="0"/>
        <w:tabs>
          <w:tab w:leader="none" w:pos="540" w:val="left"/>
        </w:tabs>
        <w:numPr>
          <w:ilvl w:val="0"/>
          <w:numId w:val="109"/>
        </w:numPr>
        <w:rPr>
          <w:rFonts w:ascii="Arial" w:cs="Arial" w:eastAsia="Arial" w:hAnsi="Arial"/>
          <w:sz w:val="22"/>
          <w:szCs w:val="22"/>
          <w:color w:val="auto"/>
          <w:vertAlign w:val="superscript"/>
        </w:rPr>
      </w:pPr>
      <w:r>
        <w:rPr>
          <w:rFonts w:ascii="Arial" w:cs="Arial" w:eastAsia="Arial" w:hAnsi="Arial"/>
          <w:sz w:val="14"/>
          <w:szCs w:val="14"/>
          <w:color w:val="auto"/>
        </w:rPr>
        <w:t>Other expenses include:</w:t>
      </w:r>
    </w:p>
    <w:p>
      <w:pPr>
        <w:ind w:left="980" w:hanging="432"/>
        <w:spacing w:after="0" w:line="187" w:lineRule="auto"/>
        <w:tabs>
          <w:tab w:leader="none" w:pos="980" w:val="left"/>
        </w:tabs>
        <w:numPr>
          <w:ilvl w:val="1"/>
          <w:numId w:val="109"/>
        </w:numPr>
        <w:rPr>
          <w:rFonts w:ascii="Arial" w:cs="Arial" w:eastAsia="Arial" w:hAnsi="Arial"/>
          <w:sz w:val="18"/>
          <w:szCs w:val="18"/>
          <w:color w:val="auto"/>
          <w:vertAlign w:val="superscript"/>
        </w:rPr>
      </w:pPr>
      <w:r>
        <w:rPr>
          <w:rFonts w:ascii="Arial" w:cs="Arial" w:eastAsia="Arial" w:hAnsi="Arial"/>
          <w:sz w:val="12"/>
          <w:szCs w:val="12"/>
          <w:color w:val="auto"/>
        </w:rPr>
        <w:t>Company contributions to non-profit charities designated by the executive in the amount of $10,000 for Messrs. Bradway, Gordon, Griffith, and Santos.</w:t>
      </w:r>
    </w:p>
    <w:p>
      <w:pPr>
        <w:ind w:left="980" w:hanging="432"/>
        <w:spacing w:after="0" w:line="189" w:lineRule="auto"/>
        <w:tabs>
          <w:tab w:leader="none" w:pos="980" w:val="left"/>
        </w:tabs>
        <w:numPr>
          <w:ilvl w:val="1"/>
          <w:numId w:val="109"/>
        </w:numPr>
        <w:rPr>
          <w:rFonts w:ascii="Arial" w:cs="Arial" w:eastAsia="Arial" w:hAnsi="Arial"/>
          <w:sz w:val="19"/>
          <w:szCs w:val="19"/>
          <w:color w:val="auto"/>
          <w:vertAlign w:val="superscript"/>
        </w:rPr>
      </w:pPr>
      <w:r>
        <w:rPr>
          <w:rFonts w:ascii="Arial" w:cs="Arial" w:eastAsia="Arial" w:hAnsi="Arial"/>
          <w:sz w:val="13"/>
          <w:szCs w:val="13"/>
          <w:color w:val="auto"/>
        </w:rPr>
        <w:t>Executive physicals and personal expenses while on business travel.</w:t>
      </w:r>
    </w:p>
    <w:p>
      <w:pPr>
        <w:spacing w:after="0" w:line="87"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i w:val="1"/>
          <w:iCs w:val="1"/>
          <w:color w:val="0171B9"/>
        </w:rPr>
        <w:t xml:space="preserve">Other Compensation. </w:t>
      </w:r>
      <w:r>
        <w:rPr>
          <w:rFonts w:ascii="Arial" w:cs="Arial" w:eastAsia="Arial" w:hAnsi="Arial"/>
          <w:sz w:val="17"/>
          <w:szCs w:val="17"/>
          <w:color w:val="000000"/>
        </w:rPr>
        <w:t>The following table sets forth compensation for our NEOs in 2022 incurred in connection with our 401(k) Retirement and</w:t>
      </w:r>
      <w:r>
        <w:rPr>
          <w:rFonts w:ascii="Arial" w:cs="Arial" w:eastAsia="Arial" w:hAnsi="Arial"/>
          <w:sz w:val="17"/>
          <w:szCs w:val="17"/>
          <w:i w:val="1"/>
          <w:iCs w:val="1"/>
          <w:color w:val="0171B9"/>
        </w:rPr>
        <w:t xml:space="preserve"> </w:t>
      </w:r>
      <w:r>
        <w:rPr>
          <w:rFonts w:ascii="Arial" w:cs="Arial" w:eastAsia="Arial" w:hAnsi="Arial"/>
          <w:sz w:val="17"/>
          <w:szCs w:val="17"/>
          <w:color w:val="000000"/>
        </w:rPr>
        <w:t>Savings Plan, or 401(k) Plan, our NDCP, and our Supplemental Retirement Plan, or SRP. These amounts, along with the perquisites and other compensation discussed above, are included in the “All Other Compensation” column of the “Summary Compensation Table.” See “Nonqualified Deferred Compensation” below for a description of these plans.</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2100" w:type="dxa"/>
            <w:vAlign w:val="bottom"/>
            <w:shd w:val="clear" w:color="auto" w:fill="0171B9"/>
          </w:tcPr>
          <w:p>
            <w:pPr>
              <w:spacing w:after="0"/>
              <w:rPr>
                <w:sz w:val="18"/>
                <w:szCs w:val="18"/>
                <w:color w:val="auto"/>
              </w:rPr>
            </w:pPr>
          </w:p>
        </w:tc>
        <w:tc>
          <w:tcPr>
            <w:tcW w:w="3340" w:type="dxa"/>
            <w:vAlign w:val="bottom"/>
            <w:shd w:val="clear" w:color="auto" w:fill="0171B9"/>
          </w:tcPr>
          <w:p>
            <w:pPr>
              <w:spacing w:after="0"/>
              <w:rPr>
                <w:sz w:val="18"/>
                <w:szCs w:val="18"/>
                <w:color w:val="auto"/>
              </w:rPr>
            </w:pPr>
          </w:p>
        </w:tc>
        <w:tc>
          <w:tcPr>
            <w:tcW w:w="2180" w:type="dxa"/>
            <w:vAlign w:val="bottom"/>
            <w:shd w:val="clear" w:color="auto" w:fill="0171B9"/>
          </w:tcPr>
          <w:p>
            <w:pPr>
              <w:jc w:val="right"/>
              <w:ind w:right="259"/>
              <w:spacing w:after="0"/>
              <w:rPr>
                <w:sz w:val="20"/>
                <w:szCs w:val="20"/>
                <w:color w:val="auto"/>
              </w:rPr>
            </w:pPr>
            <w:r>
              <w:rPr>
                <w:rFonts w:ascii="Arial" w:cs="Arial" w:eastAsia="Arial" w:hAnsi="Arial"/>
                <w:sz w:val="16"/>
                <w:szCs w:val="16"/>
                <w:b w:val="1"/>
                <w:bCs w:val="1"/>
                <w:color w:val="FFFFFF"/>
              </w:rPr>
              <w:t>Company Credits to</w:t>
            </w:r>
          </w:p>
        </w:tc>
        <w:tc>
          <w:tcPr>
            <w:tcW w:w="2240" w:type="dxa"/>
            <w:vAlign w:val="bottom"/>
            <w:shd w:val="clear" w:color="auto" w:fill="0171B9"/>
          </w:tcPr>
          <w:p>
            <w:pPr>
              <w:jc w:val="right"/>
              <w:ind w:right="299"/>
              <w:spacing w:after="0"/>
              <w:rPr>
                <w:sz w:val="20"/>
                <w:szCs w:val="20"/>
                <w:color w:val="auto"/>
              </w:rPr>
            </w:pPr>
            <w:r>
              <w:rPr>
                <w:rFonts w:ascii="Arial" w:cs="Arial" w:eastAsia="Arial" w:hAnsi="Arial"/>
                <w:sz w:val="16"/>
                <w:szCs w:val="16"/>
                <w:b w:val="1"/>
                <w:bCs w:val="1"/>
                <w:color w:val="FFFFFF"/>
              </w:rPr>
              <w:t>Company Credits to</w:t>
            </w:r>
          </w:p>
        </w:tc>
        <w:tc>
          <w:tcPr>
            <w:tcW w:w="1160" w:type="dxa"/>
            <w:vAlign w:val="bottom"/>
            <w:shd w:val="clear" w:color="auto" w:fill="0171B9"/>
          </w:tcPr>
          <w:p>
            <w:pPr>
              <w:spacing w:after="0"/>
              <w:rPr>
                <w:sz w:val="18"/>
                <w:szCs w:val="18"/>
                <w:color w:val="auto"/>
              </w:rPr>
            </w:pPr>
          </w:p>
        </w:tc>
      </w:tr>
      <w:tr>
        <w:trPr>
          <w:trHeight w:val="189"/>
        </w:trPr>
        <w:tc>
          <w:tcPr>
            <w:tcW w:w="2100" w:type="dxa"/>
            <w:vAlign w:val="bottom"/>
            <w:shd w:val="clear" w:color="auto" w:fill="0171B9"/>
          </w:tcPr>
          <w:p>
            <w:pPr>
              <w:spacing w:after="0"/>
              <w:rPr>
                <w:sz w:val="16"/>
                <w:szCs w:val="16"/>
                <w:color w:val="auto"/>
              </w:rPr>
            </w:pPr>
          </w:p>
        </w:tc>
        <w:tc>
          <w:tcPr>
            <w:tcW w:w="3340" w:type="dxa"/>
            <w:vAlign w:val="bottom"/>
            <w:shd w:val="clear" w:color="auto" w:fill="0171B9"/>
          </w:tcPr>
          <w:p>
            <w:pPr>
              <w:jc w:val="right"/>
              <w:ind w:right="239"/>
              <w:spacing w:after="0"/>
              <w:rPr>
                <w:sz w:val="20"/>
                <w:szCs w:val="20"/>
                <w:color w:val="auto"/>
              </w:rPr>
            </w:pPr>
            <w:r>
              <w:rPr>
                <w:rFonts w:ascii="Arial" w:cs="Arial" w:eastAsia="Arial" w:hAnsi="Arial"/>
                <w:sz w:val="16"/>
                <w:szCs w:val="16"/>
                <w:b w:val="1"/>
                <w:bCs w:val="1"/>
                <w:color w:val="FFFFFF"/>
              </w:rPr>
              <w:t>Company Contributions to</w:t>
            </w:r>
          </w:p>
        </w:tc>
        <w:tc>
          <w:tcPr>
            <w:tcW w:w="2180" w:type="dxa"/>
            <w:vAlign w:val="bottom"/>
            <w:shd w:val="clear" w:color="auto" w:fill="0171B9"/>
          </w:tcPr>
          <w:p>
            <w:pPr>
              <w:jc w:val="right"/>
              <w:ind w:right="259"/>
              <w:spacing w:after="0"/>
              <w:rPr>
                <w:sz w:val="20"/>
                <w:szCs w:val="20"/>
                <w:color w:val="auto"/>
              </w:rPr>
            </w:pPr>
            <w:r>
              <w:rPr>
                <w:rFonts w:ascii="Arial" w:cs="Arial" w:eastAsia="Arial" w:hAnsi="Arial"/>
                <w:sz w:val="16"/>
                <w:szCs w:val="16"/>
                <w:b w:val="1"/>
                <w:bCs w:val="1"/>
                <w:color w:val="FFFFFF"/>
              </w:rPr>
              <w:t>Non-Qualified</w:t>
            </w:r>
          </w:p>
        </w:tc>
        <w:tc>
          <w:tcPr>
            <w:tcW w:w="2240" w:type="dxa"/>
            <w:vAlign w:val="bottom"/>
            <w:shd w:val="clear" w:color="auto" w:fill="0171B9"/>
          </w:tcPr>
          <w:p>
            <w:pPr>
              <w:jc w:val="right"/>
              <w:ind w:right="299"/>
              <w:spacing w:after="0"/>
              <w:rPr>
                <w:sz w:val="20"/>
                <w:szCs w:val="20"/>
                <w:color w:val="auto"/>
              </w:rPr>
            </w:pPr>
            <w:r>
              <w:rPr>
                <w:rFonts w:ascii="Arial" w:cs="Arial" w:eastAsia="Arial" w:hAnsi="Arial"/>
                <w:sz w:val="16"/>
                <w:szCs w:val="16"/>
                <w:b w:val="1"/>
                <w:bCs w:val="1"/>
                <w:color w:val="FFFFFF"/>
              </w:rPr>
              <w:t>Supplemental</w:t>
            </w:r>
          </w:p>
        </w:tc>
        <w:tc>
          <w:tcPr>
            <w:tcW w:w="1160" w:type="dxa"/>
            <w:vAlign w:val="bottom"/>
            <w:shd w:val="clear" w:color="auto" w:fill="0171B9"/>
          </w:tcPr>
          <w:p>
            <w:pPr>
              <w:spacing w:after="0"/>
              <w:rPr>
                <w:sz w:val="16"/>
                <w:szCs w:val="16"/>
                <w:color w:val="auto"/>
              </w:rPr>
            </w:pPr>
          </w:p>
        </w:tc>
      </w:tr>
      <w:tr>
        <w:trPr>
          <w:trHeight w:val="189"/>
        </w:trPr>
        <w:tc>
          <w:tcPr>
            <w:tcW w:w="2100" w:type="dxa"/>
            <w:vAlign w:val="bottom"/>
            <w:shd w:val="clear" w:color="auto" w:fill="0171B9"/>
          </w:tcPr>
          <w:p>
            <w:pPr>
              <w:spacing w:after="0"/>
              <w:rPr>
                <w:sz w:val="16"/>
                <w:szCs w:val="16"/>
                <w:color w:val="auto"/>
              </w:rPr>
            </w:pPr>
          </w:p>
        </w:tc>
        <w:tc>
          <w:tcPr>
            <w:tcW w:w="3340" w:type="dxa"/>
            <w:vAlign w:val="bottom"/>
            <w:shd w:val="clear" w:color="auto" w:fill="0171B9"/>
          </w:tcPr>
          <w:p>
            <w:pPr>
              <w:jc w:val="right"/>
              <w:ind w:right="239"/>
              <w:spacing w:after="0"/>
              <w:rPr>
                <w:sz w:val="20"/>
                <w:szCs w:val="20"/>
                <w:color w:val="auto"/>
              </w:rPr>
            </w:pPr>
            <w:r>
              <w:rPr>
                <w:rFonts w:ascii="Arial" w:cs="Arial" w:eastAsia="Arial" w:hAnsi="Arial"/>
                <w:sz w:val="16"/>
                <w:szCs w:val="16"/>
                <w:b w:val="1"/>
                <w:bCs w:val="1"/>
                <w:color w:val="FFFFFF"/>
              </w:rPr>
              <w:t>401(k) Retirement and Savings</w:t>
            </w:r>
          </w:p>
        </w:tc>
        <w:tc>
          <w:tcPr>
            <w:tcW w:w="2180" w:type="dxa"/>
            <w:vAlign w:val="bottom"/>
            <w:shd w:val="clear" w:color="auto" w:fill="0171B9"/>
          </w:tcPr>
          <w:p>
            <w:pPr>
              <w:jc w:val="right"/>
              <w:ind w:right="259"/>
              <w:spacing w:after="0"/>
              <w:rPr>
                <w:sz w:val="20"/>
                <w:szCs w:val="20"/>
                <w:color w:val="auto"/>
              </w:rPr>
            </w:pPr>
            <w:r>
              <w:rPr>
                <w:rFonts w:ascii="Arial" w:cs="Arial" w:eastAsia="Arial" w:hAnsi="Arial"/>
                <w:sz w:val="16"/>
                <w:szCs w:val="16"/>
                <w:b w:val="1"/>
                <w:bCs w:val="1"/>
                <w:color w:val="FFFFFF"/>
              </w:rPr>
              <w:t>Deferred</w:t>
            </w:r>
          </w:p>
        </w:tc>
        <w:tc>
          <w:tcPr>
            <w:tcW w:w="2240" w:type="dxa"/>
            <w:vAlign w:val="bottom"/>
            <w:shd w:val="clear" w:color="auto" w:fill="0171B9"/>
          </w:tcPr>
          <w:p>
            <w:pPr>
              <w:jc w:val="right"/>
              <w:ind w:right="299"/>
              <w:spacing w:after="0"/>
              <w:rPr>
                <w:sz w:val="20"/>
                <w:szCs w:val="20"/>
                <w:color w:val="auto"/>
              </w:rPr>
            </w:pPr>
            <w:r>
              <w:rPr>
                <w:rFonts w:ascii="Arial" w:cs="Arial" w:eastAsia="Arial" w:hAnsi="Arial"/>
                <w:sz w:val="16"/>
                <w:szCs w:val="16"/>
                <w:b w:val="1"/>
                <w:bCs w:val="1"/>
                <w:color w:val="FFFFFF"/>
              </w:rPr>
              <w:t>Retirement</w:t>
            </w:r>
          </w:p>
        </w:tc>
        <w:tc>
          <w:tcPr>
            <w:tcW w:w="1160" w:type="dxa"/>
            <w:vAlign w:val="bottom"/>
            <w:shd w:val="clear" w:color="auto" w:fill="0171B9"/>
          </w:tcPr>
          <w:p>
            <w:pPr>
              <w:spacing w:after="0"/>
              <w:rPr>
                <w:sz w:val="16"/>
                <w:szCs w:val="16"/>
                <w:color w:val="auto"/>
              </w:rPr>
            </w:pPr>
          </w:p>
        </w:tc>
      </w:tr>
      <w:tr>
        <w:trPr>
          <w:trHeight w:val="221"/>
        </w:trPr>
        <w:tc>
          <w:tcPr>
            <w:tcW w:w="2100" w:type="dxa"/>
            <w:vAlign w:val="bottom"/>
            <w:shd w:val="clear" w:color="auto" w:fill="0171B9"/>
          </w:tcPr>
          <w:p>
            <w:pPr>
              <w:ind w:left="80"/>
              <w:spacing w:after="0"/>
              <w:rPr>
                <w:sz w:val="20"/>
                <w:szCs w:val="20"/>
                <w:color w:val="auto"/>
              </w:rPr>
            </w:pPr>
            <w:r>
              <w:rPr>
                <w:rFonts w:ascii="Arial" w:cs="Arial" w:eastAsia="Arial" w:hAnsi="Arial"/>
                <w:sz w:val="16"/>
                <w:szCs w:val="16"/>
                <w:b w:val="1"/>
                <w:bCs w:val="1"/>
                <w:color w:val="FFFFFF"/>
              </w:rPr>
              <w:t>Name</w:t>
            </w:r>
          </w:p>
        </w:tc>
        <w:tc>
          <w:tcPr>
            <w:tcW w:w="3340" w:type="dxa"/>
            <w:vAlign w:val="bottom"/>
            <w:shd w:val="clear" w:color="auto" w:fill="0171B9"/>
          </w:tcPr>
          <w:p>
            <w:pPr>
              <w:jc w:val="right"/>
              <w:ind w:right="239"/>
              <w:spacing w:after="0" w:line="220" w:lineRule="exact"/>
              <w:rPr>
                <w:sz w:val="20"/>
                <w:szCs w:val="20"/>
                <w:color w:val="auto"/>
              </w:rPr>
            </w:pPr>
            <w:r>
              <w:rPr>
                <w:rFonts w:ascii="Arial" w:cs="Arial" w:eastAsia="Arial" w:hAnsi="Arial"/>
                <w:sz w:val="16"/>
                <w:szCs w:val="16"/>
                <w:b w:val="1"/>
                <w:bCs w:val="1"/>
                <w:color w:val="FFFFFF"/>
              </w:rPr>
              <w:t>Plan($)</w:t>
            </w:r>
            <w:r>
              <w:rPr>
                <w:rFonts w:ascii="Arial" w:cs="Arial" w:eastAsia="Arial" w:hAnsi="Arial"/>
                <w:sz w:val="24"/>
                <w:szCs w:val="24"/>
                <w:b w:val="1"/>
                <w:bCs w:val="1"/>
                <w:color w:val="FFFFFF"/>
                <w:vertAlign w:val="superscript"/>
              </w:rPr>
              <w:t>(1)</w:t>
            </w:r>
          </w:p>
        </w:tc>
        <w:tc>
          <w:tcPr>
            <w:tcW w:w="2180" w:type="dxa"/>
            <w:vAlign w:val="bottom"/>
            <w:shd w:val="clear" w:color="auto" w:fill="0171B9"/>
          </w:tcPr>
          <w:p>
            <w:pPr>
              <w:jc w:val="right"/>
              <w:ind w:right="259"/>
              <w:spacing w:after="0"/>
              <w:rPr>
                <w:sz w:val="20"/>
                <w:szCs w:val="20"/>
                <w:color w:val="auto"/>
              </w:rPr>
            </w:pPr>
            <w:r>
              <w:rPr>
                <w:rFonts w:ascii="Arial" w:cs="Arial" w:eastAsia="Arial" w:hAnsi="Arial"/>
                <w:sz w:val="16"/>
                <w:szCs w:val="16"/>
                <w:b w:val="1"/>
                <w:bCs w:val="1"/>
                <w:color w:val="FFFFFF"/>
              </w:rPr>
              <w:t>Compensation Plan</w:t>
            </w:r>
          </w:p>
        </w:tc>
        <w:tc>
          <w:tcPr>
            <w:tcW w:w="2240" w:type="dxa"/>
            <w:vAlign w:val="bottom"/>
            <w:shd w:val="clear" w:color="auto" w:fill="0171B9"/>
          </w:tcPr>
          <w:p>
            <w:pPr>
              <w:jc w:val="right"/>
              <w:ind w:right="299"/>
              <w:spacing w:after="0"/>
              <w:rPr>
                <w:sz w:val="20"/>
                <w:szCs w:val="20"/>
                <w:color w:val="auto"/>
              </w:rPr>
            </w:pPr>
            <w:r>
              <w:rPr>
                <w:rFonts w:ascii="Arial" w:cs="Arial" w:eastAsia="Arial" w:hAnsi="Arial"/>
                <w:sz w:val="16"/>
                <w:szCs w:val="16"/>
                <w:b w:val="1"/>
                <w:bCs w:val="1"/>
                <w:color w:val="FFFFFF"/>
              </w:rPr>
              <w:t>Plan($)</w:t>
            </w:r>
          </w:p>
        </w:tc>
        <w:tc>
          <w:tcPr>
            <w:tcW w:w="116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Total($)</w:t>
            </w:r>
          </w:p>
        </w:tc>
      </w:tr>
      <w:tr>
        <w:trPr>
          <w:trHeight w:val="263"/>
        </w:trPr>
        <w:tc>
          <w:tcPr>
            <w:tcW w:w="2100" w:type="dxa"/>
            <w:vAlign w:val="bottom"/>
            <w:tcBorders>
              <w:bottom w:val="single" w:sz="8" w:color="CCE2F1"/>
            </w:tcBorders>
            <w:shd w:val="clear" w:color="auto" w:fill="CCE2F1"/>
          </w:tcPr>
          <w:p>
            <w:pPr>
              <w:ind w:left="60"/>
              <w:spacing w:after="0"/>
              <w:rPr>
                <w:sz w:val="20"/>
                <w:szCs w:val="20"/>
                <w:color w:val="auto"/>
              </w:rPr>
            </w:pPr>
            <w:r>
              <w:rPr>
                <w:rFonts w:ascii="Arial" w:cs="Arial" w:eastAsia="Arial" w:hAnsi="Arial"/>
                <w:sz w:val="16"/>
                <w:szCs w:val="16"/>
                <w:color w:val="auto"/>
              </w:rPr>
              <w:t>Robert A. Bradway</w:t>
            </w:r>
          </w:p>
        </w:tc>
        <w:tc>
          <w:tcPr>
            <w:tcW w:w="3340" w:type="dxa"/>
            <w:vAlign w:val="bottom"/>
            <w:tcBorders>
              <w:bottom w:val="single" w:sz="8" w:color="CCE2F1"/>
            </w:tcBorders>
            <w:shd w:val="clear" w:color="auto" w:fill="CCE2F1"/>
          </w:tcPr>
          <w:p>
            <w:pPr>
              <w:jc w:val="right"/>
              <w:ind w:right="239"/>
              <w:spacing w:after="0"/>
              <w:rPr>
                <w:sz w:val="20"/>
                <w:szCs w:val="20"/>
                <w:color w:val="auto"/>
              </w:rPr>
            </w:pPr>
            <w:r>
              <w:rPr>
                <w:rFonts w:ascii="Arial" w:cs="Arial" w:eastAsia="Arial" w:hAnsi="Arial"/>
                <w:sz w:val="16"/>
                <w:szCs w:val="16"/>
                <w:color w:val="auto"/>
              </w:rPr>
              <w:t>30,500</w:t>
            </w:r>
          </w:p>
        </w:tc>
        <w:tc>
          <w:tcPr>
            <w:tcW w:w="2180" w:type="dxa"/>
            <w:vAlign w:val="bottom"/>
            <w:tcBorders>
              <w:bottom w:val="single" w:sz="8" w:color="CCE2F1"/>
            </w:tcBorders>
            <w:shd w:val="clear" w:color="auto" w:fill="CCE2F1"/>
          </w:tcPr>
          <w:p>
            <w:pPr>
              <w:jc w:val="right"/>
              <w:ind w:right="259"/>
              <w:spacing w:after="0"/>
              <w:rPr>
                <w:sz w:val="20"/>
                <w:szCs w:val="20"/>
                <w:color w:val="auto"/>
              </w:rPr>
            </w:pPr>
            <w:r>
              <w:rPr>
                <w:rFonts w:ascii="Arial" w:cs="Arial" w:eastAsia="Arial" w:hAnsi="Arial"/>
                <w:sz w:val="16"/>
                <w:szCs w:val="16"/>
                <w:color w:val="auto"/>
              </w:rPr>
              <w:t>0</w:t>
            </w:r>
          </w:p>
        </w:tc>
        <w:tc>
          <w:tcPr>
            <w:tcW w:w="2240" w:type="dxa"/>
            <w:vAlign w:val="bottom"/>
            <w:tcBorders>
              <w:bottom w:val="single" w:sz="8" w:color="CCE2F1"/>
            </w:tcBorders>
            <w:shd w:val="clear" w:color="auto" w:fill="CCE2F1"/>
          </w:tcPr>
          <w:p>
            <w:pPr>
              <w:jc w:val="right"/>
              <w:ind w:right="299"/>
              <w:spacing w:after="0"/>
              <w:rPr>
                <w:sz w:val="20"/>
                <w:szCs w:val="20"/>
                <w:color w:val="auto"/>
              </w:rPr>
            </w:pPr>
            <w:r>
              <w:rPr>
                <w:rFonts w:ascii="Arial" w:cs="Arial" w:eastAsia="Arial" w:hAnsi="Arial"/>
                <w:sz w:val="16"/>
                <w:szCs w:val="16"/>
                <w:color w:val="auto"/>
              </w:rPr>
              <w:t>483,505</w:t>
            </w:r>
          </w:p>
        </w:tc>
        <w:tc>
          <w:tcPr>
            <w:tcW w:w="116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514,005</w:t>
            </w:r>
          </w:p>
        </w:tc>
      </w:tr>
      <w:tr>
        <w:trPr>
          <w:trHeight w:val="237"/>
        </w:trPr>
        <w:tc>
          <w:tcPr>
            <w:tcW w:w="2100" w:type="dxa"/>
            <w:vAlign w:val="bottom"/>
          </w:tcPr>
          <w:p>
            <w:pPr>
              <w:ind w:left="60"/>
              <w:spacing w:after="0"/>
              <w:rPr>
                <w:sz w:val="20"/>
                <w:szCs w:val="20"/>
                <w:color w:val="auto"/>
              </w:rPr>
            </w:pPr>
            <w:r>
              <w:rPr>
                <w:rFonts w:ascii="Arial" w:cs="Arial" w:eastAsia="Arial" w:hAnsi="Arial"/>
                <w:sz w:val="16"/>
                <w:szCs w:val="16"/>
                <w:color w:val="auto"/>
              </w:rPr>
              <w:t>Murdo Gordon</w:t>
            </w:r>
          </w:p>
        </w:tc>
        <w:tc>
          <w:tcPr>
            <w:tcW w:w="3340" w:type="dxa"/>
            <w:vAlign w:val="bottom"/>
          </w:tcPr>
          <w:p>
            <w:pPr>
              <w:jc w:val="right"/>
              <w:ind w:right="239"/>
              <w:spacing w:after="0"/>
              <w:rPr>
                <w:sz w:val="20"/>
                <w:szCs w:val="20"/>
                <w:color w:val="auto"/>
              </w:rPr>
            </w:pPr>
            <w:r>
              <w:rPr>
                <w:rFonts w:ascii="Arial" w:cs="Arial" w:eastAsia="Arial" w:hAnsi="Arial"/>
                <w:sz w:val="16"/>
                <w:szCs w:val="16"/>
                <w:color w:val="auto"/>
              </w:rPr>
              <w:t>30,500</w:t>
            </w:r>
          </w:p>
        </w:tc>
        <w:tc>
          <w:tcPr>
            <w:tcW w:w="2180" w:type="dxa"/>
            <w:vAlign w:val="bottom"/>
          </w:tcPr>
          <w:p>
            <w:pPr>
              <w:jc w:val="right"/>
              <w:ind w:right="259"/>
              <w:spacing w:after="0"/>
              <w:rPr>
                <w:sz w:val="20"/>
                <w:szCs w:val="20"/>
                <w:color w:val="auto"/>
              </w:rPr>
            </w:pPr>
            <w:r>
              <w:rPr>
                <w:rFonts w:ascii="Arial" w:cs="Arial" w:eastAsia="Arial" w:hAnsi="Arial"/>
                <w:sz w:val="16"/>
                <w:szCs w:val="16"/>
                <w:color w:val="auto"/>
              </w:rPr>
              <w:t>0</w:t>
            </w: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225,785</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256,285</w:t>
            </w:r>
          </w:p>
        </w:tc>
      </w:tr>
      <w:tr>
        <w:trPr>
          <w:trHeight w:val="33"/>
        </w:trPr>
        <w:tc>
          <w:tcPr>
            <w:tcW w:w="21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100" w:type="dxa"/>
            <w:vAlign w:val="bottom"/>
            <w:tcBorders>
              <w:bottom w:val="single" w:sz="8" w:color="CCE2F1"/>
            </w:tcBorders>
            <w:shd w:val="clear" w:color="auto" w:fill="CCE2F1"/>
          </w:tcPr>
          <w:p>
            <w:pPr>
              <w:ind w:left="60"/>
              <w:spacing w:after="0"/>
              <w:rPr>
                <w:sz w:val="20"/>
                <w:szCs w:val="20"/>
                <w:color w:val="auto"/>
              </w:rPr>
            </w:pPr>
            <w:r>
              <w:rPr>
                <w:rFonts w:ascii="Arial" w:cs="Arial" w:eastAsia="Arial" w:hAnsi="Arial"/>
                <w:sz w:val="16"/>
                <w:szCs w:val="16"/>
                <w:color w:val="auto"/>
              </w:rPr>
              <w:t>David M. Reese</w:t>
            </w:r>
          </w:p>
        </w:tc>
        <w:tc>
          <w:tcPr>
            <w:tcW w:w="3340" w:type="dxa"/>
            <w:vAlign w:val="bottom"/>
            <w:tcBorders>
              <w:bottom w:val="single" w:sz="8" w:color="CCE2F1"/>
            </w:tcBorders>
            <w:shd w:val="clear" w:color="auto" w:fill="CCE2F1"/>
          </w:tcPr>
          <w:p>
            <w:pPr>
              <w:jc w:val="right"/>
              <w:ind w:right="239"/>
              <w:spacing w:after="0"/>
              <w:rPr>
                <w:sz w:val="20"/>
                <w:szCs w:val="20"/>
                <w:color w:val="auto"/>
              </w:rPr>
            </w:pPr>
            <w:r>
              <w:rPr>
                <w:rFonts w:ascii="Arial" w:cs="Arial" w:eastAsia="Arial" w:hAnsi="Arial"/>
                <w:sz w:val="16"/>
                <w:szCs w:val="16"/>
                <w:color w:val="auto"/>
              </w:rPr>
              <w:t>30,500</w:t>
            </w:r>
          </w:p>
        </w:tc>
        <w:tc>
          <w:tcPr>
            <w:tcW w:w="2180" w:type="dxa"/>
            <w:vAlign w:val="bottom"/>
            <w:tcBorders>
              <w:bottom w:val="single" w:sz="8" w:color="CCE2F1"/>
            </w:tcBorders>
            <w:shd w:val="clear" w:color="auto" w:fill="CCE2F1"/>
          </w:tcPr>
          <w:p>
            <w:pPr>
              <w:jc w:val="right"/>
              <w:ind w:right="259"/>
              <w:spacing w:after="0"/>
              <w:rPr>
                <w:sz w:val="20"/>
                <w:szCs w:val="20"/>
                <w:color w:val="auto"/>
              </w:rPr>
            </w:pPr>
            <w:r>
              <w:rPr>
                <w:rFonts w:ascii="Arial" w:cs="Arial" w:eastAsia="Arial" w:hAnsi="Arial"/>
                <w:sz w:val="16"/>
                <w:szCs w:val="16"/>
                <w:color w:val="auto"/>
              </w:rPr>
              <w:t>0</w:t>
            </w:r>
          </w:p>
        </w:tc>
        <w:tc>
          <w:tcPr>
            <w:tcW w:w="2240" w:type="dxa"/>
            <w:vAlign w:val="bottom"/>
            <w:tcBorders>
              <w:bottom w:val="single" w:sz="8" w:color="CCE2F1"/>
            </w:tcBorders>
            <w:shd w:val="clear" w:color="auto" w:fill="CCE2F1"/>
          </w:tcPr>
          <w:p>
            <w:pPr>
              <w:jc w:val="right"/>
              <w:ind w:right="299"/>
              <w:spacing w:after="0"/>
              <w:rPr>
                <w:sz w:val="20"/>
                <w:szCs w:val="20"/>
                <w:color w:val="auto"/>
              </w:rPr>
            </w:pPr>
            <w:r>
              <w:rPr>
                <w:rFonts w:ascii="Arial" w:cs="Arial" w:eastAsia="Arial" w:hAnsi="Arial"/>
                <w:sz w:val="16"/>
                <w:szCs w:val="16"/>
                <w:color w:val="auto"/>
              </w:rPr>
              <w:t>229,881</w:t>
            </w:r>
          </w:p>
        </w:tc>
        <w:tc>
          <w:tcPr>
            <w:tcW w:w="116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260,381</w:t>
            </w:r>
          </w:p>
        </w:tc>
      </w:tr>
      <w:tr>
        <w:trPr>
          <w:trHeight w:val="237"/>
        </w:trPr>
        <w:tc>
          <w:tcPr>
            <w:tcW w:w="2100" w:type="dxa"/>
            <w:vAlign w:val="bottom"/>
          </w:tcPr>
          <w:p>
            <w:pPr>
              <w:ind w:left="60"/>
              <w:spacing w:after="0"/>
              <w:rPr>
                <w:sz w:val="20"/>
                <w:szCs w:val="20"/>
                <w:color w:val="auto"/>
              </w:rPr>
            </w:pPr>
            <w:r>
              <w:rPr>
                <w:rFonts w:ascii="Arial" w:cs="Arial" w:eastAsia="Arial" w:hAnsi="Arial"/>
                <w:sz w:val="16"/>
                <w:szCs w:val="16"/>
                <w:color w:val="auto"/>
              </w:rPr>
              <w:t>Peter H. Griffith</w:t>
            </w:r>
          </w:p>
        </w:tc>
        <w:tc>
          <w:tcPr>
            <w:tcW w:w="3340" w:type="dxa"/>
            <w:vAlign w:val="bottom"/>
          </w:tcPr>
          <w:p>
            <w:pPr>
              <w:jc w:val="right"/>
              <w:ind w:right="239"/>
              <w:spacing w:after="0"/>
              <w:rPr>
                <w:sz w:val="20"/>
                <w:szCs w:val="20"/>
                <w:color w:val="auto"/>
              </w:rPr>
            </w:pPr>
            <w:r>
              <w:rPr>
                <w:rFonts w:ascii="Arial" w:cs="Arial" w:eastAsia="Arial" w:hAnsi="Arial"/>
                <w:sz w:val="16"/>
                <w:szCs w:val="16"/>
                <w:color w:val="auto"/>
              </w:rPr>
              <w:t>30,500</w:t>
            </w:r>
          </w:p>
        </w:tc>
        <w:tc>
          <w:tcPr>
            <w:tcW w:w="2180" w:type="dxa"/>
            <w:vAlign w:val="bottom"/>
          </w:tcPr>
          <w:p>
            <w:pPr>
              <w:jc w:val="right"/>
              <w:ind w:right="259"/>
              <w:spacing w:after="0"/>
              <w:rPr>
                <w:sz w:val="20"/>
                <w:szCs w:val="20"/>
                <w:color w:val="auto"/>
              </w:rPr>
            </w:pPr>
            <w:r>
              <w:rPr>
                <w:rFonts w:ascii="Arial" w:cs="Arial" w:eastAsia="Arial" w:hAnsi="Arial"/>
                <w:sz w:val="16"/>
                <w:szCs w:val="16"/>
                <w:color w:val="auto"/>
              </w:rPr>
              <w:t>0</w:t>
            </w: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212,012</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242,512</w:t>
            </w:r>
          </w:p>
        </w:tc>
      </w:tr>
      <w:tr>
        <w:trPr>
          <w:trHeight w:val="33"/>
        </w:trPr>
        <w:tc>
          <w:tcPr>
            <w:tcW w:w="21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100" w:type="dxa"/>
            <w:vAlign w:val="bottom"/>
            <w:tcBorders>
              <w:bottom w:val="single" w:sz="8" w:color="CCE2F1"/>
            </w:tcBorders>
            <w:shd w:val="clear" w:color="auto" w:fill="CCE2F1"/>
          </w:tcPr>
          <w:p>
            <w:pPr>
              <w:ind w:left="60"/>
              <w:spacing w:after="0"/>
              <w:rPr>
                <w:sz w:val="20"/>
                <w:szCs w:val="20"/>
                <w:color w:val="auto"/>
              </w:rPr>
            </w:pPr>
            <w:r>
              <w:rPr>
                <w:rFonts w:ascii="Arial" w:cs="Arial" w:eastAsia="Arial" w:hAnsi="Arial"/>
                <w:sz w:val="16"/>
                <w:szCs w:val="16"/>
                <w:color w:val="auto"/>
              </w:rPr>
              <w:t>Esteban Santos</w:t>
            </w:r>
          </w:p>
        </w:tc>
        <w:tc>
          <w:tcPr>
            <w:tcW w:w="3340" w:type="dxa"/>
            <w:vAlign w:val="bottom"/>
            <w:tcBorders>
              <w:bottom w:val="single" w:sz="8" w:color="CCE2F1"/>
            </w:tcBorders>
            <w:shd w:val="clear" w:color="auto" w:fill="CCE2F1"/>
          </w:tcPr>
          <w:p>
            <w:pPr>
              <w:jc w:val="right"/>
              <w:ind w:right="239"/>
              <w:spacing w:after="0"/>
              <w:rPr>
                <w:sz w:val="20"/>
                <w:szCs w:val="20"/>
                <w:color w:val="auto"/>
              </w:rPr>
            </w:pPr>
            <w:r>
              <w:rPr>
                <w:rFonts w:ascii="Arial" w:cs="Arial" w:eastAsia="Arial" w:hAnsi="Arial"/>
                <w:sz w:val="16"/>
                <w:szCs w:val="16"/>
                <w:color w:val="auto"/>
              </w:rPr>
              <w:t>30,500</w:t>
            </w:r>
          </w:p>
        </w:tc>
        <w:tc>
          <w:tcPr>
            <w:tcW w:w="2180" w:type="dxa"/>
            <w:vAlign w:val="bottom"/>
            <w:tcBorders>
              <w:bottom w:val="single" w:sz="8" w:color="CCE2F1"/>
            </w:tcBorders>
            <w:shd w:val="clear" w:color="auto" w:fill="CCE2F1"/>
          </w:tcPr>
          <w:p>
            <w:pPr>
              <w:jc w:val="right"/>
              <w:ind w:right="259"/>
              <w:spacing w:after="0"/>
              <w:rPr>
                <w:sz w:val="20"/>
                <w:szCs w:val="20"/>
                <w:color w:val="auto"/>
              </w:rPr>
            </w:pPr>
            <w:r>
              <w:rPr>
                <w:rFonts w:ascii="Arial" w:cs="Arial" w:eastAsia="Arial" w:hAnsi="Arial"/>
                <w:sz w:val="16"/>
                <w:szCs w:val="16"/>
                <w:color w:val="auto"/>
              </w:rPr>
              <w:t>0</w:t>
            </w:r>
          </w:p>
        </w:tc>
        <w:tc>
          <w:tcPr>
            <w:tcW w:w="2240" w:type="dxa"/>
            <w:vAlign w:val="bottom"/>
            <w:tcBorders>
              <w:bottom w:val="single" w:sz="8" w:color="CCE2F1"/>
            </w:tcBorders>
            <w:shd w:val="clear" w:color="auto" w:fill="CCE2F1"/>
          </w:tcPr>
          <w:p>
            <w:pPr>
              <w:jc w:val="right"/>
              <w:ind w:right="299"/>
              <w:spacing w:after="0"/>
              <w:rPr>
                <w:sz w:val="20"/>
                <w:szCs w:val="20"/>
                <w:color w:val="auto"/>
              </w:rPr>
            </w:pPr>
            <w:r>
              <w:rPr>
                <w:rFonts w:ascii="Arial" w:cs="Arial" w:eastAsia="Arial" w:hAnsi="Arial"/>
                <w:sz w:val="16"/>
                <w:szCs w:val="16"/>
                <w:color w:val="auto"/>
              </w:rPr>
              <w:t>207,061</w:t>
            </w:r>
          </w:p>
        </w:tc>
        <w:tc>
          <w:tcPr>
            <w:tcW w:w="116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237,561</w:t>
            </w:r>
          </w:p>
        </w:tc>
      </w:tr>
      <w:tr>
        <w:trPr>
          <w:trHeight w:val="20"/>
        </w:trPr>
        <w:tc>
          <w:tcPr>
            <w:tcW w:w="2100" w:type="dxa"/>
            <w:vAlign w:val="bottom"/>
            <w:shd w:val="clear" w:color="auto" w:fill="0171B9"/>
          </w:tcPr>
          <w:p>
            <w:pPr>
              <w:spacing w:after="0" w:line="20" w:lineRule="exact"/>
              <w:rPr>
                <w:sz w:val="1"/>
                <w:szCs w:val="1"/>
                <w:color w:val="auto"/>
              </w:rPr>
            </w:pPr>
          </w:p>
        </w:tc>
        <w:tc>
          <w:tcPr>
            <w:tcW w:w="3340" w:type="dxa"/>
            <w:vAlign w:val="bottom"/>
            <w:shd w:val="clear" w:color="auto" w:fill="0171B9"/>
          </w:tcPr>
          <w:p>
            <w:pPr>
              <w:spacing w:after="0" w:line="20" w:lineRule="exact"/>
              <w:rPr>
                <w:sz w:val="1"/>
                <w:szCs w:val="1"/>
                <w:color w:val="auto"/>
              </w:rPr>
            </w:pPr>
          </w:p>
        </w:tc>
        <w:tc>
          <w:tcPr>
            <w:tcW w:w="2180" w:type="dxa"/>
            <w:vAlign w:val="bottom"/>
            <w:shd w:val="clear" w:color="auto" w:fill="0171B9"/>
          </w:tcPr>
          <w:p>
            <w:pPr>
              <w:spacing w:after="0" w:line="20" w:lineRule="exact"/>
              <w:rPr>
                <w:sz w:val="1"/>
                <w:szCs w:val="1"/>
                <w:color w:val="auto"/>
              </w:rPr>
            </w:pPr>
          </w:p>
        </w:tc>
        <w:tc>
          <w:tcPr>
            <w:tcW w:w="2240" w:type="dxa"/>
            <w:vAlign w:val="bottom"/>
            <w:shd w:val="clear" w:color="auto" w:fill="0171B9"/>
          </w:tcPr>
          <w:p>
            <w:pPr>
              <w:spacing w:after="0" w:line="20" w:lineRule="exact"/>
              <w:rPr>
                <w:sz w:val="1"/>
                <w:szCs w:val="1"/>
                <w:color w:val="auto"/>
              </w:rPr>
            </w:pPr>
          </w:p>
        </w:tc>
        <w:tc>
          <w:tcPr>
            <w:tcW w:w="1160" w:type="dxa"/>
            <w:vAlign w:val="bottom"/>
            <w:shd w:val="clear" w:color="auto" w:fill="0171B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-873760</wp:posOffset>
            </wp:positionV>
            <wp:extent cx="699516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9" w:lineRule="exact"/>
        <w:rPr>
          <w:sz w:val="20"/>
          <w:szCs w:val="20"/>
          <w:color w:val="auto"/>
        </w:rPr>
      </w:pPr>
    </w:p>
    <w:p>
      <w:pPr>
        <w:jc w:val="both"/>
        <w:ind w:left="120" w:right="20"/>
        <w:spacing w:after="0" w:line="243" w:lineRule="auto"/>
        <w:rPr>
          <w:sz w:val="20"/>
          <w:szCs w:val="20"/>
          <w:color w:val="auto"/>
        </w:rPr>
      </w:pPr>
      <w:r>
        <w:rPr>
          <w:rFonts w:ascii="Arial" w:cs="Arial" w:eastAsia="Arial" w:hAnsi="Arial"/>
          <w:sz w:val="17"/>
          <w:szCs w:val="17"/>
          <w:color w:val="auto"/>
        </w:rPr>
        <w:t>The following table sets forth summary information regarding all grants of plan-based awards made to our NEOs for the year ended December 31, 2022. All of our equity based awards were granted under the Amgen Inc. 2009 Equity Incentive Plan, as amended.</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800" w:type="dxa"/>
            <w:vAlign w:val="bottom"/>
            <w:shd w:val="clear" w:color="auto" w:fill="0171B9"/>
          </w:tcPr>
          <w:p>
            <w:pPr>
              <w:spacing w:after="0"/>
              <w:rPr>
                <w:sz w:val="12"/>
                <w:szCs w:val="12"/>
                <w:color w:val="auto"/>
              </w:rPr>
            </w:pPr>
          </w:p>
        </w:tc>
        <w:tc>
          <w:tcPr>
            <w:tcW w:w="660" w:type="dxa"/>
            <w:vAlign w:val="bottom"/>
            <w:shd w:val="clear" w:color="auto" w:fill="0171B9"/>
          </w:tcPr>
          <w:p>
            <w:pPr>
              <w:spacing w:after="0"/>
              <w:rPr>
                <w:sz w:val="12"/>
                <w:szCs w:val="12"/>
                <w:color w:val="auto"/>
              </w:rPr>
            </w:pPr>
          </w:p>
        </w:tc>
        <w:tc>
          <w:tcPr>
            <w:tcW w:w="700" w:type="dxa"/>
            <w:vAlign w:val="bottom"/>
            <w:shd w:val="clear" w:color="auto" w:fill="0171B9"/>
          </w:tcPr>
          <w:p>
            <w:pPr>
              <w:spacing w:after="0"/>
              <w:rPr>
                <w:sz w:val="12"/>
                <w:szCs w:val="12"/>
                <w:color w:val="auto"/>
              </w:rPr>
            </w:pPr>
          </w:p>
        </w:tc>
        <w:tc>
          <w:tcPr>
            <w:tcW w:w="860" w:type="dxa"/>
            <w:vAlign w:val="bottom"/>
            <w:shd w:val="clear" w:color="auto" w:fill="0171B9"/>
          </w:tcPr>
          <w:p>
            <w:pPr>
              <w:spacing w:after="0"/>
              <w:rPr>
                <w:sz w:val="12"/>
                <w:szCs w:val="12"/>
                <w:color w:val="auto"/>
              </w:rPr>
            </w:pPr>
          </w:p>
        </w:tc>
        <w:tc>
          <w:tcPr>
            <w:tcW w:w="640" w:type="dxa"/>
            <w:vAlign w:val="bottom"/>
            <w:shd w:val="clear" w:color="auto" w:fill="0171B9"/>
          </w:tcPr>
          <w:p>
            <w:pPr>
              <w:spacing w:after="0"/>
              <w:rPr>
                <w:sz w:val="12"/>
                <w:szCs w:val="12"/>
                <w:color w:val="auto"/>
              </w:rPr>
            </w:pPr>
          </w:p>
        </w:tc>
        <w:tc>
          <w:tcPr>
            <w:tcW w:w="780" w:type="dxa"/>
            <w:vAlign w:val="bottom"/>
            <w:shd w:val="clear" w:color="auto" w:fill="0171B9"/>
          </w:tcPr>
          <w:p>
            <w:pPr>
              <w:spacing w:after="0"/>
              <w:rPr>
                <w:sz w:val="12"/>
                <w:szCs w:val="12"/>
                <w:color w:val="auto"/>
              </w:rPr>
            </w:pPr>
          </w:p>
        </w:tc>
        <w:tc>
          <w:tcPr>
            <w:tcW w:w="900" w:type="dxa"/>
            <w:vAlign w:val="bottom"/>
            <w:shd w:val="clear" w:color="auto" w:fill="0171B9"/>
          </w:tcPr>
          <w:p>
            <w:pPr>
              <w:spacing w:after="0"/>
              <w:rPr>
                <w:sz w:val="12"/>
                <w:szCs w:val="12"/>
                <w:color w:val="auto"/>
              </w:rPr>
            </w:pPr>
          </w:p>
        </w:tc>
        <w:tc>
          <w:tcPr>
            <w:tcW w:w="780" w:type="dxa"/>
            <w:vAlign w:val="bottom"/>
            <w:shd w:val="clear" w:color="auto" w:fill="0171B9"/>
          </w:tcPr>
          <w:p>
            <w:pPr>
              <w:spacing w:after="0"/>
              <w:rPr>
                <w:sz w:val="12"/>
                <w:szCs w:val="12"/>
                <w:color w:val="auto"/>
              </w:rPr>
            </w:pPr>
          </w:p>
        </w:tc>
        <w:tc>
          <w:tcPr>
            <w:tcW w:w="260" w:type="dxa"/>
            <w:vAlign w:val="bottom"/>
            <w:shd w:val="clear" w:color="auto" w:fill="0171B9"/>
          </w:tcPr>
          <w:p>
            <w:pPr>
              <w:spacing w:after="0"/>
              <w:rPr>
                <w:sz w:val="12"/>
                <w:szCs w:val="12"/>
                <w:color w:val="auto"/>
              </w:rPr>
            </w:pPr>
          </w:p>
        </w:tc>
        <w:tc>
          <w:tcPr>
            <w:tcW w:w="480" w:type="dxa"/>
            <w:vAlign w:val="bottom"/>
            <w:shd w:val="clear" w:color="auto" w:fill="0171B9"/>
          </w:tcPr>
          <w:p>
            <w:pPr>
              <w:spacing w:after="0"/>
              <w:rPr>
                <w:sz w:val="12"/>
                <w:szCs w:val="12"/>
                <w:color w:val="auto"/>
              </w:rPr>
            </w:pPr>
          </w:p>
        </w:tc>
        <w:tc>
          <w:tcPr>
            <w:tcW w:w="760" w:type="dxa"/>
            <w:vAlign w:val="bottom"/>
            <w:shd w:val="clear" w:color="auto" w:fill="0171B9"/>
          </w:tcPr>
          <w:p>
            <w:pPr>
              <w:spacing w:after="0"/>
              <w:rPr>
                <w:sz w:val="12"/>
                <w:szCs w:val="12"/>
                <w:color w:val="auto"/>
              </w:rPr>
            </w:pPr>
          </w:p>
        </w:tc>
        <w:tc>
          <w:tcPr>
            <w:tcW w:w="840" w:type="dxa"/>
            <w:vAlign w:val="bottom"/>
            <w:shd w:val="clear" w:color="auto" w:fill="0171B9"/>
          </w:tcPr>
          <w:p>
            <w:pPr>
              <w:jc w:val="right"/>
              <w:ind w:right="12"/>
              <w:spacing w:after="0"/>
              <w:rPr>
                <w:sz w:val="20"/>
                <w:szCs w:val="20"/>
                <w:color w:val="auto"/>
              </w:rPr>
            </w:pPr>
            <w:r>
              <w:rPr>
                <w:rFonts w:ascii="Arial" w:cs="Arial" w:eastAsia="Arial" w:hAnsi="Arial"/>
                <w:sz w:val="13"/>
                <w:szCs w:val="13"/>
                <w:b w:val="1"/>
                <w:bCs w:val="1"/>
                <w:color w:val="FFFFFF"/>
              </w:rPr>
              <w:t>All Other</w:t>
            </w:r>
          </w:p>
        </w:tc>
        <w:tc>
          <w:tcPr>
            <w:tcW w:w="620" w:type="dxa"/>
            <w:vAlign w:val="bottom"/>
            <w:shd w:val="clear" w:color="auto" w:fill="0171B9"/>
          </w:tcPr>
          <w:p>
            <w:pPr>
              <w:spacing w:after="0"/>
              <w:rPr>
                <w:sz w:val="12"/>
                <w:szCs w:val="12"/>
                <w:color w:val="auto"/>
              </w:rPr>
            </w:pPr>
          </w:p>
        </w:tc>
        <w:tc>
          <w:tcPr>
            <w:tcW w:w="780" w:type="dxa"/>
            <w:vAlign w:val="bottom"/>
            <w:shd w:val="clear" w:color="auto" w:fill="0171B9"/>
          </w:tcPr>
          <w:p>
            <w:pPr>
              <w:spacing w:after="0"/>
              <w:rPr>
                <w:sz w:val="12"/>
                <w:szCs w:val="12"/>
                <w:color w:val="auto"/>
              </w:rPr>
            </w:pPr>
          </w:p>
        </w:tc>
        <w:tc>
          <w:tcPr>
            <w:tcW w:w="160" w:type="dxa"/>
            <w:vAlign w:val="bottom"/>
            <w:shd w:val="clear" w:color="auto" w:fill="0171B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shd w:val="clear" w:color="auto" w:fill="0171B9"/>
          </w:tcPr>
          <w:p>
            <w:pPr>
              <w:spacing w:after="0"/>
              <w:rPr>
                <w:sz w:val="12"/>
                <w:szCs w:val="12"/>
                <w:color w:val="auto"/>
              </w:rPr>
            </w:pPr>
          </w:p>
        </w:tc>
        <w:tc>
          <w:tcPr>
            <w:tcW w:w="660" w:type="dxa"/>
            <w:vAlign w:val="bottom"/>
            <w:shd w:val="clear" w:color="auto" w:fill="0171B9"/>
          </w:tcPr>
          <w:p>
            <w:pPr>
              <w:spacing w:after="0"/>
              <w:rPr>
                <w:sz w:val="12"/>
                <w:szCs w:val="12"/>
                <w:color w:val="auto"/>
              </w:rPr>
            </w:pPr>
          </w:p>
        </w:tc>
        <w:tc>
          <w:tcPr>
            <w:tcW w:w="700" w:type="dxa"/>
            <w:vAlign w:val="bottom"/>
            <w:shd w:val="clear" w:color="auto" w:fill="0171B9"/>
          </w:tcPr>
          <w:p>
            <w:pPr>
              <w:spacing w:after="0"/>
              <w:rPr>
                <w:sz w:val="12"/>
                <w:szCs w:val="12"/>
                <w:color w:val="auto"/>
              </w:rPr>
            </w:pPr>
          </w:p>
        </w:tc>
        <w:tc>
          <w:tcPr>
            <w:tcW w:w="860" w:type="dxa"/>
            <w:vAlign w:val="bottom"/>
            <w:shd w:val="clear" w:color="auto" w:fill="0171B9"/>
          </w:tcPr>
          <w:p>
            <w:pPr>
              <w:spacing w:after="0"/>
              <w:rPr>
                <w:sz w:val="12"/>
                <w:szCs w:val="12"/>
                <w:color w:val="auto"/>
              </w:rPr>
            </w:pPr>
          </w:p>
        </w:tc>
        <w:tc>
          <w:tcPr>
            <w:tcW w:w="640" w:type="dxa"/>
            <w:vAlign w:val="bottom"/>
            <w:shd w:val="clear" w:color="auto" w:fill="0171B9"/>
          </w:tcPr>
          <w:p>
            <w:pPr>
              <w:spacing w:after="0"/>
              <w:rPr>
                <w:sz w:val="12"/>
                <w:szCs w:val="12"/>
                <w:color w:val="auto"/>
              </w:rPr>
            </w:pPr>
          </w:p>
        </w:tc>
        <w:tc>
          <w:tcPr>
            <w:tcW w:w="780" w:type="dxa"/>
            <w:vAlign w:val="bottom"/>
            <w:shd w:val="clear" w:color="auto" w:fill="0171B9"/>
          </w:tcPr>
          <w:p>
            <w:pPr>
              <w:spacing w:after="0"/>
              <w:rPr>
                <w:sz w:val="12"/>
                <w:szCs w:val="12"/>
                <w:color w:val="auto"/>
              </w:rPr>
            </w:pPr>
          </w:p>
        </w:tc>
        <w:tc>
          <w:tcPr>
            <w:tcW w:w="1940" w:type="dxa"/>
            <w:vAlign w:val="bottom"/>
            <w:gridSpan w:val="3"/>
            <w:vMerge w:val="restart"/>
            <w:shd w:val="clear" w:color="auto" w:fill="0171B9"/>
          </w:tcPr>
          <w:p>
            <w:pPr>
              <w:jc w:val="center"/>
              <w:ind w:left="420"/>
              <w:spacing w:after="0"/>
              <w:rPr>
                <w:sz w:val="20"/>
                <w:szCs w:val="20"/>
                <w:color w:val="auto"/>
              </w:rPr>
            </w:pPr>
            <w:r>
              <w:rPr>
                <w:rFonts w:ascii="Arial" w:cs="Arial" w:eastAsia="Arial" w:hAnsi="Arial"/>
                <w:sz w:val="13"/>
                <w:szCs w:val="13"/>
                <w:b w:val="1"/>
                <w:bCs w:val="1"/>
                <w:color w:val="FFFFFF"/>
              </w:rPr>
              <w:t>Estimated Future</w:t>
            </w:r>
          </w:p>
        </w:tc>
        <w:tc>
          <w:tcPr>
            <w:tcW w:w="480" w:type="dxa"/>
            <w:vAlign w:val="bottom"/>
            <w:shd w:val="clear" w:color="auto" w:fill="0171B9"/>
          </w:tcPr>
          <w:p>
            <w:pPr>
              <w:spacing w:after="0"/>
              <w:rPr>
                <w:sz w:val="12"/>
                <w:szCs w:val="12"/>
                <w:color w:val="auto"/>
              </w:rPr>
            </w:pPr>
          </w:p>
        </w:tc>
        <w:tc>
          <w:tcPr>
            <w:tcW w:w="760" w:type="dxa"/>
            <w:vAlign w:val="bottom"/>
            <w:shd w:val="clear" w:color="auto" w:fill="0171B9"/>
          </w:tcPr>
          <w:p>
            <w:pPr>
              <w:jc w:val="right"/>
              <w:spacing w:after="0"/>
              <w:rPr>
                <w:sz w:val="20"/>
                <w:szCs w:val="20"/>
                <w:color w:val="auto"/>
              </w:rPr>
            </w:pPr>
            <w:r>
              <w:rPr>
                <w:rFonts w:ascii="Arial" w:cs="Arial" w:eastAsia="Arial" w:hAnsi="Arial"/>
                <w:sz w:val="13"/>
                <w:szCs w:val="13"/>
                <w:b w:val="1"/>
                <w:bCs w:val="1"/>
                <w:color w:val="FFFFFF"/>
              </w:rPr>
              <w:t>All Other</w:t>
            </w:r>
          </w:p>
        </w:tc>
        <w:tc>
          <w:tcPr>
            <w:tcW w:w="840" w:type="dxa"/>
            <w:vAlign w:val="bottom"/>
            <w:shd w:val="clear" w:color="auto" w:fill="0171B9"/>
          </w:tcPr>
          <w:p>
            <w:pPr>
              <w:jc w:val="right"/>
              <w:ind w:right="12"/>
              <w:spacing w:after="0"/>
              <w:rPr>
                <w:sz w:val="20"/>
                <w:szCs w:val="20"/>
                <w:color w:val="auto"/>
              </w:rPr>
            </w:pPr>
            <w:r>
              <w:rPr>
                <w:rFonts w:ascii="Arial" w:cs="Arial" w:eastAsia="Arial" w:hAnsi="Arial"/>
                <w:sz w:val="13"/>
                <w:szCs w:val="13"/>
                <w:b w:val="1"/>
                <w:bCs w:val="1"/>
                <w:color w:val="FFFFFF"/>
              </w:rPr>
              <w:t>Option</w:t>
            </w:r>
          </w:p>
        </w:tc>
        <w:tc>
          <w:tcPr>
            <w:tcW w:w="620" w:type="dxa"/>
            <w:vAlign w:val="bottom"/>
            <w:shd w:val="clear" w:color="auto" w:fill="0171B9"/>
          </w:tcPr>
          <w:p>
            <w:pPr>
              <w:spacing w:after="0"/>
              <w:rPr>
                <w:sz w:val="12"/>
                <w:szCs w:val="12"/>
                <w:color w:val="auto"/>
              </w:rPr>
            </w:pPr>
          </w:p>
        </w:tc>
        <w:tc>
          <w:tcPr>
            <w:tcW w:w="780" w:type="dxa"/>
            <w:vAlign w:val="bottom"/>
            <w:shd w:val="clear" w:color="auto" w:fill="0171B9"/>
          </w:tcPr>
          <w:p>
            <w:pPr>
              <w:spacing w:after="0"/>
              <w:rPr>
                <w:sz w:val="12"/>
                <w:szCs w:val="12"/>
                <w:color w:val="auto"/>
              </w:rPr>
            </w:pPr>
          </w:p>
        </w:tc>
        <w:tc>
          <w:tcPr>
            <w:tcW w:w="160" w:type="dxa"/>
            <w:vAlign w:val="bottom"/>
            <w:shd w:val="clear" w:color="auto" w:fill="0171B9"/>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00" w:type="dxa"/>
            <w:vAlign w:val="bottom"/>
            <w:shd w:val="clear" w:color="auto" w:fill="0171B9"/>
          </w:tcPr>
          <w:p>
            <w:pPr>
              <w:spacing w:after="0"/>
              <w:rPr>
                <w:sz w:val="12"/>
                <w:szCs w:val="12"/>
                <w:color w:val="auto"/>
              </w:rPr>
            </w:pPr>
          </w:p>
        </w:tc>
        <w:tc>
          <w:tcPr>
            <w:tcW w:w="660" w:type="dxa"/>
            <w:vAlign w:val="bottom"/>
            <w:shd w:val="clear" w:color="auto" w:fill="0171B9"/>
          </w:tcPr>
          <w:p>
            <w:pPr>
              <w:spacing w:after="0"/>
              <w:rPr>
                <w:sz w:val="12"/>
                <w:szCs w:val="12"/>
                <w:color w:val="auto"/>
              </w:rPr>
            </w:pPr>
          </w:p>
        </w:tc>
        <w:tc>
          <w:tcPr>
            <w:tcW w:w="700" w:type="dxa"/>
            <w:vAlign w:val="bottom"/>
            <w:shd w:val="clear" w:color="auto" w:fill="0171B9"/>
          </w:tcPr>
          <w:p>
            <w:pPr>
              <w:spacing w:after="0"/>
              <w:rPr>
                <w:sz w:val="12"/>
                <w:szCs w:val="12"/>
                <w:color w:val="auto"/>
              </w:rPr>
            </w:pPr>
          </w:p>
        </w:tc>
        <w:tc>
          <w:tcPr>
            <w:tcW w:w="860" w:type="dxa"/>
            <w:vAlign w:val="bottom"/>
            <w:shd w:val="clear" w:color="auto" w:fill="0171B9"/>
          </w:tcPr>
          <w:p>
            <w:pPr>
              <w:spacing w:after="0"/>
              <w:rPr>
                <w:sz w:val="12"/>
                <w:szCs w:val="12"/>
                <w:color w:val="auto"/>
              </w:rPr>
            </w:pPr>
          </w:p>
        </w:tc>
        <w:tc>
          <w:tcPr>
            <w:tcW w:w="640" w:type="dxa"/>
            <w:vAlign w:val="bottom"/>
            <w:shd w:val="clear" w:color="auto" w:fill="0171B9"/>
          </w:tcPr>
          <w:p>
            <w:pPr>
              <w:spacing w:after="0"/>
              <w:rPr>
                <w:sz w:val="12"/>
                <w:szCs w:val="12"/>
                <w:color w:val="auto"/>
              </w:rPr>
            </w:pPr>
          </w:p>
        </w:tc>
        <w:tc>
          <w:tcPr>
            <w:tcW w:w="780" w:type="dxa"/>
            <w:vAlign w:val="bottom"/>
            <w:shd w:val="clear" w:color="auto" w:fill="0171B9"/>
          </w:tcPr>
          <w:p>
            <w:pPr>
              <w:spacing w:after="0"/>
              <w:rPr>
                <w:sz w:val="12"/>
                <w:szCs w:val="12"/>
                <w:color w:val="auto"/>
              </w:rPr>
            </w:pPr>
          </w:p>
        </w:tc>
        <w:tc>
          <w:tcPr>
            <w:tcW w:w="1940" w:type="dxa"/>
            <w:vAlign w:val="bottom"/>
            <w:gridSpan w:val="3"/>
            <w:vMerge w:val="continue"/>
            <w:shd w:val="clear" w:color="auto" w:fill="0171B9"/>
          </w:tcPr>
          <w:p>
            <w:pPr>
              <w:spacing w:after="0"/>
              <w:rPr>
                <w:sz w:val="12"/>
                <w:szCs w:val="12"/>
                <w:color w:val="auto"/>
              </w:rPr>
            </w:pPr>
          </w:p>
        </w:tc>
        <w:tc>
          <w:tcPr>
            <w:tcW w:w="480" w:type="dxa"/>
            <w:vAlign w:val="bottom"/>
            <w:shd w:val="clear" w:color="auto" w:fill="0171B9"/>
          </w:tcPr>
          <w:p>
            <w:pPr>
              <w:spacing w:after="0"/>
              <w:rPr>
                <w:sz w:val="12"/>
                <w:szCs w:val="12"/>
                <w:color w:val="auto"/>
              </w:rPr>
            </w:pPr>
          </w:p>
        </w:tc>
        <w:tc>
          <w:tcPr>
            <w:tcW w:w="760" w:type="dxa"/>
            <w:vAlign w:val="bottom"/>
            <w:shd w:val="clear" w:color="auto" w:fill="0171B9"/>
          </w:tcPr>
          <w:p>
            <w:pPr>
              <w:jc w:val="right"/>
              <w:spacing w:after="0" w:line="138" w:lineRule="exact"/>
              <w:rPr>
                <w:sz w:val="20"/>
                <w:szCs w:val="20"/>
                <w:color w:val="auto"/>
              </w:rPr>
            </w:pPr>
            <w:r>
              <w:rPr>
                <w:rFonts w:ascii="Arial" w:cs="Arial" w:eastAsia="Arial" w:hAnsi="Arial"/>
                <w:sz w:val="13"/>
                <w:szCs w:val="13"/>
                <w:b w:val="1"/>
                <w:bCs w:val="1"/>
                <w:color w:val="FFFFFF"/>
              </w:rPr>
              <w:t>Stock</w:t>
            </w:r>
          </w:p>
        </w:tc>
        <w:tc>
          <w:tcPr>
            <w:tcW w:w="1460" w:type="dxa"/>
            <w:vAlign w:val="bottom"/>
            <w:gridSpan w:val="2"/>
            <w:shd w:val="clear" w:color="auto" w:fill="0171B9"/>
          </w:tcPr>
          <w:p>
            <w:pPr>
              <w:jc w:val="right"/>
              <w:spacing w:after="0" w:line="138" w:lineRule="exact"/>
              <w:rPr>
                <w:sz w:val="20"/>
                <w:szCs w:val="20"/>
                <w:color w:val="auto"/>
              </w:rPr>
            </w:pPr>
            <w:r>
              <w:rPr>
                <w:rFonts w:ascii="Arial" w:cs="Arial" w:eastAsia="Arial" w:hAnsi="Arial"/>
                <w:sz w:val="13"/>
                <w:szCs w:val="13"/>
                <w:b w:val="1"/>
                <w:bCs w:val="1"/>
                <w:color w:val="FFFFFF"/>
              </w:rPr>
              <w:t>Awards:  Exercise</w:t>
            </w:r>
          </w:p>
        </w:tc>
        <w:tc>
          <w:tcPr>
            <w:tcW w:w="780" w:type="dxa"/>
            <w:vAlign w:val="bottom"/>
            <w:shd w:val="clear" w:color="auto" w:fill="0171B9"/>
          </w:tcPr>
          <w:p>
            <w:pPr>
              <w:spacing w:after="0"/>
              <w:rPr>
                <w:sz w:val="12"/>
                <w:szCs w:val="12"/>
                <w:color w:val="auto"/>
              </w:rPr>
            </w:pPr>
          </w:p>
        </w:tc>
        <w:tc>
          <w:tcPr>
            <w:tcW w:w="160" w:type="dxa"/>
            <w:vAlign w:val="bottom"/>
            <w:shd w:val="clear" w:color="auto" w:fill="0171B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0171B9"/>
          </w:tcPr>
          <w:p>
            <w:pPr>
              <w:spacing w:after="0"/>
              <w:rPr>
                <w:sz w:val="12"/>
                <w:szCs w:val="12"/>
                <w:color w:val="auto"/>
              </w:rPr>
            </w:pPr>
          </w:p>
        </w:tc>
        <w:tc>
          <w:tcPr>
            <w:tcW w:w="660" w:type="dxa"/>
            <w:vAlign w:val="bottom"/>
            <w:shd w:val="clear" w:color="auto" w:fill="0171B9"/>
          </w:tcPr>
          <w:p>
            <w:pPr>
              <w:spacing w:after="0"/>
              <w:rPr>
                <w:sz w:val="12"/>
                <w:szCs w:val="12"/>
                <w:color w:val="auto"/>
              </w:rPr>
            </w:pPr>
          </w:p>
        </w:tc>
        <w:tc>
          <w:tcPr>
            <w:tcW w:w="700" w:type="dxa"/>
            <w:vAlign w:val="bottom"/>
            <w:shd w:val="clear" w:color="auto" w:fill="0171B9"/>
          </w:tcPr>
          <w:p>
            <w:pPr>
              <w:spacing w:after="0"/>
              <w:rPr>
                <w:sz w:val="12"/>
                <w:szCs w:val="12"/>
                <w:color w:val="auto"/>
              </w:rPr>
            </w:pPr>
          </w:p>
        </w:tc>
        <w:tc>
          <w:tcPr>
            <w:tcW w:w="2280" w:type="dxa"/>
            <w:vAlign w:val="bottom"/>
            <w:gridSpan w:val="3"/>
            <w:shd w:val="clear" w:color="auto" w:fill="0171B9"/>
          </w:tcPr>
          <w:p>
            <w:pPr>
              <w:jc w:val="center"/>
              <w:spacing w:after="0"/>
              <w:rPr>
                <w:sz w:val="20"/>
                <w:szCs w:val="20"/>
                <w:color w:val="auto"/>
              </w:rPr>
            </w:pPr>
            <w:r>
              <w:rPr>
                <w:rFonts w:ascii="Arial" w:cs="Arial" w:eastAsia="Arial" w:hAnsi="Arial"/>
                <w:sz w:val="13"/>
                <w:szCs w:val="13"/>
                <w:b w:val="1"/>
                <w:bCs w:val="1"/>
                <w:color w:val="FFFFFF"/>
              </w:rPr>
              <w:t>Estimated Future Payouts</w:t>
            </w:r>
          </w:p>
        </w:tc>
        <w:tc>
          <w:tcPr>
            <w:tcW w:w="1940" w:type="dxa"/>
            <w:vAlign w:val="bottom"/>
            <w:gridSpan w:val="3"/>
            <w:shd w:val="clear" w:color="auto" w:fill="0171B9"/>
          </w:tcPr>
          <w:p>
            <w:pPr>
              <w:jc w:val="center"/>
              <w:ind w:left="400"/>
              <w:spacing w:after="0"/>
              <w:rPr>
                <w:sz w:val="20"/>
                <w:szCs w:val="20"/>
                <w:color w:val="auto"/>
              </w:rPr>
            </w:pPr>
            <w:r>
              <w:rPr>
                <w:rFonts w:ascii="Arial" w:cs="Arial" w:eastAsia="Arial" w:hAnsi="Arial"/>
                <w:sz w:val="13"/>
                <w:szCs w:val="13"/>
                <w:b w:val="1"/>
                <w:bCs w:val="1"/>
                <w:color w:val="FFFFFF"/>
              </w:rPr>
              <w:t>Payouts Under Equity</w:t>
            </w:r>
          </w:p>
        </w:tc>
        <w:tc>
          <w:tcPr>
            <w:tcW w:w="480" w:type="dxa"/>
            <w:vAlign w:val="bottom"/>
            <w:shd w:val="clear" w:color="auto" w:fill="0171B9"/>
          </w:tcPr>
          <w:p>
            <w:pPr>
              <w:spacing w:after="0"/>
              <w:rPr>
                <w:sz w:val="12"/>
                <w:szCs w:val="12"/>
                <w:color w:val="auto"/>
              </w:rPr>
            </w:pPr>
          </w:p>
        </w:tc>
        <w:tc>
          <w:tcPr>
            <w:tcW w:w="760" w:type="dxa"/>
            <w:vAlign w:val="bottom"/>
            <w:shd w:val="clear" w:color="auto" w:fill="0171B9"/>
          </w:tcPr>
          <w:p>
            <w:pPr>
              <w:jc w:val="right"/>
              <w:spacing w:after="0"/>
              <w:rPr>
                <w:sz w:val="20"/>
                <w:szCs w:val="20"/>
                <w:color w:val="auto"/>
              </w:rPr>
            </w:pPr>
            <w:r>
              <w:rPr>
                <w:rFonts w:ascii="Arial" w:cs="Arial" w:eastAsia="Arial" w:hAnsi="Arial"/>
                <w:sz w:val="13"/>
                <w:szCs w:val="13"/>
                <w:b w:val="1"/>
                <w:bCs w:val="1"/>
                <w:color w:val="FFFFFF"/>
              </w:rPr>
              <w:t>Awards:</w:t>
            </w:r>
          </w:p>
        </w:tc>
        <w:tc>
          <w:tcPr>
            <w:tcW w:w="840" w:type="dxa"/>
            <w:vAlign w:val="bottom"/>
            <w:shd w:val="clear" w:color="auto" w:fill="0171B9"/>
          </w:tcPr>
          <w:p>
            <w:pPr>
              <w:jc w:val="right"/>
              <w:ind w:right="12"/>
              <w:spacing w:after="0"/>
              <w:rPr>
                <w:sz w:val="20"/>
                <w:szCs w:val="20"/>
                <w:color w:val="auto"/>
              </w:rPr>
            </w:pPr>
            <w:r>
              <w:rPr>
                <w:rFonts w:ascii="Arial" w:cs="Arial" w:eastAsia="Arial" w:hAnsi="Arial"/>
                <w:sz w:val="13"/>
                <w:szCs w:val="13"/>
                <w:b w:val="1"/>
                <w:bCs w:val="1"/>
                <w:color w:val="FFFFFF"/>
              </w:rPr>
              <w:t>Number of</w:t>
            </w:r>
          </w:p>
        </w:tc>
        <w:tc>
          <w:tcPr>
            <w:tcW w:w="620" w:type="dxa"/>
            <w:vAlign w:val="bottom"/>
            <w:shd w:val="clear" w:color="auto" w:fill="0171B9"/>
          </w:tcPr>
          <w:p>
            <w:pPr>
              <w:jc w:val="right"/>
              <w:spacing w:after="0"/>
              <w:rPr>
                <w:sz w:val="20"/>
                <w:szCs w:val="20"/>
                <w:color w:val="auto"/>
              </w:rPr>
            </w:pPr>
            <w:r>
              <w:rPr>
                <w:rFonts w:ascii="Arial" w:cs="Arial" w:eastAsia="Arial" w:hAnsi="Arial"/>
                <w:sz w:val="13"/>
                <w:szCs w:val="13"/>
                <w:b w:val="1"/>
                <w:bCs w:val="1"/>
                <w:color w:val="FFFFFF"/>
              </w:rPr>
              <w:t>or Base</w:t>
            </w:r>
          </w:p>
        </w:tc>
        <w:tc>
          <w:tcPr>
            <w:tcW w:w="780" w:type="dxa"/>
            <w:vAlign w:val="bottom"/>
            <w:shd w:val="clear" w:color="auto" w:fill="0171B9"/>
          </w:tcPr>
          <w:p>
            <w:pPr>
              <w:jc w:val="right"/>
              <w:spacing w:after="0"/>
              <w:rPr>
                <w:sz w:val="20"/>
                <w:szCs w:val="20"/>
                <w:color w:val="auto"/>
              </w:rPr>
            </w:pPr>
            <w:r>
              <w:rPr>
                <w:rFonts w:ascii="Arial" w:cs="Arial" w:eastAsia="Arial" w:hAnsi="Arial"/>
                <w:sz w:val="13"/>
                <w:szCs w:val="13"/>
                <w:b w:val="1"/>
                <w:bCs w:val="1"/>
                <w:color w:val="FFFFFF"/>
              </w:rPr>
              <w:t>Grant Date</w:t>
            </w:r>
          </w:p>
        </w:tc>
        <w:tc>
          <w:tcPr>
            <w:tcW w:w="160" w:type="dxa"/>
            <w:vAlign w:val="bottom"/>
            <w:shd w:val="clear" w:color="auto" w:fill="0171B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shd w:val="clear" w:color="auto" w:fill="0171B9"/>
          </w:tcPr>
          <w:p>
            <w:pPr>
              <w:spacing w:after="0"/>
              <w:rPr>
                <w:sz w:val="12"/>
                <w:szCs w:val="12"/>
                <w:color w:val="auto"/>
              </w:rPr>
            </w:pPr>
          </w:p>
        </w:tc>
        <w:tc>
          <w:tcPr>
            <w:tcW w:w="660" w:type="dxa"/>
            <w:vAlign w:val="bottom"/>
            <w:shd w:val="clear" w:color="auto" w:fill="0171B9"/>
          </w:tcPr>
          <w:p>
            <w:pPr>
              <w:spacing w:after="0"/>
              <w:rPr>
                <w:sz w:val="12"/>
                <w:szCs w:val="12"/>
                <w:color w:val="auto"/>
              </w:rPr>
            </w:pPr>
          </w:p>
        </w:tc>
        <w:tc>
          <w:tcPr>
            <w:tcW w:w="700" w:type="dxa"/>
            <w:vAlign w:val="bottom"/>
            <w:shd w:val="clear" w:color="auto" w:fill="0171B9"/>
          </w:tcPr>
          <w:p>
            <w:pPr>
              <w:spacing w:after="0"/>
              <w:rPr>
                <w:sz w:val="12"/>
                <w:szCs w:val="12"/>
                <w:color w:val="auto"/>
              </w:rPr>
            </w:pPr>
          </w:p>
        </w:tc>
        <w:tc>
          <w:tcPr>
            <w:tcW w:w="2280" w:type="dxa"/>
            <w:vAlign w:val="bottom"/>
            <w:gridSpan w:val="3"/>
            <w:shd w:val="clear" w:color="auto" w:fill="0171B9"/>
          </w:tcPr>
          <w:p>
            <w:pPr>
              <w:jc w:val="center"/>
              <w:spacing w:after="0"/>
              <w:rPr>
                <w:sz w:val="20"/>
                <w:szCs w:val="20"/>
                <w:color w:val="auto"/>
              </w:rPr>
            </w:pPr>
            <w:r>
              <w:rPr>
                <w:rFonts w:ascii="Arial" w:cs="Arial" w:eastAsia="Arial" w:hAnsi="Arial"/>
                <w:sz w:val="13"/>
                <w:szCs w:val="13"/>
                <w:b w:val="1"/>
                <w:bCs w:val="1"/>
                <w:color w:val="FFFFFF"/>
              </w:rPr>
              <w:t>Under Non-Equity Incentive</w:t>
            </w:r>
          </w:p>
        </w:tc>
        <w:tc>
          <w:tcPr>
            <w:tcW w:w="1940" w:type="dxa"/>
            <w:vAlign w:val="bottom"/>
            <w:gridSpan w:val="3"/>
            <w:shd w:val="clear" w:color="auto" w:fill="0171B9"/>
          </w:tcPr>
          <w:p>
            <w:pPr>
              <w:jc w:val="center"/>
              <w:ind w:left="400"/>
              <w:spacing w:after="0"/>
              <w:rPr>
                <w:sz w:val="20"/>
                <w:szCs w:val="20"/>
                <w:color w:val="auto"/>
              </w:rPr>
            </w:pPr>
            <w:r>
              <w:rPr>
                <w:rFonts w:ascii="Arial" w:cs="Arial" w:eastAsia="Arial" w:hAnsi="Arial"/>
                <w:sz w:val="13"/>
                <w:szCs w:val="13"/>
                <w:b w:val="1"/>
                <w:bCs w:val="1"/>
                <w:color w:val="FFFFFF"/>
              </w:rPr>
              <w:t>Incentive Plan Awards</w:t>
            </w:r>
          </w:p>
        </w:tc>
        <w:tc>
          <w:tcPr>
            <w:tcW w:w="480" w:type="dxa"/>
            <w:vAlign w:val="bottom"/>
            <w:shd w:val="clear" w:color="auto" w:fill="0171B9"/>
          </w:tcPr>
          <w:p>
            <w:pPr>
              <w:spacing w:after="0"/>
              <w:rPr>
                <w:sz w:val="12"/>
                <w:szCs w:val="12"/>
                <w:color w:val="auto"/>
              </w:rPr>
            </w:pPr>
          </w:p>
        </w:tc>
        <w:tc>
          <w:tcPr>
            <w:tcW w:w="760" w:type="dxa"/>
            <w:vAlign w:val="bottom"/>
            <w:shd w:val="clear" w:color="auto" w:fill="0171B9"/>
          </w:tcPr>
          <w:p>
            <w:pPr>
              <w:jc w:val="right"/>
              <w:spacing w:after="0"/>
              <w:rPr>
                <w:sz w:val="20"/>
                <w:szCs w:val="20"/>
                <w:color w:val="auto"/>
              </w:rPr>
            </w:pPr>
            <w:r>
              <w:rPr>
                <w:rFonts w:ascii="Arial" w:cs="Arial" w:eastAsia="Arial" w:hAnsi="Arial"/>
                <w:sz w:val="13"/>
                <w:szCs w:val="13"/>
                <w:b w:val="1"/>
                <w:bCs w:val="1"/>
                <w:color w:val="FFFFFF"/>
              </w:rPr>
              <w:t>Number of</w:t>
            </w:r>
          </w:p>
        </w:tc>
        <w:tc>
          <w:tcPr>
            <w:tcW w:w="840" w:type="dxa"/>
            <w:vAlign w:val="bottom"/>
            <w:shd w:val="clear" w:color="auto" w:fill="0171B9"/>
          </w:tcPr>
          <w:p>
            <w:pPr>
              <w:jc w:val="right"/>
              <w:ind w:right="12"/>
              <w:spacing w:after="0"/>
              <w:rPr>
                <w:sz w:val="20"/>
                <w:szCs w:val="20"/>
                <w:color w:val="auto"/>
              </w:rPr>
            </w:pPr>
            <w:r>
              <w:rPr>
                <w:rFonts w:ascii="Arial" w:cs="Arial" w:eastAsia="Arial" w:hAnsi="Arial"/>
                <w:sz w:val="13"/>
                <w:szCs w:val="13"/>
                <w:b w:val="1"/>
                <w:bCs w:val="1"/>
                <w:color w:val="FFFFFF"/>
              </w:rPr>
              <w:t>Securities</w:t>
            </w:r>
          </w:p>
        </w:tc>
        <w:tc>
          <w:tcPr>
            <w:tcW w:w="620" w:type="dxa"/>
            <w:vAlign w:val="bottom"/>
            <w:shd w:val="clear" w:color="auto" w:fill="0171B9"/>
          </w:tcPr>
          <w:p>
            <w:pPr>
              <w:jc w:val="right"/>
              <w:spacing w:after="0"/>
              <w:rPr>
                <w:sz w:val="20"/>
                <w:szCs w:val="20"/>
                <w:color w:val="auto"/>
              </w:rPr>
            </w:pPr>
            <w:r>
              <w:rPr>
                <w:rFonts w:ascii="Arial" w:cs="Arial" w:eastAsia="Arial" w:hAnsi="Arial"/>
                <w:sz w:val="13"/>
                <w:szCs w:val="13"/>
                <w:b w:val="1"/>
                <w:bCs w:val="1"/>
                <w:color w:val="FFFFFF"/>
              </w:rPr>
              <w:t>Price of</w:t>
            </w:r>
          </w:p>
        </w:tc>
        <w:tc>
          <w:tcPr>
            <w:tcW w:w="780" w:type="dxa"/>
            <w:vAlign w:val="bottom"/>
            <w:shd w:val="clear" w:color="auto" w:fill="0171B9"/>
          </w:tcPr>
          <w:p>
            <w:pPr>
              <w:jc w:val="right"/>
              <w:spacing w:after="0"/>
              <w:rPr>
                <w:sz w:val="20"/>
                <w:szCs w:val="20"/>
                <w:color w:val="auto"/>
              </w:rPr>
            </w:pPr>
            <w:r>
              <w:rPr>
                <w:rFonts w:ascii="Arial" w:cs="Arial" w:eastAsia="Arial" w:hAnsi="Arial"/>
                <w:sz w:val="13"/>
                <w:szCs w:val="13"/>
                <w:b w:val="1"/>
                <w:bCs w:val="1"/>
                <w:color w:val="FFFFFF"/>
              </w:rPr>
              <w:t>Fair Value</w:t>
            </w:r>
          </w:p>
        </w:tc>
        <w:tc>
          <w:tcPr>
            <w:tcW w:w="160" w:type="dxa"/>
            <w:vAlign w:val="bottom"/>
            <w:shd w:val="clear" w:color="auto" w:fill="0171B9"/>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00" w:type="dxa"/>
            <w:vAlign w:val="bottom"/>
            <w:shd w:val="clear" w:color="auto" w:fill="0171B9"/>
          </w:tcPr>
          <w:p>
            <w:pPr>
              <w:spacing w:after="0"/>
              <w:rPr>
                <w:sz w:val="13"/>
                <w:szCs w:val="13"/>
                <w:color w:val="auto"/>
              </w:rPr>
            </w:pPr>
          </w:p>
        </w:tc>
        <w:tc>
          <w:tcPr>
            <w:tcW w:w="660" w:type="dxa"/>
            <w:vAlign w:val="bottom"/>
            <w:shd w:val="clear" w:color="auto" w:fill="0171B9"/>
          </w:tcPr>
          <w:p>
            <w:pPr>
              <w:spacing w:after="0"/>
              <w:rPr>
                <w:sz w:val="13"/>
                <w:szCs w:val="13"/>
                <w:color w:val="auto"/>
              </w:rPr>
            </w:pPr>
          </w:p>
        </w:tc>
        <w:tc>
          <w:tcPr>
            <w:tcW w:w="700" w:type="dxa"/>
            <w:vAlign w:val="bottom"/>
            <w:shd w:val="clear" w:color="auto" w:fill="0171B9"/>
          </w:tcPr>
          <w:p>
            <w:pPr>
              <w:spacing w:after="0"/>
              <w:rPr>
                <w:sz w:val="13"/>
                <w:szCs w:val="13"/>
                <w:color w:val="auto"/>
              </w:rPr>
            </w:pPr>
          </w:p>
        </w:tc>
        <w:tc>
          <w:tcPr>
            <w:tcW w:w="2280" w:type="dxa"/>
            <w:vAlign w:val="bottom"/>
            <w:gridSpan w:val="3"/>
            <w:shd w:val="clear" w:color="auto" w:fill="0171B9"/>
          </w:tcPr>
          <w:p>
            <w:pPr>
              <w:jc w:val="center"/>
              <w:spacing w:after="0" w:line="159" w:lineRule="exact"/>
              <w:rPr>
                <w:sz w:val="20"/>
                <w:szCs w:val="20"/>
                <w:color w:val="auto"/>
              </w:rPr>
            </w:pPr>
            <w:r>
              <w:rPr>
                <w:rFonts w:ascii="Arial" w:cs="Arial" w:eastAsia="Arial" w:hAnsi="Arial"/>
                <w:sz w:val="12"/>
                <w:szCs w:val="12"/>
                <w:b w:val="1"/>
                <w:bCs w:val="1"/>
                <w:color w:val="FFFFFF"/>
              </w:rPr>
              <w:t>Plan Awards($)</w:t>
            </w:r>
            <w:r>
              <w:rPr>
                <w:rFonts w:ascii="Arial" w:cs="Arial" w:eastAsia="Arial" w:hAnsi="Arial"/>
                <w:sz w:val="18"/>
                <w:szCs w:val="18"/>
                <w:b w:val="1"/>
                <w:bCs w:val="1"/>
                <w:color w:val="FFFFFF"/>
                <w:vertAlign w:val="superscript"/>
              </w:rPr>
              <w:t>(2)</w:t>
            </w:r>
          </w:p>
        </w:tc>
        <w:tc>
          <w:tcPr>
            <w:tcW w:w="1680" w:type="dxa"/>
            <w:vAlign w:val="bottom"/>
            <w:gridSpan w:val="2"/>
            <w:shd w:val="clear" w:color="auto" w:fill="0171B9"/>
          </w:tcPr>
          <w:p>
            <w:pPr>
              <w:jc w:val="center"/>
              <w:ind w:left="680"/>
              <w:spacing w:after="0" w:line="159" w:lineRule="exact"/>
              <w:rPr>
                <w:sz w:val="20"/>
                <w:szCs w:val="20"/>
                <w:color w:val="auto"/>
              </w:rPr>
            </w:pPr>
            <w:r>
              <w:rPr>
                <w:rFonts w:ascii="Arial" w:cs="Arial" w:eastAsia="Arial" w:hAnsi="Arial"/>
                <w:sz w:val="12"/>
                <w:szCs w:val="12"/>
                <w:b w:val="1"/>
                <w:bCs w:val="1"/>
                <w:color w:val="FFFFFF"/>
              </w:rPr>
              <w:t>(# of units)</w:t>
            </w:r>
            <w:r>
              <w:rPr>
                <w:rFonts w:ascii="Arial" w:cs="Arial" w:eastAsia="Arial" w:hAnsi="Arial"/>
                <w:sz w:val="18"/>
                <w:szCs w:val="18"/>
                <w:b w:val="1"/>
                <w:bCs w:val="1"/>
                <w:color w:val="FFFFFF"/>
                <w:vertAlign w:val="superscript"/>
              </w:rPr>
              <w:t>(3)</w:t>
            </w:r>
          </w:p>
        </w:tc>
        <w:tc>
          <w:tcPr>
            <w:tcW w:w="260" w:type="dxa"/>
            <w:vAlign w:val="bottom"/>
            <w:shd w:val="clear" w:color="auto" w:fill="0171B9"/>
          </w:tcPr>
          <w:p>
            <w:pPr>
              <w:spacing w:after="0"/>
              <w:rPr>
                <w:sz w:val="13"/>
                <w:szCs w:val="13"/>
                <w:color w:val="auto"/>
              </w:rPr>
            </w:pPr>
          </w:p>
        </w:tc>
        <w:tc>
          <w:tcPr>
            <w:tcW w:w="480" w:type="dxa"/>
            <w:vAlign w:val="bottom"/>
            <w:shd w:val="clear" w:color="auto" w:fill="0171B9"/>
          </w:tcPr>
          <w:p>
            <w:pPr>
              <w:spacing w:after="0"/>
              <w:rPr>
                <w:sz w:val="13"/>
                <w:szCs w:val="13"/>
                <w:color w:val="auto"/>
              </w:rPr>
            </w:pPr>
          </w:p>
        </w:tc>
        <w:tc>
          <w:tcPr>
            <w:tcW w:w="760" w:type="dxa"/>
            <w:vAlign w:val="bottom"/>
            <w:shd w:val="clear" w:color="auto" w:fill="0171B9"/>
          </w:tcPr>
          <w:p>
            <w:pPr>
              <w:jc w:val="right"/>
              <w:spacing w:after="0"/>
              <w:rPr>
                <w:sz w:val="20"/>
                <w:szCs w:val="20"/>
                <w:color w:val="auto"/>
              </w:rPr>
            </w:pPr>
            <w:r>
              <w:rPr>
                <w:rFonts w:ascii="Arial" w:cs="Arial" w:eastAsia="Arial" w:hAnsi="Arial"/>
                <w:sz w:val="13"/>
                <w:szCs w:val="13"/>
                <w:b w:val="1"/>
                <w:bCs w:val="1"/>
                <w:color w:val="FFFFFF"/>
              </w:rPr>
              <w:t>Shares of</w:t>
            </w:r>
          </w:p>
        </w:tc>
        <w:tc>
          <w:tcPr>
            <w:tcW w:w="840" w:type="dxa"/>
            <w:vAlign w:val="bottom"/>
            <w:shd w:val="clear" w:color="auto" w:fill="0171B9"/>
          </w:tcPr>
          <w:p>
            <w:pPr>
              <w:jc w:val="right"/>
              <w:ind w:right="12"/>
              <w:spacing w:after="0"/>
              <w:rPr>
                <w:sz w:val="20"/>
                <w:szCs w:val="20"/>
                <w:color w:val="auto"/>
              </w:rPr>
            </w:pPr>
            <w:r>
              <w:rPr>
                <w:rFonts w:ascii="Arial" w:cs="Arial" w:eastAsia="Arial" w:hAnsi="Arial"/>
                <w:sz w:val="13"/>
                <w:szCs w:val="13"/>
                <w:b w:val="1"/>
                <w:bCs w:val="1"/>
                <w:color w:val="FFFFFF"/>
              </w:rPr>
              <w:t>Underlying</w:t>
            </w:r>
          </w:p>
        </w:tc>
        <w:tc>
          <w:tcPr>
            <w:tcW w:w="620" w:type="dxa"/>
            <w:vAlign w:val="bottom"/>
            <w:shd w:val="clear" w:color="auto" w:fill="0171B9"/>
          </w:tcPr>
          <w:p>
            <w:pPr>
              <w:jc w:val="right"/>
              <w:spacing w:after="0"/>
              <w:rPr>
                <w:sz w:val="20"/>
                <w:szCs w:val="20"/>
                <w:color w:val="auto"/>
              </w:rPr>
            </w:pPr>
            <w:r>
              <w:rPr>
                <w:rFonts w:ascii="Arial" w:cs="Arial" w:eastAsia="Arial" w:hAnsi="Arial"/>
                <w:sz w:val="13"/>
                <w:szCs w:val="13"/>
                <w:b w:val="1"/>
                <w:bCs w:val="1"/>
                <w:color w:val="FFFFFF"/>
              </w:rPr>
              <w:t>Option</w:t>
            </w:r>
          </w:p>
        </w:tc>
        <w:tc>
          <w:tcPr>
            <w:tcW w:w="780" w:type="dxa"/>
            <w:vAlign w:val="bottom"/>
            <w:shd w:val="clear" w:color="auto" w:fill="0171B9"/>
          </w:tcPr>
          <w:p>
            <w:pPr>
              <w:jc w:val="right"/>
              <w:spacing w:after="0"/>
              <w:rPr>
                <w:sz w:val="20"/>
                <w:szCs w:val="20"/>
                <w:color w:val="auto"/>
              </w:rPr>
            </w:pPr>
            <w:r>
              <w:rPr>
                <w:rFonts w:ascii="Arial" w:cs="Arial" w:eastAsia="Arial" w:hAnsi="Arial"/>
                <w:sz w:val="13"/>
                <w:szCs w:val="13"/>
                <w:b w:val="1"/>
                <w:bCs w:val="1"/>
                <w:color w:val="FFFFFF"/>
              </w:rPr>
              <w:t>of Stock</w:t>
            </w:r>
          </w:p>
        </w:tc>
        <w:tc>
          <w:tcPr>
            <w:tcW w:w="160" w:type="dxa"/>
            <w:vAlign w:val="bottom"/>
            <w:shd w:val="clear" w:color="auto" w:fill="0171B9"/>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0171B9"/>
          </w:tcPr>
          <w:p>
            <w:pPr>
              <w:spacing w:after="0"/>
              <w:rPr>
                <w:sz w:val="12"/>
                <w:szCs w:val="12"/>
                <w:color w:val="auto"/>
              </w:rPr>
            </w:pPr>
          </w:p>
        </w:tc>
        <w:tc>
          <w:tcPr>
            <w:tcW w:w="660" w:type="dxa"/>
            <w:vAlign w:val="bottom"/>
            <w:shd w:val="clear" w:color="auto" w:fill="0171B9"/>
          </w:tcPr>
          <w:p>
            <w:pPr>
              <w:jc w:val="right"/>
              <w:ind w:right="193"/>
              <w:spacing w:after="0"/>
              <w:rPr>
                <w:sz w:val="20"/>
                <w:szCs w:val="20"/>
                <w:color w:val="auto"/>
              </w:rPr>
            </w:pPr>
            <w:r>
              <w:rPr>
                <w:rFonts w:ascii="Arial" w:cs="Arial" w:eastAsia="Arial" w:hAnsi="Arial"/>
                <w:sz w:val="13"/>
                <w:szCs w:val="13"/>
                <w:b w:val="1"/>
                <w:bCs w:val="1"/>
                <w:color w:val="FFFFFF"/>
              </w:rPr>
              <w:t>Grant</w:t>
            </w:r>
          </w:p>
        </w:tc>
        <w:tc>
          <w:tcPr>
            <w:tcW w:w="700" w:type="dxa"/>
            <w:vAlign w:val="bottom"/>
            <w:shd w:val="clear" w:color="auto" w:fill="0171B9"/>
          </w:tcPr>
          <w:p>
            <w:pPr>
              <w:jc w:val="right"/>
              <w:spacing w:after="0"/>
              <w:rPr>
                <w:sz w:val="20"/>
                <w:szCs w:val="20"/>
                <w:color w:val="auto"/>
              </w:rPr>
            </w:pPr>
            <w:r>
              <w:rPr>
                <w:rFonts w:ascii="Arial" w:cs="Arial" w:eastAsia="Arial" w:hAnsi="Arial"/>
                <w:sz w:val="13"/>
                <w:szCs w:val="13"/>
                <w:b w:val="1"/>
                <w:bCs w:val="1"/>
                <w:color w:val="FFFFFF"/>
              </w:rPr>
              <w:t>Approval</w:t>
            </w:r>
          </w:p>
        </w:tc>
        <w:tc>
          <w:tcPr>
            <w:tcW w:w="860" w:type="dxa"/>
            <w:vAlign w:val="bottom"/>
            <w:shd w:val="clear" w:color="auto" w:fill="0171B9"/>
          </w:tcPr>
          <w:p>
            <w:pPr>
              <w:spacing w:after="0"/>
              <w:rPr>
                <w:sz w:val="12"/>
                <w:szCs w:val="12"/>
                <w:color w:val="auto"/>
              </w:rPr>
            </w:pPr>
          </w:p>
        </w:tc>
        <w:tc>
          <w:tcPr>
            <w:tcW w:w="640" w:type="dxa"/>
            <w:vAlign w:val="bottom"/>
            <w:shd w:val="clear" w:color="auto" w:fill="0171B9"/>
          </w:tcPr>
          <w:p>
            <w:pPr>
              <w:spacing w:after="0"/>
              <w:rPr>
                <w:sz w:val="12"/>
                <w:szCs w:val="12"/>
                <w:color w:val="auto"/>
              </w:rPr>
            </w:pPr>
          </w:p>
        </w:tc>
        <w:tc>
          <w:tcPr>
            <w:tcW w:w="780" w:type="dxa"/>
            <w:vAlign w:val="bottom"/>
            <w:shd w:val="clear" w:color="auto" w:fill="0171B9"/>
          </w:tcPr>
          <w:p>
            <w:pPr>
              <w:spacing w:after="0"/>
              <w:rPr>
                <w:sz w:val="12"/>
                <w:szCs w:val="12"/>
                <w:color w:val="auto"/>
              </w:rPr>
            </w:pPr>
          </w:p>
        </w:tc>
        <w:tc>
          <w:tcPr>
            <w:tcW w:w="900" w:type="dxa"/>
            <w:vAlign w:val="bottom"/>
            <w:shd w:val="clear" w:color="auto" w:fill="0171B9"/>
          </w:tcPr>
          <w:p>
            <w:pPr>
              <w:spacing w:after="0"/>
              <w:rPr>
                <w:sz w:val="12"/>
                <w:szCs w:val="12"/>
                <w:color w:val="auto"/>
              </w:rPr>
            </w:pPr>
          </w:p>
        </w:tc>
        <w:tc>
          <w:tcPr>
            <w:tcW w:w="780" w:type="dxa"/>
            <w:vAlign w:val="bottom"/>
            <w:shd w:val="clear" w:color="auto" w:fill="0171B9"/>
          </w:tcPr>
          <w:p>
            <w:pPr>
              <w:spacing w:after="0"/>
              <w:rPr>
                <w:sz w:val="12"/>
                <w:szCs w:val="12"/>
                <w:color w:val="auto"/>
              </w:rPr>
            </w:pPr>
          </w:p>
        </w:tc>
        <w:tc>
          <w:tcPr>
            <w:tcW w:w="260" w:type="dxa"/>
            <w:vAlign w:val="bottom"/>
            <w:shd w:val="clear" w:color="auto" w:fill="0171B9"/>
          </w:tcPr>
          <w:p>
            <w:pPr>
              <w:spacing w:after="0"/>
              <w:rPr>
                <w:sz w:val="12"/>
                <w:szCs w:val="12"/>
                <w:color w:val="auto"/>
              </w:rPr>
            </w:pPr>
          </w:p>
        </w:tc>
        <w:tc>
          <w:tcPr>
            <w:tcW w:w="480" w:type="dxa"/>
            <w:vAlign w:val="bottom"/>
            <w:shd w:val="clear" w:color="auto" w:fill="0171B9"/>
          </w:tcPr>
          <w:p>
            <w:pPr>
              <w:spacing w:after="0"/>
              <w:rPr>
                <w:sz w:val="12"/>
                <w:szCs w:val="12"/>
                <w:color w:val="auto"/>
              </w:rPr>
            </w:pPr>
          </w:p>
        </w:tc>
        <w:tc>
          <w:tcPr>
            <w:tcW w:w="760" w:type="dxa"/>
            <w:vAlign w:val="bottom"/>
            <w:shd w:val="clear" w:color="auto" w:fill="0171B9"/>
          </w:tcPr>
          <w:p>
            <w:pPr>
              <w:jc w:val="right"/>
              <w:spacing w:after="0"/>
              <w:rPr>
                <w:sz w:val="20"/>
                <w:szCs w:val="20"/>
                <w:color w:val="auto"/>
              </w:rPr>
            </w:pPr>
            <w:r>
              <w:rPr>
                <w:rFonts w:ascii="Arial" w:cs="Arial" w:eastAsia="Arial" w:hAnsi="Arial"/>
                <w:sz w:val="13"/>
                <w:szCs w:val="13"/>
                <w:b w:val="1"/>
                <w:bCs w:val="1"/>
                <w:color w:val="FFFFFF"/>
              </w:rPr>
              <w:t>Stock or</w:t>
            </w:r>
          </w:p>
        </w:tc>
        <w:tc>
          <w:tcPr>
            <w:tcW w:w="840" w:type="dxa"/>
            <w:vAlign w:val="bottom"/>
            <w:shd w:val="clear" w:color="auto" w:fill="0171B9"/>
          </w:tcPr>
          <w:p>
            <w:pPr>
              <w:jc w:val="right"/>
              <w:ind w:right="12"/>
              <w:spacing w:after="0"/>
              <w:rPr>
                <w:sz w:val="20"/>
                <w:szCs w:val="20"/>
                <w:color w:val="auto"/>
              </w:rPr>
            </w:pPr>
            <w:r>
              <w:rPr>
                <w:rFonts w:ascii="Arial" w:cs="Arial" w:eastAsia="Arial" w:hAnsi="Arial"/>
                <w:sz w:val="13"/>
                <w:szCs w:val="13"/>
                <w:b w:val="1"/>
                <w:bCs w:val="1"/>
                <w:color w:val="FFFFFF"/>
              </w:rPr>
              <w:t>Options</w:t>
            </w:r>
          </w:p>
        </w:tc>
        <w:tc>
          <w:tcPr>
            <w:tcW w:w="620" w:type="dxa"/>
            <w:vAlign w:val="bottom"/>
            <w:shd w:val="clear" w:color="auto" w:fill="0171B9"/>
          </w:tcPr>
          <w:p>
            <w:pPr>
              <w:jc w:val="right"/>
              <w:spacing w:after="0"/>
              <w:rPr>
                <w:sz w:val="20"/>
                <w:szCs w:val="20"/>
                <w:color w:val="auto"/>
              </w:rPr>
            </w:pPr>
            <w:r>
              <w:rPr>
                <w:rFonts w:ascii="Arial" w:cs="Arial" w:eastAsia="Arial" w:hAnsi="Arial"/>
                <w:sz w:val="13"/>
                <w:szCs w:val="13"/>
                <w:b w:val="1"/>
                <w:bCs w:val="1"/>
                <w:color w:val="FFFFFF"/>
              </w:rPr>
              <w:t>Awards</w:t>
            </w:r>
          </w:p>
        </w:tc>
        <w:tc>
          <w:tcPr>
            <w:tcW w:w="780" w:type="dxa"/>
            <w:vAlign w:val="bottom"/>
            <w:shd w:val="clear" w:color="auto" w:fill="0171B9"/>
          </w:tcPr>
          <w:p>
            <w:pPr>
              <w:jc w:val="right"/>
              <w:spacing w:after="0"/>
              <w:rPr>
                <w:sz w:val="20"/>
                <w:szCs w:val="20"/>
                <w:color w:val="auto"/>
              </w:rPr>
            </w:pPr>
            <w:r>
              <w:rPr>
                <w:rFonts w:ascii="Arial" w:cs="Arial" w:eastAsia="Arial" w:hAnsi="Arial"/>
                <w:sz w:val="13"/>
                <w:szCs w:val="13"/>
                <w:b w:val="1"/>
                <w:bCs w:val="1"/>
                <w:color w:val="FFFFFF"/>
              </w:rPr>
              <w:t>and Option</w:t>
            </w:r>
          </w:p>
        </w:tc>
        <w:tc>
          <w:tcPr>
            <w:tcW w:w="160" w:type="dxa"/>
            <w:vAlign w:val="bottom"/>
            <w:shd w:val="clear" w:color="auto" w:fill="0171B9"/>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800" w:type="dxa"/>
            <w:vAlign w:val="bottom"/>
            <w:shd w:val="clear" w:color="auto" w:fill="0171B9"/>
          </w:tcPr>
          <w:p>
            <w:pPr>
              <w:ind w:left="60"/>
              <w:spacing w:after="0"/>
              <w:rPr>
                <w:sz w:val="20"/>
                <w:szCs w:val="20"/>
                <w:color w:val="auto"/>
              </w:rPr>
            </w:pPr>
            <w:r>
              <w:rPr>
                <w:rFonts w:ascii="Arial" w:cs="Arial" w:eastAsia="Arial" w:hAnsi="Arial"/>
                <w:sz w:val="13"/>
                <w:szCs w:val="13"/>
                <w:b w:val="1"/>
                <w:bCs w:val="1"/>
                <w:color w:val="FFFFFF"/>
              </w:rPr>
              <w:t>Name</w:t>
            </w:r>
          </w:p>
        </w:tc>
        <w:tc>
          <w:tcPr>
            <w:tcW w:w="660" w:type="dxa"/>
            <w:vAlign w:val="bottom"/>
            <w:shd w:val="clear" w:color="auto" w:fill="0171B9"/>
          </w:tcPr>
          <w:p>
            <w:pPr>
              <w:jc w:val="right"/>
              <w:ind w:right="253"/>
              <w:spacing w:after="0"/>
              <w:rPr>
                <w:sz w:val="20"/>
                <w:szCs w:val="20"/>
                <w:color w:val="auto"/>
              </w:rPr>
            </w:pPr>
            <w:r>
              <w:rPr>
                <w:rFonts w:ascii="Arial" w:cs="Arial" w:eastAsia="Arial" w:hAnsi="Arial"/>
                <w:sz w:val="13"/>
                <w:szCs w:val="13"/>
                <w:b w:val="1"/>
                <w:bCs w:val="1"/>
                <w:color w:val="FFFFFF"/>
              </w:rPr>
              <w:t>Date</w:t>
            </w:r>
          </w:p>
        </w:tc>
        <w:tc>
          <w:tcPr>
            <w:tcW w:w="700" w:type="dxa"/>
            <w:vAlign w:val="bottom"/>
            <w:shd w:val="clear" w:color="auto" w:fill="0171B9"/>
          </w:tcPr>
          <w:p>
            <w:pPr>
              <w:jc w:val="right"/>
              <w:spacing w:after="0" w:line="179" w:lineRule="exact"/>
              <w:rPr>
                <w:sz w:val="20"/>
                <w:szCs w:val="20"/>
                <w:color w:val="auto"/>
              </w:rPr>
            </w:pPr>
            <w:r>
              <w:rPr>
                <w:rFonts w:ascii="Arial" w:cs="Arial" w:eastAsia="Arial" w:hAnsi="Arial"/>
                <w:sz w:val="13"/>
                <w:szCs w:val="13"/>
                <w:b w:val="1"/>
                <w:bCs w:val="1"/>
                <w:color w:val="FFFFFF"/>
              </w:rPr>
              <w:t>Date</w:t>
            </w:r>
            <w:r>
              <w:rPr>
                <w:rFonts w:ascii="Arial" w:cs="Arial" w:eastAsia="Arial" w:hAnsi="Arial"/>
                <w:sz w:val="20"/>
                <w:szCs w:val="20"/>
                <w:b w:val="1"/>
                <w:bCs w:val="1"/>
                <w:color w:val="FFFFFF"/>
                <w:vertAlign w:val="superscript"/>
              </w:rPr>
              <w:t>(1)</w:t>
            </w:r>
          </w:p>
        </w:tc>
        <w:tc>
          <w:tcPr>
            <w:tcW w:w="860" w:type="dxa"/>
            <w:vAlign w:val="bottom"/>
            <w:shd w:val="clear" w:color="auto" w:fill="0171B9"/>
          </w:tcPr>
          <w:p>
            <w:pPr>
              <w:jc w:val="right"/>
              <w:ind w:right="101"/>
              <w:spacing w:after="0"/>
              <w:rPr>
                <w:sz w:val="20"/>
                <w:szCs w:val="20"/>
                <w:color w:val="auto"/>
              </w:rPr>
            </w:pPr>
            <w:r>
              <w:rPr>
                <w:rFonts w:ascii="Arial" w:cs="Arial" w:eastAsia="Arial" w:hAnsi="Arial"/>
                <w:sz w:val="13"/>
                <w:szCs w:val="13"/>
                <w:b w:val="1"/>
                <w:bCs w:val="1"/>
                <w:color w:val="FFFFFF"/>
              </w:rPr>
              <w:t>Threshold</w:t>
            </w:r>
          </w:p>
        </w:tc>
        <w:tc>
          <w:tcPr>
            <w:tcW w:w="640" w:type="dxa"/>
            <w:vAlign w:val="bottom"/>
            <w:shd w:val="clear" w:color="auto" w:fill="0171B9"/>
          </w:tcPr>
          <w:p>
            <w:pPr>
              <w:jc w:val="right"/>
              <w:ind w:right="147"/>
              <w:spacing w:after="0"/>
              <w:rPr>
                <w:sz w:val="20"/>
                <w:szCs w:val="20"/>
                <w:color w:val="auto"/>
              </w:rPr>
            </w:pPr>
            <w:r>
              <w:rPr>
                <w:rFonts w:ascii="Arial" w:cs="Arial" w:eastAsia="Arial" w:hAnsi="Arial"/>
                <w:sz w:val="13"/>
                <w:szCs w:val="13"/>
                <w:b w:val="1"/>
                <w:bCs w:val="1"/>
                <w:color w:val="FFFFFF"/>
              </w:rPr>
              <w:t>Target</w:t>
            </w:r>
          </w:p>
        </w:tc>
        <w:tc>
          <w:tcPr>
            <w:tcW w:w="780" w:type="dxa"/>
            <w:vAlign w:val="bottom"/>
            <w:shd w:val="clear" w:color="auto" w:fill="0171B9"/>
          </w:tcPr>
          <w:p>
            <w:pPr>
              <w:jc w:val="right"/>
              <w:spacing w:after="0"/>
              <w:rPr>
                <w:sz w:val="20"/>
                <w:szCs w:val="20"/>
                <w:color w:val="auto"/>
              </w:rPr>
            </w:pPr>
            <w:r>
              <w:rPr>
                <w:rFonts w:ascii="Arial" w:cs="Arial" w:eastAsia="Arial" w:hAnsi="Arial"/>
                <w:sz w:val="13"/>
                <w:szCs w:val="13"/>
                <w:b w:val="1"/>
                <w:bCs w:val="1"/>
                <w:color w:val="FFFFFF"/>
              </w:rPr>
              <w:t>Maximum</w:t>
            </w:r>
          </w:p>
        </w:tc>
        <w:tc>
          <w:tcPr>
            <w:tcW w:w="900" w:type="dxa"/>
            <w:vAlign w:val="bottom"/>
            <w:shd w:val="clear" w:color="auto" w:fill="0171B9"/>
          </w:tcPr>
          <w:p>
            <w:pPr>
              <w:jc w:val="right"/>
              <w:ind w:right="120"/>
              <w:spacing w:after="0"/>
              <w:rPr>
                <w:sz w:val="20"/>
                <w:szCs w:val="20"/>
                <w:color w:val="auto"/>
              </w:rPr>
            </w:pPr>
            <w:r>
              <w:rPr>
                <w:rFonts w:ascii="Arial" w:cs="Arial" w:eastAsia="Arial" w:hAnsi="Arial"/>
                <w:sz w:val="13"/>
                <w:szCs w:val="13"/>
                <w:b w:val="1"/>
                <w:bCs w:val="1"/>
                <w:color w:val="FFFFFF"/>
              </w:rPr>
              <w:t>Threshold</w:t>
            </w:r>
          </w:p>
        </w:tc>
        <w:tc>
          <w:tcPr>
            <w:tcW w:w="780" w:type="dxa"/>
            <w:vAlign w:val="bottom"/>
            <w:shd w:val="clear" w:color="auto" w:fill="0171B9"/>
          </w:tcPr>
          <w:p>
            <w:pPr>
              <w:jc w:val="right"/>
              <w:ind w:right="233"/>
              <w:spacing w:after="0"/>
              <w:rPr>
                <w:sz w:val="20"/>
                <w:szCs w:val="20"/>
                <w:color w:val="auto"/>
              </w:rPr>
            </w:pPr>
            <w:r>
              <w:rPr>
                <w:rFonts w:ascii="Arial" w:cs="Arial" w:eastAsia="Arial" w:hAnsi="Arial"/>
                <w:sz w:val="13"/>
                <w:szCs w:val="13"/>
                <w:b w:val="1"/>
                <w:bCs w:val="1"/>
                <w:color w:val="FFFFFF"/>
              </w:rPr>
              <w:t>Target</w:t>
            </w:r>
          </w:p>
        </w:tc>
        <w:tc>
          <w:tcPr>
            <w:tcW w:w="740" w:type="dxa"/>
            <w:vAlign w:val="bottom"/>
            <w:gridSpan w:val="2"/>
            <w:shd w:val="clear" w:color="auto" w:fill="0171B9"/>
          </w:tcPr>
          <w:p>
            <w:pPr>
              <w:jc w:val="right"/>
              <w:spacing w:after="0"/>
              <w:rPr>
                <w:sz w:val="20"/>
                <w:szCs w:val="20"/>
                <w:color w:val="auto"/>
              </w:rPr>
            </w:pPr>
            <w:r>
              <w:rPr>
                <w:rFonts w:ascii="Arial" w:cs="Arial" w:eastAsia="Arial" w:hAnsi="Arial"/>
                <w:sz w:val="13"/>
                <w:szCs w:val="13"/>
                <w:b w:val="1"/>
                <w:bCs w:val="1"/>
                <w:color w:val="FFFFFF"/>
              </w:rPr>
              <w:t>Maximum</w:t>
            </w:r>
          </w:p>
        </w:tc>
        <w:tc>
          <w:tcPr>
            <w:tcW w:w="760" w:type="dxa"/>
            <w:vAlign w:val="bottom"/>
            <w:shd w:val="clear" w:color="auto" w:fill="0171B9"/>
          </w:tcPr>
          <w:p>
            <w:pPr>
              <w:jc w:val="right"/>
              <w:spacing w:after="0" w:line="179" w:lineRule="exact"/>
              <w:rPr>
                <w:sz w:val="20"/>
                <w:szCs w:val="20"/>
                <w:color w:val="auto"/>
              </w:rPr>
            </w:pPr>
            <w:r>
              <w:rPr>
                <w:rFonts w:ascii="Arial" w:cs="Arial" w:eastAsia="Arial" w:hAnsi="Arial"/>
                <w:sz w:val="13"/>
                <w:szCs w:val="13"/>
                <w:b w:val="1"/>
                <w:bCs w:val="1"/>
                <w:color w:val="FFFFFF"/>
              </w:rPr>
              <w:t>Units(#)</w:t>
            </w:r>
            <w:r>
              <w:rPr>
                <w:rFonts w:ascii="Arial" w:cs="Arial" w:eastAsia="Arial" w:hAnsi="Arial"/>
                <w:sz w:val="20"/>
                <w:szCs w:val="20"/>
                <w:b w:val="1"/>
                <w:bCs w:val="1"/>
                <w:color w:val="FFFFFF"/>
                <w:vertAlign w:val="superscript"/>
              </w:rPr>
              <w:t>(4)</w:t>
            </w:r>
          </w:p>
        </w:tc>
        <w:tc>
          <w:tcPr>
            <w:tcW w:w="840" w:type="dxa"/>
            <w:vAlign w:val="bottom"/>
            <w:shd w:val="clear" w:color="auto" w:fill="0171B9"/>
          </w:tcPr>
          <w:p>
            <w:pPr>
              <w:jc w:val="right"/>
              <w:ind w:right="12"/>
              <w:spacing w:after="0" w:line="179"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(5)</w:t>
            </w:r>
          </w:p>
        </w:tc>
        <w:tc>
          <w:tcPr>
            <w:tcW w:w="620" w:type="dxa"/>
            <w:vAlign w:val="bottom"/>
            <w:shd w:val="clear" w:color="auto" w:fill="0171B9"/>
          </w:tcPr>
          <w:p>
            <w:pPr>
              <w:jc w:val="right"/>
              <w:spacing w:after="0"/>
              <w:rPr>
                <w:sz w:val="20"/>
                <w:szCs w:val="20"/>
                <w:color w:val="auto"/>
              </w:rPr>
            </w:pPr>
            <w:r>
              <w:rPr>
                <w:rFonts w:ascii="Arial" w:cs="Arial" w:eastAsia="Arial" w:hAnsi="Arial"/>
                <w:sz w:val="13"/>
                <w:szCs w:val="13"/>
                <w:b w:val="1"/>
                <w:bCs w:val="1"/>
                <w:color w:val="FFFFFF"/>
              </w:rPr>
              <w:t>($/Sh)</w:t>
            </w:r>
          </w:p>
        </w:tc>
        <w:tc>
          <w:tcPr>
            <w:tcW w:w="780" w:type="dxa"/>
            <w:vAlign w:val="bottom"/>
            <w:shd w:val="clear" w:color="auto" w:fill="0171B9"/>
          </w:tcPr>
          <w:p>
            <w:pPr>
              <w:jc w:val="right"/>
              <w:spacing w:after="0"/>
              <w:rPr>
                <w:sz w:val="20"/>
                <w:szCs w:val="20"/>
                <w:color w:val="auto"/>
              </w:rPr>
            </w:pPr>
            <w:r>
              <w:rPr>
                <w:rFonts w:ascii="Arial" w:cs="Arial" w:eastAsia="Arial" w:hAnsi="Arial"/>
                <w:sz w:val="13"/>
                <w:szCs w:val="13"/>
                <w:b w:val="1"/>
                <w:bCs w:val="1"/>
                <w:color w:val="FFFFFF"/>
              </w:rPr>
              <w:t>Awards($)</w:t>
            </w:r>
          </w:p>
        </w:tc>
        <w:tc>
          <w:tcPr>
            <w:tcW w:w="160" w:type="dxa"/>
            <w:vAlign w:val="bottom"/>
            <w:shd w:val="clear" w:color="auto" w:fill="0171B9"/>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0171B9"/>
          </w:tcPr>
          <w:p>
            <w:pPr>
              <w:spacing w:after="0"/>
              <w:rPr>
                <w:sz w:val="18"/>
                <w:szCs w:val="18"/>
                <w:color w:val="auto"/>
              </w:rPr>
            </w:pPr>
          </w:p>
        </w:tc>
        <w:tc>
          <w:tcPr>
            <w:tcW w:w="660" w:type="dxa"/>
            <w:vAlign w:val="bottom"/>
            <w:shd w:val="clear" w:color="auto" w:fill="0171B9"/>
          </w:tcPr>
          <w:p>
            <w:pPr>
              <w:spacing w:after="0"/>
              <w:rPr>
                <w:sz w:val="18"/>
                <w:szCs w:val="18"/>
                <w:color w:val="auto"/>
              </w:rPr>
            </w:pPr>
          </w:p>
        </w:tc>
        <w:tc>
          <w:tcPr>
            <w:tcW w:w="700" w:type="dxa"/>
            <w:vAlign w:val="bottom"/>
            <w:shd w:val="clear" w:color="auto" w:fill="0171B9"/>
          </w:tcPr>
          <w:p>
            <w:pPr>
              <w:spacing w:after="0"/>
              <w:rPr>
                <w:sz w:val="18"/>
                <w:szCs w:val="18"/>
                <w:color w:val="auto"/>
              </w:rPr>
            </w:pPr>
          </w:p>
        </w:tc>
        <w:tc>
          <w:tcPr>
            <w:tcW w:w="1500" w:type="dxa"/>
            <w:vAlign w:val="bottom"/>
            <w:gridSpan w:val="2"/>
            <w:shd w:val="clear" w:color="auto" w:fill="0171B9"/>
          </w:tcPr>
          <w:p>
            <w:pPr>
              <w:jc w:val="center"/>
              <w:ind w:left="721"/>
              <w:spacing w:after="0"/>
              <w:rPr>
                <w:sz w:val="20"/>
                <w:szCs w:val="20"/>
                <w:color w:val="auto"/>
              </w:rPr>
            </w:pPr>
            <w:r>
              <w:rPr>
                <w:rFonts w:ascii="Arial" w:cs="Arial" w:eastAsia="Arial" w:hAnsi="Arial"/>
                <w:sz w:val="14"/>
                <w:szCs w:val="14"/>
                <w:i w:val="1"/>
                <w:iCs w:val="1"/>
                <w:color w:val="FFFFFF"/>
              </w:rPr>
              <w:t>EIP/GMIP</w:t>
            </w:r>
          </w:p>
        </w:tc>
        <w:tc>
          <w:tcPr>
            <w:tcW w:w="780" w:type="dxa"/>
            <w:vAlign w:val="bottom"/>
            <w:shd w:val="clear" w:color="auto" w:fill="0171B9"/>
          </w:tcPr>
          <w:p>
            <w:pPr>
              <w:spacing w:after="0"/>
              <w:rPr>
                <w:sz w:val="18"/>
                <w:szCs w:val="18"/>
                <w:color w:val="auto"/>
              </w:rPr>
            </w:pPr>
          </w:p>
        </w:tc>
        <w:tc>
          <w:tcPr>
            <w:tcW w:w="1940" w:type="dxa"/>
            <w:vAlign w:val="bottom"/>
            <w:gridSpan w:val="3"/>
            <w:shd w:val="clear" w:color="auto" w:fill="0171B9"/>
          </w:tcPr>
          <w:p>
            <w:pPr>
              <w:jc w:val="center"/>
              <w:ind w:left="400"/>
              <w:spacing w:after="0"/>
              <w:rPr>
                <w:sz w:val="20"/>
                <w:szCs w:val="20"/>
                <w:color w:val="auto"/>
              </w:rPr>
            </w:pPr>
            <w:r>
              <w:rPr>
                <w:rFonts w:ascii="Arial" w:cs="Arial" w:eastAsia="Arial" w:hAnsi="Arial"/>
                <w:sz w:val="14"/>
                <w:szCs w:val="14"/>
                <w:i w:val="1"/>
                <w:iCs w:val="1"/>
                <w:color w:val="FFFFFF"/>
              </w:rPr>
              <w:t>Performance Units</w:t>
            </w:r>
          </w:p>
        </w:tc>
        <w:tc>
          <w:tcPr>
            <w:tcW w:w="480" w:type="dxa"/>
            <w:vAlign w:val="bottom"/>
            <w:shd w:val="clear" w:color="auto" w:fill="0171B9"/>
          </w:tcPr>
          <w:p>
            <w:pPr>
              <w:spacing w:after="0"/>
              <w:rPr>
                <w:sz w:val="18"/>
                <w:szCs w:val="18"/>
                <w:color w:val="auto"/>
              </w:rPr>
            </w:pPr>
          </w:p>
        </w:tc>
        <w:tc>
          <w:tcPr>
            <w:tcW w:w="760" w:type="dxa"/>
            <w:vAlign w:val="bottom"/>
            <w:shd w:val="clear" w:color="auto" w:fill="0171B9"/>
          </w:tcPr>
          <w:p>
            <w:pPr>
              <w:jc w:val="right"/>
              <w:ind w:right="132"/>
              <w:spacing w:after="0"/>
              <w:rPr>
                <w:sz w:val="20"/>
                <w:szCs w:val="20"/>
                <w:color w:val="auto"/>
              </w:rPr>
            </w:pPr>
            <w:r>
              <w:rPr>
                <w:rFonts w:ascii="Arial" w:cs="Arial" w:eastAsia="Arial" w:hAnsi="Arial"/>
                <w:sz w:val="14"/>
                <w:szCs w:val="14"/>
                <w:i w:val="1"/>
                <w:iCs w:val="1"/>
                <w:color w:val="FFFFFF"/>
              </w:rPr>
              <w:t>RSUs</w:t>
            </w:r>
          </w:p>
        </w:tc>
        <w:tc>
          <w:tcPr>
            <w:tcW w:w="1460" w:type="dxa"/>
            <w:vAlign w:val="bottom"/>
            <w:gridSpan w:val="2"/>
            <w:shd w:val="clear" w:color="auto" w:fill="0171B9"/>
          </w:tcPr>
          <w:p>
            <w:pPr>
              <w:jc w:val="right"/>
              <w:ind w:right="213"/>
              <w:spacing w:after="0"/>
              <w:rPr>
                <w:sz w:val="20"/>
                <w:szCs w:val="20"/>
                <w:color w:val="auto"/>
              </w:rPr>
            </w:pPr>
            <w:r>
              <w:rPr>
                <w:rFonts w:ascii="Arial" w:cs="Arial" w:eastAsia="Arial" w:hAnsi="Arial"/>
                <w:sz w:val="14"/>
                <w:szCs w:val="14"/>
                <w:i w:val="1"/>
                <w:iCs w:val="1"/>
                <w:color w:val="FFFFFF"/>
              </w:rPr>
              <w:t>Stock Options</w:t>
            </w:r>
          </w:p>
        </w:tc>
        <w:tc>
          <w:tcPr>
            <w:tcW w:w="780" w:type="dxa"/>
            <w:vAlign w:val="bottom"/>
            <w:shd w:val="clear" w:color="auto" w:fill="0171B9"/>
          </w:tcPr>
          <w:p>
            <w:pPr>
              <w:spacing w:after="0"/>
              <w:rPr>
                <w:sz w:val="18"/>
                <w:szCs w:val="18"/>
                <w:color w:val="auto"/>
              </w:rPr>
            </w:pPr>
          </w:p>
        </w:tc>
        <w:tc>
          <w:tcPr>
            <w:tcW w:w="160" w:type="dxa"/>
            <w:vAlign w:val="bottom"/>
            <w:shd w:val="clear" w:color="auto" w:fill="0171B9"/>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00" w:type="dxa"/>
            <w:vAlign w:val="bottom"/>
            <w:shd w:val="clear" w:color="auto" w:fill="CCE2F1"/>
          </w:tcPr>
          <w:p>
            <w:pPr>
              <w:spacing w:after="0"/>
              <w:rPr>
                <w:sz w:val="20"/>
                <w:szCs w:val="20"/>
                <w:color w:val="auto"/>
              </w:rPr>
            </w:pPr>
            <w:r>
              <w:rPr>
                <w:rFonts w:ascii="Arial" w:cs="Arial" w:eastAsia="Arial" w:hAnsi="Arial"/>
                <w:sz w:val="17"/>
                <w:szCs w:val="17"/>
                <w:color w:val="auto"/>
              </w:rPr>
              <w:t>Robert A. Bradway</w:t>
            </w:r>
          </w:p>
        </w:tc>
        <w:tc>
          <w:tcPr>
            <w:tcW w:w="660" w:type="dxa"/>
            <w:vAlign w:val="bottom"/>
            <w:shd w:val="clear" w:color="auto" w:fill="CCE2F1"/>
          </w:tcPr>
          <w:p>
            <w:pPr>
              <w:jc w:val="right"/>
              <w:spacing w:after="0"/>
              <w:rPr>
                <w:sz w:val="20"/>
                <w:szCs w:val="20"/>
                <w:color w:val="auto"/>
              </w:rPr>
            </w:pPr>
            <w:r>
              <w:rPr>
                <w:rFonts w:ascii="Arial" w:cs="Arial" w:eastAsia="Arial" w:hAnsi="Arial"/>
                <w:sz w:val="13"/>
                <w:szCs w:val="13"/>
                <w:color w:val="auto"/>
              </w:rPr>
              <w:t>3/1/2022</w:t>
            </w:r>
          </w:p>
        </w:tc>
        <w:tc>
          <w:tcPr>
            <w:tcW w:w="700" w:type="dxa"/>
            <w:vAlign w:val="bottom"/>
            <w:shd w:val="clear" w:color="auto" w:fill="CCE2F1"/>
          </w:tcPr>
          <w:p>
            <w:pPr>
              <w:jc w:val="right"/>
              <w:spacing w:after="0"/>
              <w:rPr>
                <w:sz w:val="20"/>
                <w:szCs w:val="20"/>
                <w:color w:val="auto"/>
              </w:rPr>
            </w:pPr>
            <w:r>
              <w:rPr>
                <w:rFonts w:ascii="Arial" w:cs="Arial" w:eastAsia="Arial" w:hAnsi="Arial"/>
                <w:sz w:val="13"/>
                <w:szCs w:val="13"/>
                <w:color w:val="auto"/>
              </w:rPr>
              <w:t>3/1/2022</w:t>
            </w:r>
          </w:p>
        </w:tc>
        <w:tc>
          <w:tcPr>
            <w:tcW w:w="860" w:type="dxa"/>
            <w:vAlign w:val="bottom"/>
            <w:shd w:val="clear" w:color="auto" w:fill="CCE2F1"/>
          </w:tcPr>
          <w:p>
            <w:pPr>
              <w:jc w:val="right"/>
              <w:spacing w:after="0"/>
              <w:rPr>
                <w:sz w:val="20"/>
                <w:szCs w:val="20"/>
                <w:color w:val="auto"/>
              </w:rPr>
            </w:pPr>
            <w:r>
              <w:rPr>
                <w:rFonts w:ascii="Arial" w:cs="Arial" w:eastAsia="Arial" w:hAnsi="Arial"/>
                <w:sz w:val="10"/>
                <w:szCs w:val="10"/>
                <w:color w:val="auto"/>
              </w:rPr>
              <w:t>(2)</w:t>
            </w:r>
          </w:p>
        </w:tc>
        <w:tc>
          <w:tcPr>
            <w:tcW w:w="640" w:type="dxa"/>
            <w:vAlign w:val="bottom"/>
            <w:shd w:val="clear" w:color="auto" w:fill="CCE2F1"/>
          </w:tcPr>
          <w:p>
            <w:pPr>
              <w:jc w:val="right"/>
              <w:ind w:right="27"/>
              <w:spacing w:after="0"/>
              <w:rPr>
                <w:sz w:val="20"/>
                <w:szCs w:val="20"/>
                <w:color w:val="auto"/>
              </w:rPr>
            </w:pPr>
            <w:r>
              <w:rPr>
                <w:rFonts w:ascii="Arial" w:cs="Arial" w:eastAsia="Arial" w:hAnsi="Arial"/>
                <w:sz w:val="10"/>
                <w:szCs w:val="10"/>
                <w:color w:val="auto"/>
              </w:rPr>
              <w:t>(2)</w:t>
            </w:r>
          </w:p>
        </w:tc>
        <w:tc>
          <w:tcPr>
            <w:tcW w:w="780" w:type="dxa"/>
            <w:vAlign w:val="bottom"/>
            <w:shd w:val="clear" w:color="auto" w:fill="CCE2F1"/>
          </w:tcPr>
          <w:p>
            <w:pPr>
              <w:jc w:val="right"/>
              <w:spacing w:after="0"/>
              <w:rPr>
                <w:sz w:val="20"/>
                <w:szCs w:val="20"/>
                <w:color w:val="auto"/>
              </w:rPr>
            </w:pPr>
            <w:r>
              <w:rPr>
                <w:rFonts w:ascii="Arial" w:cs="Arial" w:eastAsia="Arial" w:hAnsi="Arial"/>
                <w:sz w:val="13"/>
                <w:szCs w:val="13"/>
                <w:color w:val="auto"/>
              </w:rPr>
              <w:t>11,962,500</w:t>
            </w:r>
          </w:p>
        </w:tc>
        <w:tc>
          <w:tcPr>
            <w:tcW w:w="900" w:type="dxa"/>
            <w:vAlign w:val="bottom"/>
            <w:shd w:val="clear" w:color="auto" w:fill="CCE2F1"/>
          </w:tcPr>
          <w:p>
            <w:pPr>
              <w:spacing w:after="0"/>
              <w:rPr>
                <w:sz w:val="21"/>
                <w:szCs w:val="21"/>
                <w:color w:val="auto"/>
              </w:rPr>
            </w:pPr>
          </w:p>
        </w:tc>
        <w:tc>
          <w:tcPr>
            <w:tcW w:w="780" w:type="dxa"/>
            <w:vAlign w:val="bottom"/>
            <w:shd w:val="clear" w:color="auto" w:fill="CCE2F1"/>
          </w:tcPr>
          <w:p>
            <w:pPr>
              <w:spacing w:after="0"/>
              <w:rPr>
                <w:sz w:val="21"/>
                <w:szCs w:val="21"/>
                <w:color w:val="auto"/>
              </w:rPr>
            </w:pPr>
          </w:p>
        </w:tc>
        <w:tc>
          <w:tcPr>
            <w:tcW w:w="260" w:type="dxa"/>
            <w:vAlign w:val="bottom"/>
            <w:shd w:val="clear" w:color="auto" w:fill="CCE2F1"/>
          </w:tcPr>
          <w:p>
            <w:pPr>
              <w:spacing w:after="0"/>
              <w:rPr>
                <w:sz w:val="21"/>
                <w:szCs w:val="21"/>
                <w:color w:val="auto"/>
              </w:rPr>
            </w:pPr>
          </w:p>
        </w:tc>
        <w:tc>
          <w:tcPr>
            <w:tcW w:w="480" w:type="dxa"/>
            <w:vAlign w:val="bottom"/>
            <w:shd w:val="clear" w:color="auto" w:fill="CCE2F1"/>
          </w:tcPr>
          <w:p>
            <w:pPr>
              <w:spacing w:after="0"/>
              <w:rPr>
                <w:sz w:val="21"/>
                <w:szCs w:val="21"/>
                <w:color w:val="auto"/>
              </w:rPr>
            </w:pPr>
          </w:p>
        </w:tc>
        <w:tc>
          <w:tcPr>
            <w:tcW w:w="760" w:type="dxa"/>
            <w:vAlign w:val="bottom"/>
            <w:shd w:val="clear" w:color="auto" w:fill="CCE2F1"/>
          </w:tcPr>
          <w:p>
            <w:pPr>
              <w:spacing w:after="0"/>
              <w:rPr>
                <w:sz w:val="21"/>
                <w:szCs w:val="21"/>
                <w:color w:val="auto"/>
              </w:rPr>
            </w:pPr>
          </w:p>
        </w:tc>
        <w:tc>
          <w:tcPr>
            <w:tcW w:w="840" w:type="dxa"/>
            <w:vAlign w:val="bottom"/>
            <w:shd w:val="clear" w:color="auto" w:fill="CCE2F1"/>
          </w:tcPr>
          <w:p>
            <w:pPr>
              <w:spacing w:after="0"/>
              <w:rPr>
                <w:sz w:val="21"/>
                <w:szCs w:val="21"/>
                <w:color w:val="auto"/>
              </w:rPr>
            </w:pPr>
          </w:p>
        </w:tc>
        <w:tc>
          <w:tcPr>
            <w:tcW w:w="620" w:type="dxa"/>
            <w:vAlign w:val="bottom"/>
            <w:shd w:val="clear" w:color="auto" w:fill="CCE2F1"/>
          </w:tcPr>
          <w:p>
            <w:pPr>
              <w:spacing w:after="0"/>
              <w:rPr>
                <w:sz w:val="21"/>
                <w:szCs w:val="21"/>
                <w:color w:val="auto"/>
              </w:rPr>
            </w:pPr>
          </w:p>
        </w:tc>
        <w:tc>
          <w:tcPr>
            <w:tcW w:w="780" w:type="dxa"/>
            <w:vAlign w:val="bottom"/>
            <w:shd w:val="clear" w:color="auto" w:fill="CCE2F1"/>
          </w:tcPr>
          <w:p>
            <w:pPr>
              <w:spacing w:after="0"/>
              <w:rPr>
                <w:sz w:val="21"/>
                <w:szCs w:val="21"/>
                <w:color w:val="auto"/>
              </w:rPr>
            </w:pPr>
          </w:p>
        </w:tc>
        <w:tc>
          <w:tcPr>
            <w:tcW w:w="160" w:type="dxa"/>
            <w:vAlign w:val="bottom"/>
            <w:shd w:val="clear" w:color="auto" w:fill="CCE2F1"/>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2F1"/>
          </w:tcPr>
          <w:p>
            <w:pPr>
              <w:spacing w:after="0"/>
              <w:rPr>
                <w:sz w:val="14"/>
                <w:szCs w:val="14"/>
                <w:color w:val="auto"/>
              </w:rPr>
            </w:pPr>
          </w:p>
        </w:tc>
        <w:tc>
          <w:tcPr>
            <w:tcW w:w="660" w:type="dxa"/>
            <w:vAlign w:val="bottom"/>
            <w:shd w:val="clear" w:color="auto" w:fill="CCE2F1"/>
          </w:tcPr>
          <w:p>
            <w:pPr>
              <w:jc w:val="right"/>
              <w:spacing w:after="0"/>
              <w:rPr>
                <w:sz w:val="20"/>
                <w:szCs w:val="20"/>
                <w:color w:val="auto"/>
              </w:rPr>
            </w:pPr>
            <w:r>
              <w:rPr>
                <w:rFonts w:ascii="Arial" w:cs="Arial" w:eastAsia="Arial" w:hAnsi="Arial"/>
                <w:sz w:val="13"/>
                <w:szCs w:val="13"/>
                <w:color w:val="auto"/>
              </w:rPr>
              <w:t>5/2/2022</w:t>
            </w:r>
          </w:p>
        </w:tc>
        <w:tc>
          <w:tcPr>
            <w:tcW w:w="700" w:type="dxa"/>
            <w:vAlign w:val="bottom"/>
            <w:shd w:val="clear" w:color="auto" w:fill="CCE2F1"/>
          </w:tcPr>
          <w:p>
            <w:pPr>
              <w:jc w:val="right"/>
              <w:spacing w:after="0"/>
              <w:rPr>
                <w:sz w:val="20"/>
                <w:szCs w:val="20"/>
                <w:color w:val="auto"/>
              </w:rPr>
            </w:pPr>
            <w:r>
              <w:rPr>
                <w:rFonts w:ascii="Arial" w:cs="Arial" w:eastAsia="Arial" w:hAnsi="Arial"/>
                <w:sz w:val="13"/>
                <w:szCs w:val="13"/>
                <w:color w:val="auto"/>
              </w:rPr>
              <w:t>3/1/2022</w:t>
            </w:r>
          </w:p>
        </w:tc>
        <w:tc>
          <w:tcPr>
            <w:tcW w:w="860" w:type="dxa"/>
            <w:vAlign w:val="bottom"/>
            <w:shd w:val="clear" w:color="auto" w:fill="CCE2F1"/>
          </w:tcPr>
          <w:p>
            <w:pPr>
              <w:spacing w:after="0"/>
              <w:rPr>
                <w:sz w:val="14"/>
                <w:szCs w:val="14"/>
                <w:color w:val="auto"/>
              </w:rPr>
            </w:pPr>
          </w:p>
        </w:tc>
        <w:tc>
          <w:tcPr>
            <w:tcW w:w="640" w:type="dxa"/>
            <w:vAlign w:val="bottom"/>
            <w:shd w:val="clear" w:color="auto" w:fill="CCE2F1"/>
          </w:tcPr>
          <w:p>
            <w:pPr>
              <w:spacing w:after="0"/>
              <w:rPr>
                <w:sz w:val="14"/>
                <w:szCs w:val="14"/>
                <w:color w:val="auto"/>
              </w:rPr>
            </w:pPr>
          </w:p>
        </w:tc>
        <w:tc>
          <w:tcPr>
            <w:tcW w:w="780" w:type="dxa"/>
            <w:vAlign w:val="bottom"/>
            <w:shd w:val="clear" w:color="auto" w:fill="CCE2F1"/>
          </w:tcPr>
          <w:p>
            <w:pPr>
              <w:spacing w:after="0"/>
              <w:rPr>
                <w:sz w:val="14"/>
                <w:szCs w:val="14"/>
                <w:color w:val="auto"/>
              </w:rPr>
            </w:pPr>
          </w:p>
        </w:tc>
        <w:tc>
          <w:tcPr>
            <w:tcW w:w="900" w:type="dxa"/>
            <w:vAlign w:val="bottom"/>
            <w:shd w:val="clear" w:color="auto" w:fill="CCE2F1"/>
          </w:tcPr>
          <w:p>
            <w:pPr>
              <w:jc w:val="right"/>
              <w:spacing w:after="0"/>
              <w:rPr>
                <w:sz w:val="20"/>
                <w:szCs w:val="20"/>
                <w:color w:val="auto"/>
              </w:rPr>
            </w:pPr>
            <w:r>
              <w:rPr>
                <w:rFonts w:ascii="Arial" w:cs="Arial" w:eastAsia="Arial" w:hAnsi="Arial"/>
                <w:sz w:val="10"/>
                <w:szCs w:val="10"/>
                <w:color w:val="auto"/>
              </w:rPr>
              <w:t>(3)</w:t>
            </w:r>
          </w:p>
        </w:tc>
        <w:tc>
          <w:tcPr>
            <w:tcW w:w="780" w:type="dxa"/>
            <w:vAlign w:val="bottom"/>
            <w:shd w:val="clear" w:color="auto" w:fill="CCE2F1"/>
          </w:tcPr>
          <w:p>
            <w:pPr>
              <w:jc w:val="right"/>
              <w:ind w:right="233"/>
              <w:spacing w:after="0"/>
              <w:rPr>
                <w:sz w:val="20"/>
                <w:szCs w:val="20"/>
                <w:color w:val="auto"/>
              </w:rPr>
            </w:pPr>
            <w:r>
              <w:rPr>
                <w:rFonts w:ascii="Arial" w:cs="Arial" w:eastAsia="Arial" w:hAnsi="Arial"/>
                <w:sz w:val="13"/>
                <w:szCs w:val="13"/>
                <w:color w:val="auto"/>
              </w:rPr>
              <w:t>32,149</w:t>
            </w:r>
          </w:p>
        </w:tc>
        <w:tc>
          <w:tcPr>
            <w:tcW w:w="260" w:type="dxa"/>
            <w:vAlign w:val="bottom"/>
            <w:shd w:val="clear" w:color="auto" w:fill="CCE2F1"/>
          </w:tcPr>
          <w:p>
            <w:pPr>
              <w:spacing w:after="0"/>
              <w:rPr>
                <w:sz w:val="14"/>
                <w:szCs w:val="14"/>
                <w:color w:val="auto"/>
              </w:rPr>
            </w:pPr>
          </w:p>
        </w:tc>
        <w:tc>
          <w:tcPr>
            <w:tcW w:w="480" w:type="dxa"/>
            <w:vAlign w:val="bottom"/>
            <w:shd w:val="clear" w:color="auto" w:fill="CCE2F1"/>
          </w:tcPr>
          <w:p>
            <w:pPr>
              <w:jc w:val="right"/>
              <w:spacing w:after="0"/>
              <w:rPr>
                <w:sz w:val="20"/>
                <w:szCs w:val="20"/>
                <w:color w:val="auto"/>
              </w:rPr>
            </w:pPr>
            <w:r>
              <w:rPr>
                <w:rFonts w:ascii="Arial" w:cs="Arial" w:eastAsia="Arial" w:hAnsi="Arial"/>
                <w:sz w:val="13"/>
                <w:szCs w:val="13"/>
                <w:color w:val="auto"/>
              </w:rPr>
              <w:t>64,298</w:t>
            </w:r>
          </w:p>
        </w:tc>
        <w:tc>
          <w:tcPr>
            <w:tcW w:w="760" w:type="dxa"/>
            <w:vAlign w:val="bottom"/>
            <w:shd w:val="clear" w:color="auto" w:fill="CCE2F1"/>
          </w:tcPr>
          <w:p>
            <w:pPr>
              <w:spacing w:after="0"/>
              <w:rPr>
                <w:sz w:val="14"/>
                <w:szCs w:val="14"/>
                <w:color w:val="auto"/>
              </w:rPr>
            </w:pPr>
          </w:p>
        </w:tc>
        <w:tc>
          <w:tcPr>
            <w:tcW w:w="840" w:type="dxa"/>
            <w:vAlign w:val="bottom"/>
            <w:shd w:val="clear" w:color="auto" w:fill="CCE2F1"/>
          </w:tcPr>
          <w:p>
            <w:pPr>
              <w:spacing w:after="0"/>
              <w:rPr>
                <w:sz w:val="14"/>
                <w:szCs w:val="14"/>
                <w:color w:val="auto"/>
              </w:rPr>
            </w:pPr>
          </w:p>
        </w:tc>
        <w:tc>
          <w:tcPr>
            <w:tcW w:w="620" w:type="dxa"/>
            <w:vAlign w:val="bottom"/>
            <w:shd w:val="clear" w:color="auto" w:fill="CCE2F1"/>
          </w:tcPr>
          <w:p>
            <w:pPr>
              <w:spacing w:after="0"/>
              <w:rPr>
                <w:sz w:val="14"/>
                <w:szCs w:val="14"/>
                <w:color w:val="auto"/>
              </w:rPr>
            </w:pPr>
          </w:p>
        </w:tc>
        <w:tc>
          <w:tcPr>
            <w:tcW w:w="780" w:type="dxa"/>
            <w:vAlign w:val="bottom"/>
            <w:shd w:val="clear" w:color="auto" w:fill="CCE2F1"/>
          </w:tcPr>
          <w:p>
            <w:pPr>
              <w:jc w:val="right"/>
              <w:spacing w:after="0"/>
              <w:rPr>
                <w:sz w:val="20"/>
                <w:szCs w:val="20"/>
                <w:color w:val="auto"/>
              </w:rPr>
            </w:pPr>
            <w:r>
              <w:rPr>
                <w:rFonts w:ascii="Arial" w:cs="Arial" w:eastAsia="Arial" w:hAnsi="Arial"/>
                <w:sz w:val="13"/>
                <w:szCs w:val="13"/>
                <w:color w:val="auto"/>
              </w:rPr>
              <w:t>7,956,235</w:t>
            </w:r>
          </w:p>
        </w:tc>
        <w:tc>
          <w:tcPr>
            <w:tcW w:w="160" w:type="dxa"/>
            <w:vAlign w:val="bottom"/>
            <w:shd w:val="clear" w:color="auto" w:fill="CCE2F1"/>
          </w:tcPr>
          <w:p>
            <w:pPr>
              <w:jc w:val="right"/>
              <w:spacing w:after="0"/>
              <w:rPr>
                <w:sz w:val="20"/>
                <w:szCs w:val="20"/>
                <w:color w:val="auto"/>
              </w:rPr>
            </w:pPr>
            <w:r>
              <w:rPr>
                <w:rFonts w:ascii="Arial" w:cs="Arial" w:eastAsia="Arial" w:hAnsi="Arial"/>
                <w:sz w:val="10"/>
                <w:szCs w:val="10"/>
                <w:color w:val="auto"/>
                <w:w w:val="81"/>
              </w:rPr>
              <w:t>(6)</w:t>
            </w:r>
          </w:p>
        </w:tc>
        <w:tc>
          <w:tcPr>
            <w:tcW w:w="0" w:type="dxa"/>
            <w:vAlign w:val="bottom"/>
          </w:tcPr>
          <w:p>
            <w:pPr>
              <w:spacing w:after="0"/>
              <w:rPr>
                <w:sz w:val="1"/>
                <w:szCs w:val="1"/>
                <w:color w:val="auto"/>
              </w:rPr>
            </w:pPr>
          </w:p>
        </w:tc>
      </w:tr>
      <w:tr>
        <w:trPr>
          <w:trHeight w:val="161"/>
        </w:trPr>
        <w:tc>
          <w:tcPr>
            <w:tcW w:w="1800" w:type="dxa"/>
            <w:vAlign w:val="bottom"/>
            <w:shd w:val="clear" w:color="auto" w:fill="CCE2F1"/>
          </w:tcPr>
          <w:p>
            <w:pPr>
              <w:spacing w:after="0"/>
              <w:rPr>
                <w:sz w:val="14"/>
                <w:szCs w:val="14"/>
                <w:color w:val="auto"/>
              </w:rPr>
            </w:pPr>
          </w:p>
        </w:tc>
        <w:tc>
          <w:tcPr>
            <w:tcW w:w="660" w:type="dxa"/>
            <w:vAlign w:val="bottom"/>
            <w:shd w:val="clear" w:color="auto" w:fill="CCE2F1"/>
          </w:tcPr>
          <w:p>
            <w:pPr>
              <w:jc w:val="right"/>
              <w:spacing w:after="0"/>
              <w:rPr>
                <w:sz w:val="20"/>
                <w:szCs w:val="20"/>
                <w:color w:val="auto"/>
              </w:rPr>
            </w:pPr>
            <w:r>
              <w:rPr>
                <w:rFonts w:ascii="Arial" w:cs="Arial" w:eastAsia="Arial" w:hAnsi="Arial"/>
                <w:sz w:val="13"/>
                <w:szCs w:val="13"/>
                <w:color w:val="auto"/>
              </w:rPr>
              <w:t>5/2/2022</w:t>
            </w:r>
          </w:p>
        </w:tc>
        <w:tc>
          <w:tcPr>
            <w:tcW w:w="700" w:type="dxa"/>
            <w:vAlign w:val="bottom"/>
            <w:shd w:val="clear" w:color="auto" w:fill="CCE2F1"/>
          </w:tcPr>
          <w:p>
            <w:pPr>
              <w:jc w:val="right"/>
              <w:spacing w:after="0"/>
              <w:rPr>
                <w:sz w:val="20"/>
                <w:szCs w:val="20"/>
                <w:color w:val="auto"/>
              </w:rPr>
            </w:pPr>
            <w:r>
              <w:rPr>
                <w:rFonts w:ascii="Arial" w:cs="Arial" w:eastAsia="Arial" w:hAnsi="Arial"/>
                <w:sz w:val="13"/>
                <w:szCs w:val="13"/>
                <w:color w:val="auto"/>
              </w:rPr>
              <w:t>3/1/2022</w:t>
            </w:r>
          </w:p>
        </w:tc>
        <w:tc>
          <w:tcPr>
            <w:tcW w:w="860" w:type="dxa"/>
            <w:vAlign w:val="bottom"/>
            <w:shd w:val="clear" w:color="auto" w:fill="CCE2F1"/>
          </w:tcPr>
          <w:p>
            <w:pPr>
              <w:spacing w:after="0"/>
              <w:rPr>
                <w:sz w:val="14"/>
                <w:szCs w:val="14"/>
                <w:color w:val="auto"/>
              </w:rPr>
            </w:pPr>
          </w:p>
        </w:tc>
        <w:tc>
          <w:tcPr>
            <w:tcW w:w="640" w:type="dxa"/>
            <w:vAlign w:val="bottom"/>
            <w:shd w:val="clear" w:color="auto" w:fill="CCE2F1"/>
          </w:tcPr>
          <w:p>
            <w:pPr>
              <w:spacing w:after="0"/>
              <w:rPr>
                <w:sz w:val="14"/>
                <w:szCs w:val="14"/>
                <w:color w:val="auto"/>
              </w:rPr>
            </w:pPr>
          </w:p>
        </w:tc>
        <w:tc>
          <w:tcPr>
            <w:tcW w:w="780" w:type="dxa"/>
            <w:vAlign w:val="bottom"/>
            <w:shd w:val="clear" w:color="auto" w:fill="CCE2F1"/>
          </w:tcPr>
          <w:p>
            <w:pPr>
              <w:spacing w:after="0"/>
              <w:rPr>
                <w:sz w:val="14"/>
                <w:szCs w:val="14"/>
                <w:color w:val="auto"/>
              </w:rPr>
            </w:pPr>
          </w:p>
        </w:tc>
        <w:tc>
          <w:tcPr>
            <w:tcW w:w="900" w:type="dxa"/>
            <w:vAlign w:val="bottom"/>
            <w:shd w:val="clear" w:color="auto" w:fill="CCE2F1"/>
          </w:tcPr>
          <w:p>
            <w:pPr>
              <w:spacing w:after="0"/>
              <w:rPr>
                <w:sz w:val="14"/>
                <w:szCs w:val="14"/>
                <w:color w:val="auto"/>
              </w:rPr>
            </w:pPr>
          </w:p>
        </w:tc>
        <w:tc>
          <w:tcPr>
            <w:tcW w:w="780" w:type="dxa"/>
            <w:vAlign w:val="bottom"/>
            <w:shd w:val="clear" w:color="auto" w:fill="CCE2F1"/>
          </w:tcPr>
          <w:p>
            <w:pPr>
              <w:spacing w:after="0"/>
              <w:rPr>
                <w:sz w:val="14"/>
                <w:szCs w:val="14"/>
                <w:color w:val="auto"/>
              </w:rPr>
            </w:pPr>
          </w:p>
        </w:tc>
        <w:tc>
          <w:tcPr>
            <w:tcW w:w="260" w:type="dxa"/>
            <w:vAlign w:val="bottom"/>
            <w:shd w:val="clear" w:color="auto" w:fill="CCE2F1"/>
          </w:tcPr>
          <w:p>
            <w:pPr>
              <w:spacing w:after="0"/>
              <w:rPr>
                <w:sz w:val="14"/>
                <w:szCs w:val="14"/>
                <w:color w:val="auto"/>
              </w:rPr>
            </w:pPr>
          </w:p>
        </w:tc>
        <w:tc>
          <w:tcPr>
            <w:tcW w:w="1240" w:type="dxa"/>
            <w:vAlign w:val="bottom"/>
            <w:gridSpan w:val="2"/>
            <w:shd w:val="clear" w:color="auto" w:fill="CCE2F1"/>
          </w:tcPr>
          <w:p>
            <w:pPr>
              <w:jc w:val="right"/>
              <w:spacing w:after="0"/>
              <w:rPr>
                <w:sz w:val="20"/>
                <w:szCs w:val="20"/>
                <w:color w:val="auto"/>
              </w:rPr>
            </w:pPr>
            <w:r>
              <w:rPr>
                <w:rFonts w:ascii="Arial" w:cs="Arial" w:eastAsia="Arial" w:hAnsi="Arial"/>
                <w:sz w:val="13"/>
                <w:szCs w:val="13"/>
                <w:color w:val="auto"/>
              </w:rPr>
              <w:t>13,781</w:t>
            </w:r>
          </w:p>
        </w:tc>
        <w:tc>
          <w:tcPr>
            <w:tcW w:w="840" w:type="dxa"/>
            <w:vAlign w:val="bottom"/>
            <w:shd w:val="clear" w:color="auto" w:fill="CCE2F1"/>
          </w:tcPr>
          <w:p>
            <w:pPr>
              <w:spacing w:after="0"/>
              <w:rPr>
                <w:sz w:val="14"/>
                <w:szCs w:val="14"/>
                <w:color w:val="auto"/>
              </w:rPr>
            </w:pPr>
          </w:p>
        </w:tc>
        <w:tc>
          <w:tcPr>
            <w:tcW w:w="620" w:type="dxa"/>
            <w:vAlign w:val="bottom"/>
            <w:shd w:val="clear" w:color="auto" w:fill="CCE2F1"/>
          </w:tcPr>
          <w:p>
            <w:pPr>
              <w:spacing w:after="0"/>
              <w:rPr>
                <w:sz w:val="14"/>
                <w:szCs w:val="14"/>
                <w:color w:val="auto"/>
              </w:rPr>
            </w:pPr>
          </w:p>
        </w:tc>
        <w:tc>
          <w:tcPr>
            <w:tcW w:w="780" w:type="dxa"/>
            <w:vAlign w:val="bottom"/>
            <w:shd w:val="clear" w:color="auto" w:fill="CCE2F1"/>
          </w:tcPr>
          <w:p>
            <w:pPr>
              <w:jc w:val="right"/>
              <w:spacing w:after="0"/>
              <w:rPr>
                <w:sz w:val="20"/>
                <w:szCs w:val="20"/>
                <w:color w:val="auto"/>
              </w:rPr>
            </w:pPr>
            <w:r>
              <w:rPr>
                <w:rFonts w:ascii="Arial" w:cs="Arial" w:eastAsia="Arial" w:hAnsi="Arial"/>
                <w:sz w:val="13"/>
                <w:szCs w:val="13"/>
                <w:color w:val="auto"/>
              </w:rPr>
              <w:t>3,182,309</w:t>
            </w:r>
          </w:p>
        </w:tc>
        <w:tc>
          <w:tcPr>
            <w:tcW w:w="160" w:type="dxa"/>
            <w:vAlign w:val="bottom"/>
            <w:shd w:val="clear" w:color="auto" w:fill="CCE2F1"/>
          </w:tcPr>
          <w:p>
            <w:pPr>
              <w:jc w:val="right"/>
              <w:spacing w:after="0"/>
              <w:rPr>
                <w:sz w:val="20"/>
                <w:szCs w:val="20"/>
                <w:color w:val="auto"/>
              </w:rPr>
            </w:pPr>
            <w:r>
              <w:rPr>
                <w:rFonts w:ascii="Arial" w:cs="Arial" w:eastAsia="Arial" w:hAnsi="Arial"/>
                <w:sz w:val="10"/>
                <w:szCs w:val="10"/>
                <w:color w:val="auto"/>
                <w:w w:val="81"/>
              </w:rPr>
              <w:t>(7)</w:t>
            </w:r>
          </w:p>
        </w:tc>
        <w:tc>
          <w:tcPr>
            <w:tcW w:w="0" w:type="dxa"/>
            <w:vAlign w:val="bottom"/>
          </w:tcPr>
          <w:p>
            <w:pPr>
              <w:spacing w:after="0"/>
              <w:rPr>
                <w:sz w:val="1"/>
                <w:szCs w:val="1"/>
                <w:color w:val="auto"/>
              </w:rPr>
            </w:pPr>
          </w:p>
        </w:tc>
      </w:tr>
      <w:tr>
        <w:trPr>
          <w:trHeight w:val="176"/>
        </w:trPr>
        <w:tc>
          <w:tcPr>
            <w:tcW w:w="1800" w:type="dxa"/>
            <w:vAlign w:val="bottom"/>
            <w:shd w:val="clear" w:color="auto" w:fill="CCE2F1"/>
          </w:tcPr>
          <w:p>
            <w:pPr>
              <w:spacing w:after="0"/>
              <w:rPr>
                <w:sz w:val="15"/>
                <w:szCs w:val="15"/>
                <w:color w:val="auto"/>
              </w:rPr>
            </w:pPr>
          </w:p>
        </w:tc>
        <w:tc>
          <w:tcPr>
            <w:tcW w:w="660" w:type="dxa"/>
            <w:vAlign w:val="bottom"/>
            <w:shd w:val="clear" w:color="auto" w:fill="CCE2F1"/>
          </w:tcPr>
          <w:p>
            <w:pPr>
              <w:jc w:val="right"/>
              <w:spacing w:after="0"/>
              <w:rPr>
                <w:sz w:val="20"/>
                <w:szCs w:val="20"/>
                <w:color w:val="auto"/>
              </w:rPr>
            </w:pPr>
            <w:r>
              <w:rPr>
                <w:rFonts w:ascii="Arial" w:cs="Arial" w:eastAsia="Arial" w:hAnsi="Arial"/>
                <w:sz w:val="13"/>
                <w:szCs w:val="13"/>
                <w:color w:val="auto"/>
              </w:rPr>
              <w:t>5/2/2022</w:t>
            </w:r>
          </w:p>
        </w:tc>
        <w:tc>
          <w:tcPr>
            <w:tcW w:w="700" w:type="dxa"/>
            <w:vAlign w:val="bottom"/>
            <w:shd w:val="clear" w:color="auto" w:fill="CCE2F1"/>
          </w:tcPr>
          <w:p>
            <w:pPr>
              <w:jc w:val="right"/>
              <w:spacing w:after="0"/>
              <w:rPr>
                <w:sz w:val="20"/>
                <w:szCs w:val="20"/>
                <w:color w:val="auto"/>
              </w:rPr>
            </w:pPr>
            <w:r>
              <w:rPr>
                <w:rFonts w:ascii="Arial" w:cs="Arial" w:eastAsia="Arial" w:hAnsi="Arial"/>
                <w:sz w:val="13"/>
                <w:szCs w:val="13"/>
                <w:color w:val="auto"/>
              </w:rPr>
              <w:t>3/1/2022</w:t>
            </w:r>
          </w:p>
        </w:tc>
        <w:tc>
          <w:tcPr>
            <w:tcW w:w="860" w:type="dxa"/>
            <w:vAlign w:val="bottom"/>
            <w:shd w:val="clear" w:color="auto" w:fill="CCE2F1"/>
          </w:tcPr>
          <w:p>
            <w:pPr>
              <w:spacing w:after="0"/>
              <w:rPr>
                <w:sz w:val="15"/>
                <w:szCs w:val="15"/>
                <w:color w:val="auto"/>
              </w:rPr>
            </w:pPr>
          </w:p>
        </w:tc>
        <w:tc>
          <w:tcPr>
            <w:tcW w:w="640" w:type="dxa"/>
            <w:vAlign w:val="bottom"/>
            <w:shd w:val="clear" w:color="auto" w:fill="CCE2F1"/>
          </w:tcPr>
          <w:p>
            <w:pPr>
              <w:spacing w:after="0"/>
              <w:rPr>
                <w:sz w:val="15"/>
                <w:szCs w:val="15"/>
                <w:color w:val="auto"/>
              </w:rPr>
            </w:pPr>
          </w:p>
        </w:tc>
        <w:tc>
          <w:tcPr>
            <w:tcW w:w="780" w:type="dxa"/>
            <w:vAlign w:val="bottom"/>
            <w:shd w:val="clear" w:color="auto" w:fill="CCE2F1"/>
          </w:tcPr>
          <w:p>
            <w:pPr>
              <w:spacing w:after="0"/>
              <w:rPr>
                <w:sz w:val="15"/>
                <w:szCs w:val="15"/>
                <w:color w:val="auto"/>
              </w:rPr>
            </w:pPr>
          </w:p>
        </w:tc>
        <w:tc>
          <w:tcPr>
            <w:tcW w:w="900" w:type="dxa"/>
            <w:vAlign w:val="bottom"/>
            <w:shd w:val="clear" w:color="auto" w:fill="CCE2F1"/>
          </w:tcPr>
          <w:p>
            <w:pPr>
              <w:spacing w:after="0"/>
              <w:rPr>
                <w:sz w:val="15"/>
                <w:szCs w:val="15"/>
                <w:color w:val="auto"/>
              </w:rPr>
            </w:pPr>
          </w:p>
        </w:tc>
        <w:tc>
          <w:tcPr>
            <w:tcW w:w="780" w:type="dxa"/>
            <w:vAlign w:val="bottom"/>
            <w:shd w:val="clear" w:color="auto" w:fill="CCE2F1"/>
          </w:tcPr>
          <w:p>
            <w:pPr>
              <w:spacing w:after="0"/>
              <w:rPr>
                <w:sz w:val="15"/>
                <w:szCs w:val="15"/>
                <w:color w:val="auto"/>
              </w:rPr>
            </w:pPr>
          </w:p>
        </w:tc>
        <w:tc>
          <w:tcPr>
            <w:tcW w:w="260" w:type="dxa"/>
            <w:vAlign w:val="bottom"/>
            <w:shd w:val="clear" w:color="auto" w:fill="CCE2F1"/>
          </w:tcPr>
          <w:p>
            <w:pPr>
              <w:spacing w:after="0"/>
              <w:rPr>
                <w:sz w:val="15"/>
                <w:szCs w:val="15"/>
                <w:color w:val="auto"/>
              </w:rPr>
            </w:pPr>
          </w:p>
        </w:tc>
        <w:tc>
          <w:tcPr>
            <w:tcW w:w="480" w:type="dxa"/>
            <w:vAlign w:val="bottom"/>
            <w:shd w:val="clear" w:color="auto" w:fill="CCE2F1"/>
          </w:tcPr>
          <w:p>
            <w:pPr>
              <w:spacing w:after="0"/>
              <w:rPr>
                <w:sz w:val="15"/>
                <w:szCs w:val="15"/>
                <w:color w:val="auto"/>
              </w:rPr>
            </w:pPr>
          </w:p>
        </w:tc>
        <w:tc>
          <w:tcPr>
            <w:tcW w:w="760" w:type="dxa"/>
            <w:vAlign w:val="bottom"/>
            <w:shd w:val="clear" w:color="auto" w:fill="CCE2F1"/>
          </w:tcPr>
          <w:p>
            <w:pPr>
              <w:spacing w:after="0"/>
              <w:rPr>
                <w:sz w:val="15"/>
                <w:szCs w:val="15"/>
                <w:color w:val="auto"/>
              </w:rPr>
            </w:pPr>
          </w:p>
        </w:tc>
        <w:tc>
          <w:tcPr>
            <w:tcW w:w="840" w:type="dxa"/>
            <w:vAlign w:val="bottom"/>
            <w:shd w:val="clear" w:color="auto" w:fill="CCE2F1"/>
          </w:tcPr>
          <w:p>
            <w:pPr>
              <w:jc w:val="right"/>
              <w:ind w:right="12"/>
              <w:spacing w:after="0"/>
              <w:rPr>
                <w:sz w:val="20"/>
                <w:szCs w:val="20"/>
                <w:color w:val="auto"/>
              </w:rPr>
            </w:pPr>
            <w:r>
              <w:rPr>
                <w:rFonts w:ascii="Arial" w:cs="Arial" w:eastAsia="Arial" w:hAnsi="Arial"/>
                <w:sz w:val="13"/>
                <w:szCs w:val="13"/>
                <w:color w:val="auto"/>
              </w:rPr>
              <w:t>112,508</w:t>
            </w:r>
          </w:p>
        </w:tc>
        <w:tc>
          <w:tcPr>
            <w:tcW w:w="620" w:type="dxa"/>
            <w:vAlign w:val="bottom"/>
            <w:shd w:val="clear" w:color="auto" w:fill="CCE2F1"/>
          </w:tcPr>
          <w:p>
            <w:pPr>
              <w:jc w:val="right"/>
              <w:spacing w:after="0"/>
              <w:rPr>
                <w:sz w:val="20"/>
                <w:szCs w:val="20"/>
                <w:color w:val="auto"/>
              </w:rPr>
            </w:pPr>
            <w:r>
              <w:rPr>
                <w:rFonts w:ascii="Arial" w:cs="Arial" w:eastAsia="Arial" w:hAnsi="Arial"/>
                <w:sz w:val="13"/>
                <w:szCs w:val="13"/>
                <w:color w:val="auto"/>
              </w:rPr>
              <w:t>230.92</w:t>
            </w:r>
          </w:p>
        </w:tc>
        <w:tc>
          <w:tcPr>
            <w:tcW w:w="780" w:type="dxa"/>
            <w:vAlign w:val="bottom"/>
            <w:shd w:val="clear" w:color="auto" w:fill="CCE2F1"/>
          </w:tcPr>
          <w:p>
            <w:pPr>
              <w:jc w:val="right"/>
              <w:spacing w:after="0"/>
              <w:rPr>
                <w:sz w:val="20"/>
                <w:szCs w:val="20"/>
                <w:color w:val="auto"/>
              </w:rPr>
            </w:pPr>
            <w:r>
              <w:rPr>
                <w:rFonts w:ascii="Arial" w:cs="Arial" w:eastAsia="Arial" w:hAnsi="Arial"/>
                <w:sz w:val="13"/>
                <w:szCs w:val="13"/>
                <w:color w:val="auto"/>
              </w:rPr>
              <w:t>4,773,714</w:t>
            </w:r>
          </w:p>
        </w:tc>
        <w:tc>
          <w:tcPr>
            <w:tcW w:w="160" w:type="dxa"/>
            <w:vAlign w:val="bottom"/>
            <w:shd w:val="clear" w:color="auto" w:fill="CCE2F1"/>
          </w:tcPr>
          <w:p>
            <w:pPr>
              <w:jc w:val="right"/>
              <w:spacing w:after="0"/>
              <w:rPr>
                <w:sz w:val="20"/>
                <w:szCs w:val="20"/>
                <w:color w:val="auto"/>
              </w:rPr>
            </w:pPr>
            <w:r>
              <w:rPr>
                <w:rFonts w:ascii="Arial" w:cs="Arial" w:eastAsia="Arial" w:hAnsi="Arial"/>
                <w:sz w:val="10"/>
                <w:szCs w:val="10"/>
                <w:color w:val="auto"/>
                <w:w w:val="81"/>
              </w:rPr>
              <w:t>(8)</w:t>
            </w:r>
          </w:p>
        </w:tc>
        <w:tc>
          <w:tcPr>
            <w:tcW w:w="0" w:type="dxa"/>
            <w:vAlign w:val="bottom"/>
          </w:tcPr>
          <w:p>
            <w:pPr>
              <w:spacing w:after="0"/>
              <w:rPr>
                <w:sz w:val="1"/>
                <w:szCs w:val="1"/>
                <w:color w:val="auto"/>
              </w:rPr>
            </w:pPr>
          </w:p>
        </w:tc>
      </w:tr>
      <w:tr>
        <w:trPr>
          <w:trHeight w:val="229"/>
        </w:trPr>
        <w:tc>
          <w:tcPr>
            <w:tcW w:w="1800" w:type="dxa"/>
            <w:vAlign w:val="bottom"/>
          </w:tcPr>
          <w:p>
            <w:pPr>
              <w:spacing w:after="0"/>
              <w:rPr>
                <w:sz w:val="20"/>
                <w:szCs w:val="20"/>
                <w:color w:val="auto"/>
              </w:rPr>
            </w:pPr>
            <w:r>
              <w:rPr>
                <w:rFonts w:ascii="Arial" w:cs="Arial" w:eastAsia="Arial" w:hAnsi="Arial"/>
                <w:sz w:val="17"/>
                <w:szCs w:val="17"/>
                <w:color w:val="auto"/>
              </w:rPr>
              <w:t>Murdo Gordon</w:t>
            </w:r>
          </w:p>
        </w:tc>
        <w:tc>
          <w:tcPr>
            <w:tcW w:w="660" w:type="dxa"/>
            <w:vAlign w:val="bottom"/>
          </w:tcPr>
          <w:p>
            <w:pPr>
              <w:jc w:val="right"/>
              <w:spacing w:after="0"/>
              <w:rPr>
                <w:sz w:val="20"/>
                <w:szCs w:val="20"/>
                <w:color w:val="auto"/>
              </w:rPr>
            </w:pPr>
            <w:r>
              <w:rPr>
                <w:rFonts w:ascii="Arial" w:cs="Arial" w:eastAsia="Arial" w:hAnsi="Arial"/>
                <w:sz w:val="13"/>
                <w:szCs w:val="13"/>
                <w:color w:val="auto"/>
              </w:rPr>
              <w:t>3/1/2022</w:t>
            </w:r>
          </w:p>
        </w:tc>
        <w:tc>
          <w:tcPr>
            <w:tcW w:w="700" w:type="dxa"/>
            <w:vAlign w:val="bottom"/>
          </w:tcPr>
          <w:p>
            <w:pPr>
              <w:jc w:val="right"/>
              <w:spacing w:after="0"/>
              <w:rPr>
                <w:sz w:val="20"/>
                <w:szCs w:val="20"/>
                <w:color w:val="auto"/>
              </w:rPr>
            </w:pPr>
            <w:r>
              <w:rPr>
                <w:rFonts w:ascii="Arial" w:cs="Arial" w:eastAsia="Arial" w:hAnsi="Arial"/>
                <w:sz w:val="13"/>
                <w:szCs w:val="13"/>
                <w:color w:val="auto"/>
              </w:rPr>
              <w:t>3/1/2022</w:t>
            </w:r>
          </w:p>
        </w:tc>
        <w:tc>
          <w:tcPr>
            <w:tcW w:w="860" w:type="dxa"/>
            <w:vAlign w:val="bottom"/>
          </w:tcPr>
          <w:p>
            <w:pPr>
              <w:jc w:val="right"/>
              <w:spacing w:after="0"/>
              <w:rPr>
                <w:sz w:val="20"/>
                <w:szCs w:val="20"/>
                <w:color w:val="auto"/>
              </w:rPr>
            </w:pPr>
            <w:r>
              <w:rPr>
                <w:rFonts w:ascii="Arial" w:cs="Arial" w:eastAsia="Arial" w:hAnsi="Arial"/>
                <w:sz w:val="10"/>
                <w:szCs w:val="10"/>
                <w:color w:val="auto"/>
              </w:rPr>
              <w:t>(2)</w:t>
            </w:r>
          </w:p>
        </w:tc>
        <w:tc>
          <w:tcPr>
            <w:tcW w:w="640" w:type="dxa"/>
            <w:vAlign w:val="bottom"/>
          </w:tcPr>
          <w:p>
            <w:pPr>
              <w:jc w:val="right"/>
              <w:ind w:right="27"/>
              <w:spacing w:after="0"/>
              <w:rPr>
                <w:sz w:val="20"/>
                <w:szCs w:val="20"/>
                <w:color w:val="auto"/>
              </w:rPr>
            </w:pPr>
            <w:r>
              <w:rPr>
                <w:rFonts w:ascii="Arial" w:cs="Arial" w:eastAsia="Arial" w:hAnsi="Arial"/>
                <w:sz w:val="10"/>
                <w:szCs w:val="10"/>
                <w:color w:val="auto"/>
              </w:rPr>
              <w:t>(2)</w:t>
            </w:r>
          </w:p>
        </w:tc>
        <w:tc>
          <w:tcPr>
            <w:tcW w:w="780" w:type="dxa"/>
            <w:vAlign w:val="bottom"/>
          </w:tcPr>
          <w:p>
            <w:pPr>
              <w:jc w:val="right"/>
              <w:spacing w:after="0"/>
              <w:rPr>
                <w:sz w:val="20"/>
                <w:szCs w:val="20"/>
                <w:color w:val="auto"/>
              </w:rPr>
            </w:pPr>
            <w:r>
              <w:rPr>
                <w:rFonts w:ascii="Arial" w:cs="Arial" w:eastAsia="Arial" w:hAnsi="Arial"/>
                <w:sz w:val="13"/>
                <w:szCs w:val="13"/>
                <w:color w:val="auto"/>
              </w:rPr>
              <w:t>7,177,500</w:t>
            </w: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5/2/2022</w:t>
            </w:r>
          </w:p>
        </w:tc>
        <w:tc>
          <w:tcPr>
            <w:tcW w:w="700" w:type="dxa"/>
            <w:vAlign w:val="bottom"/>
          </w:tcPr>
          <w:p>
            <w:pPr>
              <w:jc w:val="right"/>
              <w:spacing w:after="0"/>
              <w:rPr>
                <w:sz w:val="20"/>
                <w:szCs w:val="20"/>
                <w:color w:val="auto"/>
              </w:rPr>
            </w:pPr>
            <w:r>
              <w:rPr>
                <w:rFonts w:ascii="Arial" w:cs="Arial" w:eastAsia="Arial" w:hAnsi="Arial"/>
                <w:sz w:val="13"/>
                <w:szCs w:val="13"/>
                <w:color w:val="auto"/>
              </w:rPr>
              <w:t>3/1/2022</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w:t>
            </w:r>
          </w:p>
        </w:tc>
        <w:tc>
          <w:tcPr>
            <w:tcW w:w="780" w:type="dxa"/>
            <w:vAlign w:val="bottom"/>
          </w:tcPr>
          <w:p>
            <w:pPr>
              <w:jc w:val="right"/>
              <w:ind w:right="233"/>
              <w:spacing w:after="0"/>
              <w:rPr>
                <w:sz w:val="20"/>
                <w:szCs w:val="20"/>
                <w:color w:val="auto"/>
              </w:rPr>
            </w:pPr>
            <w:r>
              <w:rPr>
                <w:rFonts w:ascii="Arial" w:cs="Arial" w:eastAsia="Arial" w:hAnsi="Arial"/>
                <w:sz w:val="13"/>
                <w:szCs w:val="13"/>
                <w:color w:val="auto"/>
              </w:rPr>
              <w:t>10,101</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20,202</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2,499,795</w:t>
            </w:r>
          </w:p>
        </w:tc>
        <w:tc>
          <w:tcPr>
            <w:tcW w:w="160" w:type="dxa"/>
            <w:vAlign w:val="bottom"/>
          </w:tcPr>
          <w:p>
            <w:pPr>
              <w:jc w:val="right"/>
              <w:spacing w:after="0"/>
              <w:rPr>
                <w:sz w:val="20"/>
                <w:szCs w:val="20"/>
                <w:color w:val="auto"/>
              </w:rPr>
            </w:pPr>
            <w:r>
              <w:rPr>
                <w:rFonts w:ascii="Arial" w:cs="Arial" w:eastAsia="Arial" w:hAnsi="Arial"/>
                <w:sz w:val="10"/>
                <w:szCs w:val="10"/>
                <w:color w:val="auto"/>
                <w:w w:val="81"/>
              </w:rPr>
              <w:t>(6)</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5/2/2022</w:t>
            </w:r>
          </w:p>
        </w:tc>
        <w:tc>
          <w:tcPr>
            <w:tcW w:w="700" w:type="dxa"/>
            <w:vAlign w:val="bottom"/>
          </w:tcPr>
          <w:p>
            <w:pPr>
              <w:jc w:val="right"/>
              <w:spacing w:after="0"/>
              <w:rPr>
                <w:sz w:val="20"/>
                <w:szCs w:val="20"/>
                <w:color w:val="auto"/>
              </w:rPr>
            </w:pPr>
            <w:r>
              <w:rPr>
                <w:rFonts w:ascii="Arial" w:cs="Arial" w:eastAsia="Arial" w:hAnsi="Arial"/>
                <w:sz w:val="13"/>
                <w:szCs w:val="13"/>
                <w:color w:val="auto"/>
              </w:rPr>
              <w:t>3/1/2022</w:t>
            </w: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4,330</w:t>
            </w: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999,884</w:t>
            </w:r>
          </w:p>
        </w:tc>
        <w:tc>
          <w:tcPr>
            <w:tcW w:w="160" w:type="dxa"/>
            <w:vAlign w:val="bottom"/>
          </w:tcPr>
          <w:p>
            <w:pPr>
              <w:jc w:val="right"/>
              <w:spacing w:after="0"/>
              <w:rPr>
                <w:sz w:val="20"/>
                <w:szCs w:val="20"/>
                <w:color w:val="auto"/>
              </w:rPr>
            </w:pPr>
            <w:r>
              <w:rPr>
                <w:rFonts w:ascii="Arial" w:cs="Arial" w:eastAsia="Arial" w:hAnsi="Arial"/>
                <w:sz w:val="10"/>
                <w:szCs w:val="10"/>
                <w:color w:val="auto"/>
                <w:w w:val="81"/>
              </w:rPr>
              <w:t>(7)</w:t>
            </w: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5/2/2022</w:t>
            </w:r>
          </w:p>
        </w:tc>
        <w:tc>
          <w:tcPr>
            <w:tcW w:w="700" w:type="dxa"/>
            <w:vAlign w:val="bottom"/>
          </w:tcPr>
          <w:p>
            <w:pPr>
              <w:jc w:val="right"/>
              <w:spacing w:after="0"/>
              <w:rPr>
                <w:sz w:val="20"/>
                <w:szCs w:val="20"/>
                <w:color w:val="auto"/>
              </w:rPr>
            </w:pPr>
            <w:r>
              <w:rPr>
                <w:rFonts w:ascii="Arial" w:cs="Arial" w:eastAsia="Arial" w:hAnsi="Arial"/>
                <w:sz w:val="13"/>
                <w:szCs w:val="13"/>
                <w:color w:val="auto"/>
              </w:rPr>
              <w:t>3/1/2022</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right"/>
              <w:ind w:right="12"/>
              <w:spacing w:after="0"/>
              <w:rPr>
                <w:sz w:val="20"/>
                <w:szCs w:val="20"/>
                <w:color w:val="auto"/>
              </w:rPr>
            </w:pPr>
            <w:r>
              <w:rPr>
                <w:rFonts w:ascii="Arial" w:cs="Arial" w:eastAsia="Arial" w:hAnsi="Arial"/>
                <w:sz w:val="13"/>
                <w:szCs w:val="13"/>
                <w:color w:val="auto"/>
              </w:rPr>
              <w:t>35,352</w:t>
            </w:r>
          </w:p>
        </w:tc>
        <w:tc>
          <w:tcPr>
            <w:tcW w:w="620" w:type="dxa"/>
            <w:vAlign w:val="bottom"/>
          </w:tcPr>
          <w:p>
            <w:pPr>
              <w:jc w:val="right"/>
              <w:spacing w:after="0"/>
              <w:rPr>
                <w:sz w:val="20"/>
                <w:szCs w:val="20"/>
                <w:color w:val="auto"/>
              </w:rPr>
            </w:pPr>
            <w:r>
              <w:rPr>
                <w:rFonts w:ascii="Arial" w:cs="Arial" w:eastAsia="Arial" w:hAnsi="Arial"/>
                <w:sz w:val="13"/>
                <w:szCs w:val="13"/>
                <w:color w:val="auto"/>
              </w:rPr>
              <w:t>230.92</w:t>
            </w:r>
          </w:p>
        </w:tc>
        <w:tc>
          <w:tcPr>
            <w:tcW w:w="780" w:type="dxa"/>
            <w:vAlign w:val="bottom"/>
          </w:tcPr>
          <w:p>
            <w:pPr>
              <w:jc w:val="right"/>
              <w:spacing w:after="0"/>
              <w:rPr>
                <w:sz w:val="20"/>
                <w:szCs w:val="20"/>
                <w:color w:val="auto"/>
              </w:rPr>
            </w:pPr>
            <w:r>
              <w:rPr>
                <w:rFonts w:ascii="Arial" w:cs="Arial" w:eastAsia="Arial" w:hAnsi="Arial"/>
                <w:sz w:val="13"/>
                <w:szCs w:val="13"/>
                <w:color w:val="auto"/>
              </w:rPr>
              <w:t>1,499,985</w:t>
            </w:r>
          </w:p>
        </w:tc>
        <w:tc>
          <w:tcPr>
            <w:tcW w:w="160" w:type="dxa"/>
            <w:vAlign w:val="bottom"/>
          </w:tcPr>
          <w:p>
            <w:pPr>
              <w:jc w:val="right"/>
              <w:spacing w:after="0"/>
              <w:rPr>
                <w:sz w:val="20"/>
                <w:szCs w:val="20"/>
                <w:color w:val="auto"/>
              </w:rPr>
            </w:pPr>
            <w:r>
              <w:rPr>
                <w:rFonts w:ascii="Arial" w:cs="Arial" w:eastAsia="Arial" w:hAnsi="Arial"/>
                <w:sz w:val="10"/>
                <w:szCs w:val="10"/>
                <w:color w:val="auto"/>
                <w:w w:val="81"/>
              </w:rPr>
              <w:t>(8)</w:t>
            </w:r>
          </w:p>
        </w:tc>
        <w:tc>
          <w:tcPr>
            <w:tcW w:w="0" w:type="dxa"/>
            <w:vAlign w:val="bottom"/>
          </w:tcPr>
          <w:p>
            <w:pPr>
              <w:spacing w:after="0"/>
              <w:rPr>
                <w:sz w:val="1"/>
                <w:szCs w:val="1"/>
                <w:color w:val="auto"/>
              </w:rPr>
            </w:pPr>
          </w:p>
        </w:tc>
      </w:tr>
      <w:tr>
        <w:trPr>
          <w:trHeight w:val="223"/>
        </w:trPr>
        <w:tc>
          <w:tcPr>
            <w:tcW w:w="1800" w:type="dxa"/>
            <w:vAlign w:val="bottom"/>
            <w:shd w:val="clear" w:color="auto" w:fill="CCE2F1"/>
          </w:tcPr>
          <w:p>
            <w:pPr>
              <w:spacing w:after="0"/>
              <w:rPr>
                <w:sz w:val="20"/>
                <w:szCs w:val="20"/>
                <w:color w:val="auto"/>
              </w:rPr>
            </w:pPr>
            <w:r>
              <w:rPr>
                <w:rFonts w:ascii="Arial" w:cs="Arial" w:eastAsia="Arial" w:hAnsi="Arial"/>
                <w:sz w:val="17"/>
                <w:szCs w:val="17"/>
                <w:color w:val="auto"/>
              </w:rPr>
              <w:t>David M. Reese</w:t>
            </w:r>
          </w:p>
        </w:tc>
        <w:tc>
          <w:tcPr>
            <w:tcW w:w="660" w:type="dxa"/>
            <w:vAlign w:val="bottom"/>
            <w:shd w:val="clear" w:color="auto" w:fill="CCE2F1"/>
          </w:tcPr>
          <w:p>
            <w:pPr>
              <w:jc w:val="right"/>
              <w:spacing w:after="0"/>
              <w:rPr>
                <w:sz w:val="20"/>
                <w:szCs w:val="20"/>
                <w:color w:val="auto"/>
              </w:rPr>
            </w:pPr>
            <w:r>
              <w:rPr>
                <w:rFonts w:ascii="Arial" w:cs="Arial" w:eastAsia="Arial" w:hAnsi="Arial"/>
                <w:sz w:val="13"/>
                <w:szCs w:val="13"/>
                <w:color w:val="auto"/>
              </w:rPr>
              <w:t>3/1/2022</w:t>
            </w:r>
          </w:p>
        </w:tc>
        <w:tc>
          <w:tcPr>
            <w:tcW w:w="700" w:type="dxa"/>
            <w:vAlign w:val="bottom"/>
            <w:shd w:val="clear" w:color="auto" w:fill="CCE2F1"/>
          </w:tcPr>
          <w:p>
            <w:pPr>
              <w:jc w:val="right"/>
              <w:spacing w:after="0"/>
              <w:rPr>
                <w:sz w:val="20"/>
                <w:szCs w:val="20"/>
                <w:color w:val="auto"/>
              </w:rPr>
            </w:pPr>
            <w:r>
              <w:rPr>
                <w:rFonts w:ascii="Arial" w:cs="Arial" w:eastAsia="Arial" w:hAnsi="Arial"/>
                <w:sz w:val="13"/>
                <w:szCs w:val="13"/>
                <w:color w:val="auto"/>
              </w:rPr>
              <w:t>3/1/2022</w:t>
            </w:r>
          </w:p>
        </w:tc>
        <w:tc>
          <w:tcPr>
            <w:tcW w:w="860" w:type="dxa"/>
            <w:vAlign w:val="bottom"/>
            <w:shd w:val="clear" w:color="auto" w:fill="CCE2F1"/>
          </w:tcPr>
          <w:p>
            <w:pPr>
              <w:jc w:val="right"/>
              <w:spacing w:after="0"/>
              <w:rPr>
                <w:sz w:val="20"/>
                <w:szCs w:val="20"/>
                <w:color w:val="auto"/>
              </w:rPr>
            </w:pPr>
            <w:r>
              <w:rPr>
                <w:rFonts w:ascii="Arial" w:cs="Arial" w:eastAsia="Arial" w:hAnsi="Arial"/>
                <w:sz w:val="10"/>
                <w:szCs w:val="10"/>
                <w:color w:val="auto"/>
              </w:rPr>
              <w:t>(2)</w:t>
            </w:r>
          </w:p>
        </w:tc>
        <w:tc>
          <w:tcPr>
            <w:tcW w:w="640" w:type="dxa"/>
            <w:vAlign w:val="bottom"/>
            <w:shd w:val="clear" w:color="auto" w:fill="CCE2F1"/>
          </w:tcPr>
          <w:p>
            <w:pPr>
              <w:jc w:val="right"/>
              <w:ind w:right="27"/>
              <w:spacing w:after="0"/>
              <w:rPr>
                <w:sz w:val="20"/>
                <w:szCs w:val="20"/>
                <w:color w:val="auto"/>
              </w:rPr>
            </w:pPr>
            <w:r>
              <w:rPr>
                <w:rFonts w:ascii="Arial" w:cs="Arial" w:eastAsia="Arial" w:hAnsi="Arial"/>
                <w:sz w:val="10"/>
                <w:szCs w:val="10"/>
                <w:color w:val="auto"/>
              </w:rPr>
              <w:t>(2)</w:t>
            </w:r>
          </w:p>
        </w:tc>
        <w:tc>
          <w:tcPr>
            <w:tcW w:w="780" w:type="dxa"/>
            <w:vAlign w:val="bottom"/>
            <w:shd w:val="clear" w:color="auto" w:fill="CCE2F1"/>
          </w:tcPr>
          <w:p>
            <w:pPr>
              <w:jc w:val="right"/>
              <w:spacing w:after="0"/>
              <w:rPr>
                <w:sz w:val="20"/>
                <w:szCs w:val="20"/>
                <w:color w:val="auto"/>
              </w:rPr>
            </w:pPr>
            <w:r>
              <w:rPr>
                <w:rFonts w:ascii="Arial" w:cs="Arial" w:eastAsia="Arial" w:hAnsi="Arial"/>
                <w:sz w:val="13"/>
                <w:szCs w:val="13"/>
                <w:color w:val="auto"/>
              </w:rPr>
              <w:t>7,177,500</w:t>
            </w:r>
          </w:p>
        </w:tc>
        <w:tc>
          <w:tcPr>
            <w:tcW w:w="900" w:type="dxa"/>
            <w:vAlign w:val="bottom"/>
            <w:shd w:val="clear" w:color="auto" w:fill="CCE2F1"/>
          </w:tcPr>
          <w:p>
            <w:pPr>
              <w:spacing w:after="0"/>
              <w:rPr>
                <w:sz w:val="19"/>
                <w:szCs w:val="19"/>
                <w:color w:val="auto"/>
              </w:rPr>
            </w:pPr>
          </w:p>
        </w:tc>
        <w:tc>
          <w:tcPr>
            <w:tcW w:w="780" w:type="dxa"/>
            <w:vAlign w:val="bottom"/>
            <w:shd w:val="clear" w:color="auto" w:fill="CCE2F1"/>
          </w:tcPr>
          <w:p>
            <w:pPr>
              <w:spacing w:after="0"/>
              <w:rPr>
                <w:sz w:val="19"/>
                <w:szCs w:val="19"/>
                <w:color w:val="auto"/>
              </w:rPr>
            </w:pPr>
          </w:p>
        </w:tc>
        <w:tc>
          <w:tcPr>
            <w:tcW w:w="260" w:type="dxa"/>
            <w:vAlign w:val="bottom"/>
            <w:shd w:val="clear" w:color="auto" w:fill="CCE2F1"/>
          </w:tcPr>
          <w:p>
            <w:pPr>
              <w:spacing w:after="0"/>
              <w:rPr>
                <w:sz w:val="19"/>
                <w:szCs w:val="19"/>
                <w:color w:val="auto"/>
              </w:rPr>
            </w:pPr>
          </w:p>
        </w:tc>
        <w:tc>
          <w:tcPr>
            <w:tcW w:w="480" w:type="dxa"/>
            <w:vAlign w:val="bottom"/>
            <w:shd w:val="clear" w:color="auto" w:fill="CCE2F1"/>
          </w:tcPr>
          <w:p>
            <w:pPr>
              <w:spacing w:after="0"/>
              <w:rPr>
                <w:sz w:val="19"/>
                <w:szCs w:val="19"/>
                <w:color w:val="auto"/>
              </w:rPr>
            </w:pPr>
          </w:p>
        </w:tc>
        <w:tc>
          <w:tcPr>
            <w:tcW w:w="760" w:type="dxa"/>
            <w:vAlign w:val="bottom"/>
            <w:shd w:val="clear" w:color="auto" w:fill="CCE2F1"/>
          </w:tcPr>
          <w:p>
            <w:pPr>
              <w:spacing w:after="0"/>
              <w:rPr>
                <w:sz w:val="19"/>
                <w:szCs w:val="19"/>
                <w:color w:val="auto"/>
              </w:rPr>
            </w:pPr>
          </w:p>
        </w:tc>
        <w:tc>
          <w:tcPr>
            <w:tcW w:w="840" w:type="dxa"/>
            <w:vAlign w:val="bottom"/>
            <w:shd w:val="clear" w:color="auto" w:fill="CCE2F1"/>
          </w:tcPr>
          <w:p>
            <w:pPr>
              <w:spacing w:after="0"/>
              <w:rPr>
                <w:sz w:val="19"/>
                <w:szCs w:val="19"/>
                <w:color w:val="auto"/>
              </w:rPr>
            </w:pPr>
          </w:p>
        </w:tc>
        <w:tc>
          <w:tcPr>
            <w:tcW w:w="620" w:type="dxa"/>
            <w:vAlign w:val="bottom"/>
            <w:shd w:val="clear" w:color="auto" w:fill="CCE2F1"/>
          </w:tcPr>
          <w:p>
            <w:pPr>
              <w:spacing w:after="0"/>
              <w:rPr>
                <w:sz w:val="19"/>
                <w:szCs w:val="19"/>
                <w:color w:val="auto"/>
              </w:rPr>
            </w:pPr>
          </w:p>
        </w:tc>
        <w:tc>
          <w:tcPr>
            <w:tcW w:w="780" w:type="dxa"/>
            <w:vAlign w:val="bottom"/>
            <w:shd w:val="clear" w:color="auto" w:fill="CCE2F1"/>
          </w:tcPr>
          <w:p>
            <w:pPr>
              <w:spacing w:after="0"/>
              <w:rPr>
                <w:sz w:val="19"/>
                <w:szCs w:val="19"/>
                <w:color w:val="auto"/>
              </w:rPr>
            </w:pPr>
          </w:p>
        </w:tc>
        <w:tc>
          <w:tcPr>
            <w:tcW w:w="160" w:type="dxa"/>
            <w:vAlign w:val="bottom"/>
            <w:shd w:val="clear" w:color="auto" w:fill="CCE2F1"/>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2F1"/>
          </w:tcPr>
          <w:p>
            <w:pPr>
              <w:spacing w:after="0"/>
              <w:rPr>
                <w:sz w:val="14"/>
                <w:szCs w:val="14"/>
                <w:color w:val="auto"/>
              </w:rPr>
            </w:pPr>
          </w:p>
        </w:tc>
        <w:tc>
          <w:tcPr>
            <w:tcW w:w="660" w:type="dxa"/>
            <w:vAlign w:val="bottom"/>
            <w:shd w:val="clear" w:color="auto" w:fill="CCE2F1"/>
          </w:tcPr>
          <w:p>
            <w:pPr>
              <w:jc w:val="right"/>
              <w:spacing w:after="0"/>
              <w:rPr>
                <w:sz w:val="20"/>
                <w:szCs w:val="20"/>
                <w:color w:val="auto"/>
              </w:rPr>
            </w:pPr>
            <w:r>
              <w:rPr>
                <w:rFonts w:ascii="Arial" w:cs="Arial" w:eastAsia="Arial" w:hAnsi="Arial"/>
                <w:sz w:val="13"/>
                <w:szCs w:val="13"/>
                <w:color w:val="auto"/>
              </w:rPr>
              <w:t>5/2/2022</w:t>
            </w:r>
          </w:p>
        </w:tc>
        <w:tc>
          <w:tcPr>
            <w:tcW w:w="700" w:type="dxa"/>
            <w:vAlign w:val="bottom"/>
            <w:shd w:val="clear" w:color="auto" w:fill="CCE2F1"/>
          </w:tcPr>
          <w:p>
            <w:pPr>
              <w:jc w:val="right"/>
              <w:spacing w:after="0"/>
              <w:rPr>
                <w:sz w:val="20"/>
                <w:szCs w:val="20"/>
                <w:color w:val="auto"/>
              </w:rPr>
            </w:pPr>
            <w:r>
              <w:rPr>
                <w:rFonts w:ascii="Arial" w:cs="Arial" w:eastAsia="Arial" w:hAnsi="Arial"/>
                <w:sz w:val="13"/>
                <w:szCs w:val="13"/>
                <w:color w:val="auto"/>
              </w:rPr>
              <w:t>3/1/2022</w:t>
            </w:r>
          </w:p>
        </w:tc>
        <w:tc>
          <w:tcPr>
            <w:tcW w:w="860" w:type="dxa"/>
            <w:vAlign w:val="bottom"/>
            <w:shd w:val="clear" w:color="auto" w:fill="CCE2F1"/>
          </w:tcPr>
          <w:p>
            <w:pPr>
              <w:spacing w:after="0"/>
              <w:rPr>
                <w:sz w:val="14"/>
                <w:szCs w:val="14"/>
                <w:color w:val="auto"/>
              </w:rPr>
            </w:pPr>
          </w:p>
        </w:tc>
        <w:tc>
          <w:tcPr>
            <w:tcW w:w="640" w:type="dxa"/>
            <w:vAlign w:val="bottom"/>
            <w:shd w:val="clear" w:color="auto" w:fill="CCE2F1"/>
          </w:tcPr>
          <w:p>
            <w:pPr>
              <w:spacing w:after="0"/>
              <w:rPr>
                <w:sz w:val="14"/>
                <w:szCs w:val="14"/>
                <w:color w:val="auto"/>
              </w:rPr>
            </w:pPr>
          </w:p>
        </w:tc>
        <w:tc>
          <w:tcPr>
            <w:tcW w:w="780" w:type="dxa"/>
            <w:vAlign w:val="bottom"/>
            <w:shd w:val="clear" w:color="auto" w:fill="CCE2F1"/>
          </w:tcPr>
          <w:p>
            <w:pPr>
              <w:spacing w:after="0"/>
              <w:rPr>
                <w:sz w:val="14"/>
                <w:szCs w:val="14"/>
                <w:color w:val="auto"/>
              </w:rPr>
            </w:pPr>
          </w:p>
        </w:tc>
        <w:tc>
          <w:tcPr>
            <w:tcW w:w="900" w:type="dxa"/>
            <w:vAlign w:val="bottom"/>
            <w:shd w:val="clear" w:color="auto" w:fill="CCE2F1"/>
          </w:tcPr>
          <w:p>
            <w:pPr>
              <w:jc w:val="right"/>
              <w:spacing w:after="0"/>
              <w:rPr>
                <w:sz w:val="20"/>
                <w:szCs w:val="20"/>
                <w:color w:val="auto"/>
              </w:rPr>
            </w:pPr>
            <w:r>
              <w:rPr>
                <w:rFonts w:ascii="Arial" w:cs="Arial" w:eastAsia="Arial" w:hAnsi="Arial"/>
                <w:sz w:val="10"/>
                <w:szCs w:val="10"/>
                <w:color w:val="auto"/>
              </w:rPr>
              <w:t>(3)</w:t>
            </w:r>
          </w:p>
        </w:tc>
        <w:tc>
          <w:tcPr>
            <w:tcW w:w="780" w:type="dxa"/>
            <w:vAlign w:val="bottom"/>
            <w:shd w:val="clear" w:color="auto" w:fill="CCE2F1"/>
          </w:tcPr>
          <w:p>
            <w:pPr>
              <w:jc w:val="right"/>
              <w:ind w:right="233"/>
              <w:spacing w:after="0"/>
              <w:rPr>
                <w:sz w:val="20"/>
                <w:szCs w:val="20"/>
                <w:color w:val="auto"/>
              </w:rPr>
            </w:pPr>
            <w:r>
              <w:rPr>
                <w:rFonts w:ascii="Arial" w:cs="Arial" w:eastAsia="Arial" w:hAnsi="Arial"/>
                <w:sz w:val="13"/>
                <w:szCs w:val="13"/>
                <w:color w:val="auto"/>
              </w:rPr>
              <w:t>9,091</w:t>
            </w:r>
          </w:p>
        </w:tc>
        <w:tc>
          <w:tcPr>
            <w:tcW w:w="260" w:type="dxa"/>
            <w:vAlign w:val="bottom"/>
            <w:shd w:val="clear" w:color="auto" w:fill="CCE2F1"/>
          </w:tcPr>
          <w:p>
            <w:pPr>
              <w:spacing w:after="0"/>
              <w:rPr>
                <w:sz w:val="14"/>
                <w:szCs w:val="14"/>
                <w:color w:val="auto"/>
              </w:rPr>
            </w:pPr>
          </w:p>
        </w:tc>
        <w:tc>
          <w:tcPr>
            <w:tcW w:w="480" w:type="dxa"/>
            <w:vAlign w:val="bottom"/>
            <w:shd w:val="clear" w:color="auto" w:fill="CCE2F1"/>
          </w:tcPr>
          <w:p>
            <w:pPr>
              <w:jc w:val="right"/>
              <w:spacing w:after="0"/>
              <w:rPr>
                <w:sz w:val="20"/>
                <w:szCs w:val="20"/>
                <w:color w:val="auto"/>
              </w:rPr>
            </w:pPr>
            <w:r>
              <w:rPr>
                <w:rFonts w:ascii="Arial" w:cs="Arial" w:eastAsia="Arial" w:hAnsi="Arial"/>
                <w:sz w:val="13"/>
                <w:szCs w:val="13"/>
                <w:color w:val="auto"/>
              </w:rPr>
              <w:t>18,182</w:t>
            </w:r>
          </w:p>
        </w:tc>
        <w:tc>
          <w:tcPr>
            <w:tcW w:w="760" w:type="dxa"/>
            <w:vAlign w:val="bottom"/>
            <w:shd w:val="clear" w:color="auto" w:fill="CCE2F1"/>
          </w:tcPr>
          <w:p>
            <w:pPr>
              <w:spacing w:after="0"/>
              <w:rPr>
                <w:sz w:val="14"/>
                <w:szCs w:val="14"/>
                <w:color w:val="auto"/>
              </w:rPr>
            </w:pPr>
          </w:p>
        </w:tc>
        <w:tc>
          <w:tcPr>
            <w:tcW w:w="840" w:type="dxa"/>
            <w:vAlign w:val="bottom"/>
            <w:shd w:val="clear" w:color="auto" w:fill="CCE2F1"/>
          </w:tcPr>
          <w:p>
            <w:pPr>
              <w:spacing w:after="0"/>
              <w:rPr>
                <w:sz w:val="14"/>
                <w:szCs w:val="14"/>
                <w:color w:val="auto"/>
              </w:rPr>
            </w:pPr>
          </w:p>
        </w:tc>
        <w:tc>
          <w:tcPr>
            <w:tcW w:w="620" w:type="dxa"/>
            <w:vAlign w:val="bottom"/>
            <w:shd w:val="clear" w:color="auto" w:fill="CCE2F1"/>
          </w:tcPr>
          <w:p>
            <w:pPr>
              <w:spacing w:after="0"/>
              <w:rPr>
                <w:sz w:val="14"/>
                <w:szCs w:val="14"/>
                <w:color w:val="auto"/>
              </w:rPr>
            </w:pPr>
          </w:p>
        </w:tc>
        <w:tc>
          <w:tcPr>
            <w:tcW w:w="780" w:type="dxa"/>
            <w:vAlign w:val="bottom"/>
            <w:shd w:val="clear" w:color="auto" w:fill="CCE2F1"/>
          </w:tcPr>
          <w:p>
            <w:pPr>
              <w:jc w:val="right"/>
              <w:spacing w:after="0"/>
              <w:rPr>
                <w:sz w:val="20"/>
                <w:szCs w:val="20"/>
                <w:color w:val="auto"/>
              </w:rPr>
            </w:pPr>
            <w:r>
              <w:rPr>
                <w:rFonts w:ascii="Arial" w:cs="Arial" w:eastAsia="Arial" w:hAnsi="Arial"/>
                <w:sz w:val="13"/>
                <w:szCs w:val="13"/>
                <w:color w:val="auto"/>
              </w:rPr>
              <w:t>2,249,841</w:t>
            </w:r>
          </w:p>
        </w:tc>
        <w:tc>
          <w:tcPr>
            <w:tcW w:w="160" w:type="dxa"/>
            <w:vAlign w:val="bottom"/>
            <w:shd w:val="clear" w:color="auto" w:fill="CCE2F1"/>
          </w:tcPr>
          <w:p>
            <w:pPr>
              <w:jc w:val="right"/>
              <w:spacing w:after="0"/>
              <w:rPr>
                <w:sz w:val="20"/>
                <w:szCs w:val="20"/>
                <w:color w:val="auto"/>
              </w:rPr>
            </w:pPr>
            <w:r>
              <w:rPr>
                <w:rFonts w:ascii="Arial" w:cs="Arial" w:eastAsia="Arial" w:hAnsi="Arial"/>
                <w:sz w:val="10"/>
                <w:szCs w:val="10"/>
                <w:color w:val="auto"/>
                <w:w w:val="81"/>
              </w:rPr>
              <w:t>(6)</w:t>
            </w:r>
          </w:p>
        </w:tc>
        <w:tc>
          <w:tcPr>
            <w:tcW w:w="0" w:type="dxa"/>
            <w:vAlign w:val="bottom"/>
          </w:tcPr>
          <w:p>
            <w:pPr>
              <w:spacing w:after="0"/>
              <w:rPr>
                <w:sz w:val="1"/>
                <w:szCs w:val="1"/>
                <w:color w:val="auto"/>
              </w:rPr>
            </w:pPr>
          </w:p>
        </w:tc>
      </w:tr>
      <w:tr>
        <w:trPr>
          <w:trHeight w:val="161"/>
        </w:trPr>
        <w:tc>
          <w:tcPr>
            <w:tcW w:w="1800" w:type="dxa"/>
            <w:vAlign w:val="bottom"/>
            <w:shd w:val="clear" w:color="auto" w:fill="CCE2F1"/>
          </w:tcPr>
          <w:p>
            <w:pPr>
              <w:spacing w:after="0"/>
              <w:rPr>
                <w:sz w:val="14"/>
                <w:szCs w:val="14"/>
                <w:color w:val="auto"/>
              </w:rPr>
            </w:pPr>
          </w:p>
        </w:tc>
        <w:tc>
          <w:tcPr>
            <w:tcW w:w="660" w:type="dxa"/>
            <w:vAlign w:val="bottom"/>
            <w:shd w:val="clear" w:color="auto" w:fill="CCE2F1"/>
          </w:tcPr>
          <w:p>
            <w:pPr>
              <w:jc w:val="right"/>
              <w:spacing w:after="0"/>
              <w:rPr>
                <w:sz w:val="20"/>
                <w:szCs w:val="20"/>
                <w:color w:val="auto"/>
              </w:rPr>
            </w:pPr>
            <w:r>
              <w:rPr>
                <w:rFonts w:ascii="Arial" w:cs="Arial" w:eastAsia="Arial" w:hAnsi="Arial"/>
                <w:sz w:val="13"/>
                <w:szCs w:val="13"/>
                <w:color w:val="auto"/>
              </w:rPr>
              <w:t>5/2/2022</w:t>
            </w:r>
          </w:p>
        </w:tc>
        <w:tc>
          <w:tcPr>
            <w:tcW w:w="700" w:type="dxa"/>
            <w:vAlign w:val="bottom"/>
            <w:shd w:val="clear" w:color="auto" w:fill="CCE2F1"/>
          </w:tcPr>
          <w:p>
            <w:pPr>
              <w:jc w:val="right"/>
              <w:spacing w:after="0"/>
              <w:rPr>
                <w:sz w:val="20"/>
                <w:szCs w:val="20"/>
                <w:color w:val="auto"/>
              </w:rPr>
            </w:pPr>
            <w:r>
              <w:rPr>
                <w:rFonts w:ascii="Arial" w:cs="Arial" w:eastAsia="Arial" w:hAnsi="Arial"/>
                <w:sz w:val="13"/>
                <w:szCs w:val="13"/>
                <w:color w:val="auto"/>
              </w:rPr>
              <w:t>3/1/2022</w:t>
            </w:r>
          </w:p>
        </w:tc>
        <w:tc>
          <w:tcPr>
            <w:tcW w:w="860" w:type="dxa"/>
            <w:vAlign w:val="bottom"/>
            <w:shd w:val="clear" w:color="auto" w:fill="CCE2F1"/>
          </w:tcPr>
          <w:p>
            <w:pPr>
              <w:spacing w:after="0"/>
              <w:rPr>
                <w:sz w:val="14"/>
                <w:szCs w:val="14"/>
                <w:color w:val="auto"/>
              </w:rPr>
            </w:pPr>
          </w:p>
        </w:tc>
        <w:tc>
          <w:tcPr>
            <w:tcW w:w="640" w:type="dxa"/>
            <w:vAlign w:val="bottom"/>
            <w:shd w:val="clear" w:color="auto" w:fill="CCE2F1"/>
          </w:tcPr>
          <w:p>
            <w:pPr>
              <w:spacing w:after="0"/>
              <w:rPr>
                <w:sz w:val="14"/>
                <w:szCs w:val="14"/>
                <w:color w:val="auto"/>
              </w:rPr>
            </w:pPr>
          </w:p>
        </w:tc>
        <w:tc>
          <w:tcPr>
            <w:tcW w:w="780" w:type="dxa"/>
            <w:vAlign w:val="bottom"/>
            <w:shd w:val="clear" w:color="auto" w:fill="CCE2F1"/>
          </w:tcPr>
          <w:p>
            <w:pPr>
              <w:spacing w:after="0"/>
              <w:rPr>
                <w:sz w:val="14"/>
                <w:szCs w:val="14"/>
                <w:color w:val="auto"/>
              </w:rPr>
            </w:pPr>
          </w:p>
        </w:tc>
        <w:tc>
          <w:tcPr>
            <w:tcW w:w="900" w:type="dxa"/>
            <w:vAlign w:val="bottom"/>
            <w:shd w:val="clear" w:color="auto" w:fill="CCE2F1"/>
          </w:tcPr>
          <w:p>
            <w:pPr>
              <w:spacing w:after="0"/>
              <w:rPr>
                <w:sz w:val="14"/>
                <w:szCs w:val="14"/>
                <w:color w:val="auto"/>
              </w:rPr>
            </w:pPr>
          </w:p>
        </w:tc>
        <w:tc>
          <w:tcPr>
            <w:tcW w:w="780" w:type="dxa"/>
            <w:vAlign w:val="bottom"/>
            <w:shd w:val="clear" w:color="auto" w:fill="CCE2F1"/>
          </w:tcPr>
          <w:p>
            <w:pPr>
              <w:spacing w:after="0"/>
              <w:rPr>
                <w:sz w:val="14"/>
                <w:szCs w:val="14"/>
                <w:color w:val="auto"/>
              </w:rPr>
            </w:pPr>
          </w:p>
        </w:tc>
        <w:tc>
          <w:tcPr>
            <w:tcW w:w="260" w:type="dxa"/>
            <w:vAlign w:val="bottom"/>
            <w:shd w:val="clear" w:color="auto" w:fill="CCE2F1"/>
          </w:tcPr>
          <w:p>
            <w:pPr>
              <w:spacing w:after="0"/>
              <w:rPr>
                <w:sz w:val="14"/>
                <w:szCs w:val="14"/>
                <w:color w:val="auto"/>
              </w:rPr>
            </w:pPr>
          </w:p>
        </w:tc>
        <w:tc>
          <w:tcPr>
            <w:tcW w:w="1240" w:type="dxa"/>
            <w:vAlign w:val="bottom"/>
            <w:gridSpan w:val="2"/>
            <w:shd w:val="clear" w:color="auto" w:fill="CCE2F1"/>
          </w:tcPr>
          <w:p>
            <w:pPr>
              <w:jc w:val="right"/>
              <w:spacing w:after="0"/>
              <w:rPr>
                <w:sz w:val="20"/>
                <w:szCs w:val="20"/>
                <w:color w:val="auto"/>
              </w:rPr>
            </w:pPr>
            <w:r>
              <w:rPr>
                <w:rFonts w:ascii="Arial" w:cs="Arial" w:eastAsia="Arial" w:hAnsi="Arial"/>
                <w:sz w:val="13"/>
                <w:szCs w:val="13"/>
                <w:color w:val="auto"/>
              </w:rPr>
              <w:t>3,897</w:t>
            </w:r>
          </w:p>
        </w:tc>
        <w:tc>
          <w:tcPr>
            <w:tcW w:w="840" w:type="dxa"/>
            <w:vAlign w:val="bottom"/>
            <w:shd w:val="clear" w:color="auto" w:fill="CCE2F1"/>
          </w:tcPr>
          <w:p>
            <w:pPr>
              <w:spacing w:after="0"/>
              <w:rPr>
                <w:sz w:val="14"/>
                <w:szCs w:val="14"/>
                <w:color w:val="auto"/>
              </w:rPr>
            </w:pPr>
          </w:p>
        </w:tc>
        <w:tc>
          <w:tcPr>
            <w:tcW w:w="620" w:type="dxa"/>
            <w:vAlign w:val="bottom"/>
            <w:shd w:val="clear" w:color="auto" w:fill="CCE2F1"/>
          </w:tcPr>
          <w:p>
            <w:pPr>
              <w:spacing w:after="0"/>
              <w:rPr>
                <w:sz w:val="14"/>
                <w:szCs w:val="14"/>
                <w:color w:val="auto"/>
              </w:rPr>
            </w:pPr>
          </w:p>
        </w:tc>
        <w:tc>
          <w:tcPr>
            <w:tcW w:w="780" w:type="dxa"/>
            <w:vAlign w:val="bottom"/>
            <w:shd w:val="clear" w:color="auto" w:fill="CCE2F1"/>
          </w:tcPr>
          <w:p>
            <w:pPr>
              <w:jc w:val="right"/>
              <w:spacing w:after="0"/>
              <w:rPr>
                <w:sz w:val="20"/>
                <w:szCs w:val="20"/>
                <w:color w:val="auto"/>
              </w:rPr>
            </w:pPr>
            <w:r>
              <w:rPr>
                <w:rFonts w:ascii="Arial" w:cs="Arial" w:eastAsia="Arial" w:hAnsi="Arial"/>
                <w:sz w:val="13"/>
                <w:szCs w:val="13"/>
                <w:color w:val="auto"/>
              </w:rPr>
              <w:t>899,895</w:t>
            </w:r>
          </w:p>
        </w:tc>
        <w:tc>
          <w:tcPr>
            <w:tcW w:w="160" w:type="dxa"/>
            <w:vAlign w:val="bottom"/>
            <w:shd w:val="clear" w:color="auto" w:fill="CCE2F1"/>
          </w:tcPr>
          <w:p>
            <w:pPr>
              <w:jc w:val="right"/>
              <w:spacing w:after="0"/>
              <w:rPr>
                <w:sz w:val="20"/>
                <w:szCs w:val="20"/>
                <w:color w:val="auto"/>
              </w:rPr>
            </w:pPr>
            <w:r>
              <w:rPr>
                <w:rFonts w:ascii="Arial" w:cs="Arial" w:eastAsia="Arial" w:hAnsi="Arial"/>
                <w:sz w:val="10"/>
                <w:szCs w:val="10"/>
                <w:color w:val="auto"/>
                <w:w w:val="81"/>
              </w:rPr>
              <w:t>(7)</w:t>
            </w:r>
          </w:p>
        </w:tc>
        <w:tc>
          <w:tcPr>
            <w:tcW w:w="0" w:type="dxa"/>
            <w:vAlign w:val="bottom"/>
          </w:tcPr>
          <w:p>
            <w:pPr>
              <w:spacing w:after="0"/>
              <w:rPr>
                <w:sz w:val="1"/>
                <w:szCs w:val="1"/>
                <w:color w:val="auto"/>
              </w:rPr>
            </w:pPr>
          </w:p>
        </w:tc>
      </w:tr>
      <w:tr>
        <w:trPr>
          <w:trHeight w:val="176"/>
        </w:trPr>
        <w:tc>
          <w:tcPr>
            <w:tcW w:w="1800" w:type="dxa"/>
            <w:vAlign w:val="bottom"/>
            <w:shd w:val="clear" w:color="auto" w:fill="CCE2F1"/>
          </w:tcPr>
          <w:p>
            <w:pPr>
              <w:spacing w:after="0"/>
              <w:rPr>
                <w:sz w:val="15"/>
                <w:szCs w:val="15"/>
                <w:color w:val="auto"/>
              </w:rPr>
            </w:pPr>
          </w:p>
        </w:tc>
        <w:tc>
          <w:tcPr>
            <w:tcW w:w="660" w:type="dxa"/>
            <w:vAlign w:val="bottom"/>
            <w:shd w:val="clear" w:color="auto" w:fill="CCE2F1"/>
          </w:tcPr>
          <w:p>
            <w:pPr>
              <w:jc w:val="right"/>
              <w:spacing w:after="0"/>
              <w:rPr>
                <w:sz w:val="20"/>
                <w:szCs w:val="20"/>
                <w:color w:val="auto"/>
              </w:rPr>
            </w:pPr>
            <w:r>
              <w:rPr>
                <w:rFonts w:ascii="Arial" w:cs="Arial" w:eastAsia="Arial" w:hAnsi="Arial"/>
                <w:sz w:val="13"/>
                <w:szCs w:val="13"/>
                <w:color w:val="auto"/>
              </w:rPr>
              <w:t>5/2/2022</w:t>
            </w:r>
          </w:p>
        </w:tc>
        <w:tc>
          <w:tcPr>
            <w:tcW w:w="700" w:type="dxa"/>
            <w:vAlign w:val="bottom"/>
            <w:shd w:val="clear" w:color="auto" w:fill="CCE2F1"/>
          </w:tcPr>
          <w:p>
            <w:pPr>
              <w:jc w:val="right"/>
              <w:spacing w:after="0"/>
              <w:rPr>
                <w:sz w:val="20"/>
                <w:szCs w:val="20"/>
                <w:color w:val="auto"/>
              </w:rPr>
            </w:pPr>
            <w:r>
              <w:rPr>
                <w:rFonts w:ascii="Arial" w:cs="Arial" w:eastAsia="Arial" w:hAnsi="Arial"/>
                <w:sz w:val="13"/>
                <w:szCs w:val="13"/>
                <w:color w:val="auto"/>
              </w:rPr>
              <w:t>3/1/2022</w:t>
            </w:r>
          </w:p>
        </w:tc>
        <w:tc>
          <w:tcPr>
            <w:tcW w:w="860" w:type="dxa"/>
            <w:vAlign w:val="bottom"/>
            <w:shd w:val="clear" w:color="auto" w:fill="CCE2F1"/>
          </w:tcPr>
          <w:p>
            <w:pPr>
              <w:spacing w:after="0"/>
              <w:rPr>
                <w:sz w:val="15"/>
                <w:szCs w:val="15"/>
                <w:color w:val="auto"/>
              </w:rPr>
            </w:pPr>
          </w:p>
        </w:tc>
        <w:tc>
          <w:tcPr>
            <w:tcW w:w="640" w:type="dxa"/>
            <w:vAlign w:val="bottom"/>
            <w:shd w:val="clear" w:color="auto" w:fill="CCE2F1"/>
          </w:tcPr>
          <w:p>
            <w:pPr>
              <w:spacing w:after="0"/>
              <w:rPr>
                <w:sz w:val="15"/>
                <w:szCs w:val="15"/>
                <w:color w:val="auto"/>
              </w:rPr>
            </w:pPr>
          </w:p>
        </w:tc>
        <w:tc>
          <w:tcPr>
            <w:tcW w:w="780" w:type="dxa"/>
            <w:vAlign w:val="bottom"/>
            <w:shd w:val="clear" w:color="auto" w:fill="CCE2F1"/>
          </w:tcPr>
          <w:p>
            <w:pPr>
              <w:spacing w:after="0"/>
              <w:rPr>
                <w:sz w:val="15"/>
                <w:szCs w:val="15"/>
                <w:color w:val="auto"/>
              </w:rPr>
            </w:pPr>
          </w:p>
        </w:tc>
        <w:tc>
          <w:tcPr>
            <w:tcW w:w="900" w:type="dxa"/>
            <w:vAlign w:val="bottom"/>
            <w:shd w:val="clear" w:color="auto" w:fill="CCE2F1"/>
          </w:tcPr>
          <w:p>
            <w:pPr>
              <w:spacing w:after="0"/>
              <w:rPr>
                <w:sz w:val="15"/>
                <w:szCs w:val="15"/>
                <w:color w:val="auto"/>
              </w:rPr>
            </w:pPr>
          </w:p>
        </w:tc>
        <w:tc>
          <w:tcPr>
            <w:tcW w:w="780" w:type="dxa"/>
            <w:vAlign w:val="bottom"/>
            <w:shd w:val="clear" w:color="auto" w:fill="CCE2F1"/>
          </w:tcPr>
          <w:p>
            <w:pPr>
              <w:spacing w:after="0"/>
              <w:rPr>
                <w:sz w:val="15"/>
                <w:szCs w:val="15"/>
                <w:color w:val="auto"/>
              </w:rPr>
            </w:pPr>
          </w:p>
        </w:tc>
        <w:tc>
          <w:tcPr>
            <w:tcW w:w="260" w:type="dxa"/>
            <w:vAlign w:val="bottom"/>
            <w:shd w:val="clear" w:color="auto" w:fill="CCE2F1"/>
          </w:tcPr>
          <w:p>
            <w:pPr>
              <w:spacing w:after="0"/>
              <w:rPr>
                <w:sz w:val="15"/>
                <w:szCs w:val="15"/>
                <w:color w:val="auto"/>
              </w:rPr>
            </w:pPr>
          </w:p>
        </w:tc>
        <w:tc>
          <w:tcPr>
            <w:tcW w:w="480" w:type="dxa"/>
            <w:vAlign w:val="bottom"/>
            <w:shd w:val="clear" w:color="auto" w:fill="CCE2F1"/>
          </w:tcPr>
          <w:p>
            <w:pPr>
              <w:spacing w:after="0"/>
              <w:rPr>
                <w:sz w:val="15"/>
                <w:szCs w:val="15"/>
                <w:color w:val="auto"/>
              </w:rPr>
            </w:pPr>
          </w:p>
        </w:tc>
        <w:tc>
          <w:tcPr>
            <w:tcW w:w="760" w:type="dxa"/>
            <w:vAlign w:val="bottom"/>
            <w:shd w:val="clear" w:color="auto" w:fill="CCE2F1"/>
          </w:tcPr>
          <w:p>
            <w:pPr>
              <w:spacing w:after="0"/>
              <w:rPr>
                <w:sz w:val="15"/>
                <w:szCs w:val="15"/>
                <w:color w:val="auto"/>
              </w:rPr>
            </w:pPr>
          </w:p>
        </w:tc>
        <w:tc>
          <w:tcPr>
            <w:tcW w:w="840" w:type="dxa"/>
            <w:vAlign w:val="bottom"/>
            <w:shd w:val="clear" w:color="auto" w:fill="CCE2F1"/>
          </w:tcPr>
          <w:p>
            <w:pPr>
              <w:jc w:val="right"/>
              <w:ind w:right="12"/>
              <w:spacing w:after="0"/>
              <w:rPr>
                <w:sz w:val="20"/>
                <w:szCs w:val="20"/>
                <w:color w:val="auto"/>
              </w:rPr>
            </w:pPr>
            <w:r>
              <w:rPr>
                <w:rFonts w:ascii="Arial" w:cs="Arial" w:eastAsia="Arial" w:hAnsi="Arial"/>
                <w:sz w:val="13"/>
                <w:szCs w:val="13"/>
                <w:color w:val="auto"/>
              </w:rPr>
              <w:t>31,817</w:t>
            </w:r>
          </w:p>
        </w:tc>
        <w:tc>
          <w:tcPr>
            <w:tcW w:w="620" w:type="dxa"/>
            <w:vAlign w:val="bottom"/>
            <w:shd w:val="clear" w:color="auto" w:fill="CCE2F1"/>
          </w:tcPr>
          <w:p>
            <w:pPr>
              <w:jc w:val="right"/>
              <w:spacing w:after="0"/>
              <w:rPr>
                <w:sz w:val="20"/>
                <w:szCs w:val="20"/>
                <w:color w:val="auto"/>
              </w:rPr>
            </w:pPr>
            <w:r>
              <w:rPr>
                <w:rFonts w:ascii="Arial" w:cs="Arial" w:eastAsia="Arial" w:hAnsi="Arial"/>
                <w:sz w:val="13"/>
                <w:szCs w:val="13"/>
                <w:color w:val="auto"/>
              </w:rPr>
              <w:t>230.92</w:t>
            </w:r>
          </w:p>
        </w:tc>
        <w:tc>
          <w:tcPr>
            <w:tcW w:w="780" w:type="dxa"/>
            <w:vAlign w:val="bottom"/>
            <w:shd w:val="clear" w:color="auto" w:fill="CCE2F1"/>
          </w:tcPr>
          <w:p>
            <w:pPr>
              <w:jc w:val="right"/>
              <w:spacing w:after="0"/>
              <w:rPr>
                <w:sz w:val="20"/>
                <w:szCs w:val="20"/>
                <w:color w:val="auto"/>
              </w:rPr>
            </w:pPr>
            <w:r>
              <w:rPr>
                <w:rFonts w:ascii="Arial" w:cs="Arial" w:eastAsia="Arial" w:hAnsi="Arial"/>
                <w:sz w:val="13"/>
                <w:szCs w:val="13"/>
                <w:color w:val="auto"/>
              </w:rPr>
              <w:t>1,349,995</w:t>
            </w:r>
          </w:p>
        </w:tc>
        <w:tc>
          <w:tcPr>
            <w:tcW w:w="160" w:type="dxa"/>
            <w:vAlign w:val="bottom"/>
            <w:shd w:val="clear" w:color="auto" w:fill="CCE2F1"/>
          </w:tcPr>
          <w:p>
            <w:pPr>
              <w:jc w:val="right"/>
              <w:spacing w:after="0"/>
              <w:rPr>
                <w:sz w:val="20"/>
                <w:szCs w:val="20"/>
                <w:color w:val="auto"/>
              </w:rPr>
            </w:pPr>
            <w:r>
              <w:rPr>
                <w:rFonts w:ascii="Arial" w:cs="Arial" w:eastAsia="Arial" w:hAnsi="Arial"/>
                <w:sz w:val="10"/>
                <w:szCs w:val="10"/>
                <w:color w:val="auto"/>
                <w:w w:val="81"/>
              </w:rPr>
              <w:t>(8)</w:t>
            </w:r>
          </w:p>
        </w:tc>
        <w:tc>
          <w:tcPr>
            <w:tcW w:w="0" w:type="dxa"/>
            <w:vAlign w:val="bottom"/>
          </w:tcPr>
          <w:p>
            <w:pPr>
              <w:spacing w:after="0"/>
              <w:rPr>
                <w:sz w:val="1"/>
                <w:szCs w:val="1"/>
                <w:color w:val="auto"/>
              </w:rPr>
            </w:pPr>
          </w:p>
        </w:tc>
      </w:tr>
      <w:tr>
        <w:trPr>
          <w:trHeight w:val="229"/>
        </w:trPr>
        <w:tc>
          <w:tcPr>
            <w:tcW w:w="1800" w:type="dxa"/>
            <w:vAlign w:val="bottom"/>
          </w:tcPr>
          <w:p>
            <w:pPr>
              <w:spacing w:after="0"/>
              <w:rPr>
                <w:sz w:val="20"/>
                <w:szCs w:val="20"/>
                <w:color w:val="auto"/>
              </w:rPr>
            </w:pPr>
            <w:r>
              <w:rPr>
                <w:rFonts w:ascii="Arial" w:cs="Arial" w:eastAsia="Arial" w:hAnsi="Arial"/>
                <w:sz w:val="17"/>
                <w:szCs w:val="17"/>
                <w:color w:val="auto"/>
              </w:rPr>
              <w:t>Peter H. Griffith</w:t>
            </w:r>
          </w:p>
        </w:tc>
        <w:tc>
          <w:tcPr>
            <w:tcW w:w="660" w:type="dxa"/>
            <w:vAlign w:val="bottom"/>
          </w:tcPr>
          <w:p>
            <w:pPr>
              <w:jc w:val="right"/>
              <w:spacing w:after="0"/>
              <w:rPr>
                <w:sz w:val="20"/>
                <w:szCs w:val="20"/>
                <w:color w:val="auto"/>
              </w:rPr>
            </w:pPr>
            <w:r>
              <w:rPr>
                <w:rFonts w:ascii="Arial" w:cs="Arial" w:eastAsia="Arial" w:hAnsi="Arial"/>
                <w:sz w:val="13"/>
                <w:szCs w:val="13"/>
                <w:color w:val="auto"/>
              </w:rPr>
              <w:t>3/1/2022</w:t>
            </w:r>
          </w:p>
        </w:tc>
        <w:tc>
          <w:tcPr>
            <w:tcW w:w="700" w:type="dxa"/>
            <w:vAlign w:val="bottom"/>
          </w:tcPr>
          <w:p>
            <w:pPr>
              <w:jc w:val="right"/>
              <w:spacing w:after="0"/>
              <w:rPr>
                <w:sz w:val="20"/>
                <w:szCs w:val="20"/>
                <w:color w:val="auto"/>
              </w:rPr>
            </w:pPr>
            <w:r>
              <w:rPr>
                <w:rFonts w:ascii="Arial" w:cs="Arial" w:eastAsia="Arial" w:hAnsi="Arial"/>
                <w:sz w:val="13"/>
                <w:szCs w:val="13"/>
                <w:color w:val="auto"/>
              </w:rPr>
              <w:t>3/1/2022</w:t>
            </w:r>
          </w:p>
        </w:tc>
        <w:tc>
          <w:tcPr>
            <w:tcW w:w="860" w:type="dxa"/>
            <w:vAlign w:val="bottom"/>
          </w:tcPr>
          <w:p>
            <w:pPr>
              <w:jc w:val="right"/>
              <w:spacing w:after="0"/>
              <w:rPr>
                <w:sz w:val="20"/>
                <w:szCs w:val="20"/>
                <w:color w:val="auto"/>
              </w:rPr>
            </w:pPr>
            <w:r>
              <w:rPr>
                <w:rFonts w:ascii="Arial" w:cs="Arial" w:eastAsia="Arial" w:hAnsi="Arial"/>
                <w:sz w:val="10"/>
                <w:szCs w:val="10"/>
                <w:color w:val="auto"/>
              </w:rPr>
              <w:t>(2)</w:t>
            </w:r>
          </w:p>
        </w:tc>
        <w:tc>
          <w:tcPr>
            <w:tcW w:w="640" w:type="dxa"/>
            <w:vAlign w:val="bottom"/>
          </w:tcPr>
          <w:p>
            <w:pPr>
              <w:jc w:val="right"/>
              <w:ind w:right="27"/>
              <w:spacing w:after="0"/>
              <w:rPr>
                <w:sz w:val="20"/>
                <w:szCs w:val="20"/>
                <w:color w:val="auto"/>
              </w:rPr>
            </w:pPr>
            <w:r>
              <w:rPr>
                <w:rFonts w:ascii="Arial" w:cs="Arial" w:eastAsia="Arial" w:hAnsi="Arial"/>
                <w:sz w:val="10"/>
                <w:szCs w:val="10"/>
                <w:color w:val="auto"/>
              </w:rPr>
              <w:t>(2)</w:t>
            </w:r>
          </w:p>
        </w:tc>
        <w:tc>
          <w:tcPr>
            <w:tcW w:w="780" w:type="dxa"/>
            <w:vAlign w:val="bottom"/>
          </w:tcPr>
          <w:p>
            <w:pPr>
              <w:jc w:val="right"/>
              <w:spacing w:after="0"/>
              <w:rPr>
                <w:sz w:val="20"/>
                <w:szCs w:val="20"/>
                <w:color w:val="auto"/>
              </w:rPr>
            </w:pPr>
            <w:r>
              <w:rPr>
                <w:rFonts w:ascii="Arial" w:cs="Arial" w:eastAsia="Arial" w:hAnsi="Arial"/>
                <w:sz w:val="13"/>
                <w:szCs w:val="13"/>
                <w:color w:val="auto"/>
              </w:rPr>
              <w:t>7,177,500</w:t>
            </w: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5/2/2022</w:t>
            </w:r>
          </w:p>
        </w:tc>
        <w:tc>
          <w:tcPr>
            <w:tcW w:w="700" w:type="dxa"/>
            <w:vAlign w:val="bottom"/>
          </w:tcPr>
          <w:p>
            <w:pPr>
              <w:jc w:val="right"/>
              <w:spacing w:after="0"/>
              <w:rPr>
                <w:sz w:val="20"/>
                <w:szCs w:val="20"/>
                <w:color w:val="auto"/>
              </w:rPr>
            </w:pPr>
            <w:r>
              <w:rPr>
                <w:rFonts w:ascii="Arial" w:cs="Arial" w:eastAsia="Arial" w:hAnsi="Arial"/>
                <w:sz w:val="13"/>
                <w:szCs w:val="13"/>
                <w:color w:val="auto"/>
              </w:rPr>
              <w:t>3/1/2022</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w:t>
            </w:r>
          </w:p>
        </w:tc>
        <w:tc>
          <w:tcPr>
            <w:tcW w:w="780" w:type="dxa"/>
            <w:vAlign w:val="bottom"/>
          </w:tcPr>
          <w:p>
            <w:pPr>
              <w:jc w:val="right"/>
              <w:ind w:right="233"/>
              <w:spacing w:after="0"/>
              <w:rPr>
                <w:sz w:val="20"/>
                <w:szCs w:val="20"/>
                <w:color w:val="auto"/>
              </w:rPr>
            </w:pPr>
            <w:r>
              <w:rPr>
                <w:rFonts w:ascii="Arial" w:cs="Arial" w:eastAsia="Arial" w:hAnsi="Arial"/>
                <w:sz w:val="13"/>
                <w:szCs w:val="13"/>
                <w:color w:val="auto"/>
              </w:rPr>
              <w:t>9,091</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18,182</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2,249,841</w:t>
            </w:r>
          </w:p>
        </w:tc>
        <w:tc>
          <w:tcPr>
            <w:tcW w:w="160" w:type="dxa"/>
            <w:vAlign w:val="bottom"/>
          </w:tcPr>
          <w:p>
            <w:pPr>
              <w:jc w:val="right"/>
              <w:spacing w:after="0"/>
              <w:rPr>
                <w:sz w:val="20"/>
                <w:szCs w:val="20"/>
                <w:color w:val="auto"/>
              </w:rPr>
            </w:pPr>
            <w:r>
              <w:rPr>
                <w:rFonts w:ascii="Arial" w:cs="Arial" w:eastAsia="Arial" w:hAnsi="Arial"/>
                <w:sz w:val="10"/>
                <w:szCs w:val="10"/>
                <w:color w:val="auto"/>
                <w:w w:val="81"/>
              </w:rPr>
              <w:t>(6)</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5/2/2022</w:t>
            </w:r>
          </w:p>
        </w:tc>
        <w:tc>
          <w:tcPr>
            <w:tcW w:w="700" w:type="dxa"/>
            <w:vAlign w:val="bottom"/>
          </w:tcPr>
          <w:p>
            <w:pPr>
              <w:jc w:val="right"/>
              <w:spacing w:after="0"/>
              <w:rPr>
                <w:sz w:val="20"/>
                <w:szCs w:val="20"/>
                <w:color w:val="auto"/>
              </w:rPr>
            </w:pPr>
            <w:r>
              <w:rPr>
                <w:rFonts w:ascii="Arial" w:cs="Arial" w:eastAsia="Arial" w:hAnsi="Arial"/>
                <w:sz w:val="13"/>
                <w:szCs w:val="13"/>
                <w:color w:val="auto"/>
              </w:rPr>
              <w:t>3/1/2022</w:t>
            </w: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3,897</w:t>
            </w: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899,895</w:t>
            </w:r>
          </w:p>
        </w:tc>
        <w:tc>
          <w:tcPr>
            <w:tcW w:w="160" w:type="dxa"/>
            <w:vAlign w:val="bottom"/>
          </w:tcPr>
          <w:p>
            <w:pPr>
              <w:jc w:val="right"/>
              <w:spacing w:after="0"/>
              <w:rPr>
                <w:sz w:val="20"/>
                <w:szCs w:val="20"/>
                <w:color w:val="auto"/>
              </w:rPr>
            </w:pPr>
            <w:r>
              <w:rPr>
                <w:rFonts w:ascii="Arial" w:cs="Arial" w:eastAsia="Arial" w:hAnsi="Arial"/>
                <w:sz w:val="10"/>
                <w:szCs w:val="10"/>
                <w:color w:val="auto"/>
                <w:w w:val="81"/>
              </w:rPr>
              <w:t>(7)</w:t>
            </w: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5/2/2022</w:t>
            </w:r>
          </w:p>
        </w:tc>
        <w:tc>
          <w:tcPr>
            <w:tcW w:w="700" w:type="dxa"/>
            <w:vAlign w:val="bottom"/>
          </w:tcPr>
          <w:p>
            <w:pPr>
              <w:jc w:val="right"/>
              <w:spacing w:after="0"/>
              <w:rPr>
                <w:sz w:val="20"/>
                <w:szCs w:val="20"/>
                <w:color w:val="auto"/>
              </w:rPr>
            </w:pPr>
            <w:r>
              <w:rPr>
                <w:rFonts w:ascii="Arial" w:cs="Arial" w:eastAsia="Arial" w:hAnsi="Arial"/>
                <w:sz w:val="13"/>
                <w:szCs w:val="13"/>
                <w:color w:val="auto"/>
              </w:rPr>
              <w:t>3/1/2022</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right"/>
              <w:ind w:right="12"/>
              <w:spacing w:after="0"/>
              <w:rPr>
                <w:sz w:val="20"/>
                <w:szCs w:val="20"/>
                <w:color w:val="auto"/>
              </w:rPr>
            </w:pPr>
            <w:r>
              <w:rPr>
                <w:rFonts w:ascii="Arial" w:cs="Arial" w:eastAsia="Arial" w:hAnsi="Arial"/>
                <w:sz w:val="13"/>
                <w:szCs w:val="13"/>
                <w:color w:val="auto"/>
              </w:rPr>
              <w:t>31,817</w:t>
            </w:r>
          </w:p>
        </w:tc>
        <w:tc>
          <w:tcPr>
            <w:tcW w:w="620" w:type="dxa"/>
            <w:vAlign w:val="bottom"/>
          </w:tcPr>
          <w:p>
            <w:pPr>
              <w:jc w:val="right"/>
              <w:spacing w:after="0"/>
              <w:rPr>
                <w:sz w:val="20"/>
                <w:szCs w:val="20"/>
                <w:color w:val="auto"/>
              </w:rPr>
            </w:pPr>
            <w:r>
              <w:rPr>
                <w:rFonts w:ascii="Arial" w:cs="Arial" w:eastAsia="Arial" w:hAnsi="Arial"/>
                <w:sz w:val="13"/>
                <w:szCs w:val="13"/>
                <w:color w:val="auto"/>
              </w:rPr>
              <w:t>230.92</w:t>
            </w:r>
          </w:p>
        </w:tc>
        <w:tc>
          <w:tcPr>
            <w:tcW w:w="780" w:type="dxa"/>
            <w:vAlign w:val="bottom"/>
          </w:tcPr>
          <w:p>
            <w:pPr>
              <w:jc w:val="right"/>
              <w:spacing w:after="0"/>
              <w:rPr>
                <w:sz w:val="20"/>
                <w:szCs w:val="20"/>
                <w:color w:val="auto"/>
              </w:rPr>
            </w:pPr>
            <w:r>
              <w:rPr>
                <w:rFonts w:ascii="Arial" w:cs="Arial" w:eastAsia="Arial" w:hAnsi="Arial"/>
                <w:sz w:val="13"/>
                <w:szCs w:val="13"/>
                <w:color w:val="auto"/>
              </w:rPr>
              <w:t>1,349,995</w:t>
            </w:r>
          </w:p>
        </w:tc>
        <w:tc>
          <w:tcPr>
            <w:tcW w:w="160" w:type="dxa"/>
            <w:vAlign w:val="bottom"/>
          </w:tcPr>
          <w:p>
            <w:pPr>
              <w:jc w:val="right"/>
              <w:spacing w:after="0"/>
              <w:rPr>
                <w:sz w:val="20"/>
                <w:szCs w:val="20"/>
                <w:color w:val="auto"/>
              </w:rPr>
            </w:pPr>
            <w:r>
              <w:rPr>
                <w:rFonts w:ascii="Arial" w:cs="Arial" w:eastAsia="Arial" w:hAnsi="Arial"/>
                <w:sz w:val="10"/>
                <w:szCs w:val="10"/>
                <w:color w:val="auto"/>
                <w:w w:val="81"/>
              </w:rPr>
              <w:t>(8)</w:t>
            </w:r>
          </w:p>
        </w:tc>
        <w:tc>
          <w:tcPr>
            <w:tcW w:w="0" w:type="dxa"/>
            <w:vAlign w:val="bottom"/>
          </w:tcPr>
          <w:p>
            <w:pPr>
              <w:spacing w:after="0"/>
              <w:rPr>
                <w:sz w:val="1"/>
                <w:szCs w:val="1"/>
                <w:color w:val="auto"/>
              </w:rPr>
            </w:pPr>
          </w:p>
        </w:tc>
      </w:tr>
      <w:tr>
        <w:trPr>
          <w:trHeight w:val="250"/>
        </w:trPr>
        <w:tc>
          <w:tcPr>
            <w:tcW w:w="1800" w:type="dxa"/>
            <w:vAlign w:val="bottom"/>
            <w:shd w:val="clear" w:color="auto" w:fill="CCE2F1"/>
          </w:tcPr>
          <w:p>
            <w:pPr>
              <w:spacing w:after="0"/>
              <w:rPr>
                <w:sz w:val="20"/>
                <w:szCs w:val="20"/>
                <w:color w:val="auto"/>
              </w:rPr>
            </w:pPr>
            <w:r>
              <w:rPr>
                <w:rFonts w:ascii="Arial" w:cs="Arial" w:eastAsia="Arial" w:hAnsi="Arial"/>
                <w:sz w:val="17"/>
                <w:szCs w:val="17"/>
                <w:color w:val="auto"/>
              </w:rPr>
              <w:t>Esteban Santos</w:t>
            </w:r>
          </w:p>
        </w:tc>
        <w:tc>
          <w:tcPr>
            <w:tcW w:w="660" w:type="dxa"/>
            <w:vAlign w:val="bottom"/>
            <w:shd w:val="clear" w:color="auto" w:fill="CCE2F1"/>
          </w:tcPr>
          <w:p>
            <w:pPr>
              <w:jc w:val="right"/>
              <w:spacing w:after="0"/>
              <w:rPr>
                <w:sz w:val="20"/>
                <w:szCs w:val="20"/>
                <w:color w:val="auto"/>
              </w:rPr>
            </w:pPr>
            <w:r>
              <w:rPr>
                <w:rFonts w:ascii="Arial" w:cs="Arial" w:eastAsia="Arial" w:hAnsi="Arial"/>
                <w:sz w:val="13"/>
                <w:szCs w:val="13"/>
                <w:color w:val="auto"/>
              </w:rPr>
              <w:t>3/1/2022</w:t>
            </w:r>
          </w:p>
        </w:tc>
        <w:tc>
          <w:tcPr>
            <w:tcW w:w="700" w:type="dxa"/>
            <w:vAlign w:val="bottom"/>
            <w:shd w:val="clear" w:color="auto" w:fill="CCE2F1"/>
          </w:tcPr>
          <w:p>
            <w:pPr>
              <w:jc w:val="right"/>
              <w:spacing w:after="0"/>
              <w:rPr>
                <w:sz w:val="20"/>
                <w:szCs w:val="20"/>
                <w:color w:val="auto"/>
              </w:rPr>
            </w:pPr>
            <w:r>
              <w:rPr>
                <w:rFonts w:ascii="Arial" w:cs="Arial" w:eastAsia="Arial" w:hAnsi="Arial"/>
                <w:sz w:val="13"/>
                <w:szCs w:val="13"/>
                <w:color w:val="auto"/>
              </w:rPr>
              <w:t>3/1/2022</w:t>
            </w:r>
          </w:p>
        </w:tc>
        <w:tc>
          <w:tcPr>
            <w:tcW w:w="860" w:type="dxa"/>
            <w:vAlign w:val="bottom"/>
            <w:shd w:val="clear" w:color="auto" w:fill="CCE2F1"/>
          </w:tcPr>
          <w:p>
            <w:pPr>
              <w:jc w:val="right"/>
              <w:spacing w:after="0"/>
              <w:rPr>
                <w:sz w:val="20"/>
                <w:szCs w:val="20"/>
                <w:color w:val="auto"/>
              </w:rPr>
            </w:pPr>
            <w:r>
              <w:rPr>
                <w:rFonts w:ascii="Arial" w:cs="Arial" w:eastAsia="Arial" w:hAnsi="Arial"/>
                <w:sz w:val="10"/>
                <w:szCs w:val="10"/>
                <w:color w:val="auto"/>
              </w:rPr>
              <w:t>(2)</w:t>
            </w:r>
          </w:p>
        </w:tc>
        <w:tc>
          <w:tcPr>
            <w:tcW w:w="640" w:type="dxa"/>
            <w:vAlign w:val="bottom"/>
            <w:shd w:val="clear" w:color="auto" w:fill="CCE2F1"/>
          </w:tcPr>
          <w:p>
            <w:pPr>
              <w:jc w:val="right"/>
              <w:ind w:right="27"/>
              <w:spacing w:after="0"/>
              <w:rPr>
                <w:sz w:val="20"/>
                <w:szCs w:val="20"/>
                <w:color w:val="auto"/>
              </w:rPr>
            </w:pPr>
            <w:r>
              <w:rPr>
                <w:rFonts w:ascii="Arial" w:cs="Arial" w:eastAsia="Arial" w:hAnsi="Arial"/>
                <w:sz w:val="10"/>
                <w:szCs w:val="10"/>
                <w:color w:val="auto"/>
              </w:rPr>
              <w:t>(2)</w:t>
            </w:r>
          </w:p>
        </w:tc>
        <w:tc>
          <w:tcPr>
            <w:tcW w:w="780" w:type="dxa"/>
            <w:vAlign w:val="bottom"/>
            <w:shd w:val="clear" w:color="auto" w:fill="CCE2F1"/>
          </w:tcPr>
          <w:p>
            <w:pPr>
              <w:jc w:val="right"/>
              <w:spacing w:after="0"/>
              <w:rPr>
                <w:sz w:val="20"/>
                <w:szCs w:val="20"/>
                <w:color w:val="auto"/>
              </w:rPr>
            </w:pPr>
            <w:r>
              <w:rPr>
                <w:rFonts w:ascii="Arial" w:cs="Arial" w:eastAsia="Arial" w:hAnsi="Arial"/>
                <w:sz w:val="13"/>
                <w:szCs w:val="13"/>
                <w:color w:val="auto"/>
              </w:rPr>
              <w:t>7,177,500</w:t>
            </w:r>
          </w:p>
        </w:tc>
        <w:tc>
          <w:tcPr>
            <w:tcW w:w="900" w:type="dxa"/>
            <w:vAlign w:val="bottom"/>
            <w:shd w:val="clear" w:color="auto" w:fill="CCE2F1"/>
          </w:tcPr>
          <w:p>
            <w:pPr>
              <w:spacing w:after="0"/>
              <w:rPr>
                <w:sz w:val="21"/>
                <w:szCs w:val="21"/>
                <w:color w:val="auto"/>
              </w:rPr>
            </w:pPr>
          </w:p>
        </w:tc>
        <w:tc>
          <w:tcPr>
            <w:tcW w:w="780" w:type="dxa"/>
            <w:vAlign w:val="bottom"/>
            <w:shd w:val="clear" w:color="auto" w:fill="CCE2F1"/>
          </w:tcPr>
          <w:p>
            <w:pPr>
              <w:spacing w:after="0"/>
              <w:rPr>
                <w:sz w:val="21"/>
                <w:szCs w:val="21"/>
                <w:color w:val="auto"/>
              </w:rPr>
            </w:pPr>
          </w:p>
        </w:tc>
        <w:tc>
          <w:tcPr>
            <w:tcW w:w="260" w:type="dxa"/>
            <w:vAlign w:val="bottom"/>
            <w:shd w:val="clear" w:color="auto" w:fill="CCE2F1"/>
          </w:tcPr>
          <w:p>
            <w:pPr>
              <w:spacing w:after="0"/>
              <w:rPr>
                <w:sz w:val="21"/>
                <w:szCs w:val="21"/>
                <w:color w:val="auto"/>
              </w:rPr>
            </w:pPr>
          </w:p>
        </w:tc>
        <w:tc>
          <w:tcPr>
            <w:tcW w:w="480" w:type="dxa"/>
            <w:vAlign w:val="bottom"/>
            <w:shd w:val="clear" w:color="auto" w:fill="CCE2F1"/>
          </w:tcPr>
          <w:p>
            <w:pPr>
              <w:spacing w:after="0"/>
              <w:rPr>
                <w:sz w:val="21"/>
                <w:szCs w:val="21"/>
                <w:color w:val="auto"/>
              </w:rPr>
            </w:pPr>
          </w:p>
        </w:tc>
        <w:tc>
          <w:tcPr>
            <w:tcW w:w="760" w:type="dxa"/>
            <w:vAlign w:val="bottom"/>
            <w:shd w:val="clear" w:color="auto" w:fill="CCE2F1"/>
          </w:tcPr>
          <w:p>
            <w:pPr>
              <w:spacing w:after="0"/>
              <w:rPr>
                <w:sz w:val="21"/>
                <w:szCs w:val="21"/>
                <w:color w:val="auto"/>
              </w:rPr>
            </w:pPr>
          </w:p>
        </w:tc>
        <w:tc>
          <w:tcPr>
            <w:tcW w:w="840" w:type="dxa"/>
            <w:vAlign w:val="bottom"/>
            <w:shd w:val="clear" w:color="auto" w:fill="CCE2F1"/>
          </w:tcPr>
          <w:p>
            <w:pPr>
              <w:spacing w:after="0"/>
              <w:rPr>
                <w:sz w:val="21"/>
                <w:szCs w:val="21"/>
                <w:color w:val="auto"/>
              </w:rPr>
            </w:pPr>
          </w:p>
        </w:tc>
        <w:tc>
          <w:tcPr>
            <w:tcW w:w="620" w:type="dxa"/>
            <w:vAlign w:val="bottom"/>
            <w:shd w:val="clear" w:color="auto" w:fill="CCE2F1"/>
          </w:tcPr>
          <w:p>
            <w:pPr>
              <w:spacing w:after="0"/>
              <w:rPr>
                <w:sz w:val="21"/>
                <w:szCs w:val="21"/>
                <w:color w:val="auto"/>
              </w:rPr>
            </w:pPr>
          </w:p>
        </w:tc>
        <w:tc>
          <w:tcPr>
            <w:tcW w:w="780" w:type="dxa"/>
            <w:vAlign w:val="bottom"/>
            <w:shd w:val="clear" w:color="auto" w:fill="CCE2F1"/>
          </w:tcPr>
          <w:p>
            <w:pPr>
              <w:spacing w:after="0"/>
              <w:rPr>
                <w:sz w:val="21"/>
                <w:szCs w:val="21"/>
                <w:color w:val="auto"/>
              </w:rPr>
            </w:pPr>
          </w:p>
        </w:tc>
        <w:tc>
          <w:tcPr>
            <w:tcW w:w="160" w:type="dxa"/>
            <w:vAlign w:val="bottom"/>
            <w:shd w:val="clear" w:color="auto" w:fill="CCE2F1"/>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CE2F1"/>
          </w:tcPr>
          <w:p>
            <w:pPr>
              <w:spacing w:after="0"/>
              <w:rPr>
                <w:sz w:val="14"/>
                <w:szCs w:val="14"/>
                <w:color w:val="auto"/>
              </w:rPr>
            </w:pPr>
          </w:p>
        </w:tc>
        <w:tc>
          <w:tcPr>
            <w:tcW w:w="660" w:type="dxa"/>
            <w:vAlign w:val="bottom"/>
            <w:shd w:val="clear" w:color="auto" w:fill="CCE2F1"/>
          </w:tcPr>
          <w:p>
            <w:pPr>
              <w:jc w:val="right"/>
              <w:spacing w:after="0"/>
              <w:rPr>
                <w:sz w:val="20"/>
                <w:szCs w:val="20"/>
                <w:color w:val="auto"/>
              </w:rPr>
            </w:pPr>
            <w:r>
              <w:rPr>
                <w:rFonts w:ascii="Arial" w:cs="Arial" w:eastAsia="Arial" w:hAnsi="Arial"/>
                <w:sz w:val="13"/>
                <w:szCs w:val="13"/>
                <w:color w:val="auto"/>
              </w:rPr>
              <w:t>5/2/2022</w:t>
            </w:r>
          </w:p>
        </w:tc>
        <w:tc>
          <w:tcPr>
            <w:tcW w:w="700" w:type="dxa"/>
            <w:vAlign w:val="bottom"/>
            <w:shd w:val="clear" w:color="auto" w:fill="CCE2F1"/>
          </w:tcPr>
          <w:p>
            <w:pPr>
              <w:jc w:val="right"/>
              <w:spacing w:after="0"/>
              <w:rPr>
                <w:sz w:val="20"/>
                <w:szCs w:val="20"/>
                <w:color w:val="auto"/>
              </w:rPr>
            </w:pPr>
            <w:r>
              <w:rPr>
                <w:rFonts w:ascii="Arial" w:cs="Arial" w:eastAsia="Arial" w:hAnsi="Arial"/>
                <w:sz w:val="13"/>
                <w:szCs w:val="13"/>
                <w:color w:val="auto"/>
              </w:rPr>
              <w:t>3/1/2022</w:t>
            </w:r>
          </w:p>
        </w:tc>
        <w:tc>
          <w:tcPr>
            <w:tcW w:w="860" w:type="dxa"/>
            <w:vAlign w:val="bottom"/>
            <w:shd w:val="clear" w:color="auto" w:fill="CCE2F1"/>
          </w:tcPr>
          <w:p>
            <w:pPr>
              <w:spacing w:after="0"/>
              <w:rPr>
                <w:sz w:val="14"/>
                <w:szCs w:val="14"/>
                <w:color w:val="auto"/>
              </w:rPr>
            </w:pPr>
          </w:p>
        </w:tc>
        <w:tc>
          <w:tcPr>
            <w:tcW w:w="640" w:type="dxa"/>
            <w:vAlign w:val="bottom"/>
            <w:shd w:val="clear" w:color="auto" w:fill="CCE2F1"/>
          </w:tcPr>
          <w:p>
            <w:pPr>
              <w:spacing w:after="0"/>
              <w:rPr>
                <w:sz w:val="14"/>
                <w:szCs w:val="14"/>
                <w:color w:val="auto"/>
              </w:rPr>
            </w:pPr>
          </w:p>
        </w:tc>
        <w:tc>
          <w:tcPr>
            <w:tcW w:w="780" w:type="dxa"/>
            <w:vAlign w:val="bottom"/>
            <w:shd w:val="clear" w:color="auto" w:fill="CCE2F1"/>
          </w:tcPr>
          <w:p>
            <w:pPr>
              <w:spacing w:after="0"/>
              <w:rPr>
                <w:sz w:val="14"/>
                <w:szCs w:val="14"/>
                <w:color w:val="auto"/>
              </w:rPr>
            </w:pPr>
          </w:p>
        </w:tc>
        <w:tc>
          <w:tcPr>
            <w:tcW w:w="900" w:type="dxa"/>
            <w:vAlign w:val="bottom"/>
            <w:shd w:val="clear" w:color="auto" w:fill="CCE2F1"/>
          </w:tcPr>
          <w:p>
            <w:pPr>
              <w:jc w:val="right"/>
              <w:spacing w:after="0"/>
              <w:rPr>
                <w:sz w:val="20"/>
                <w:szCs w:val="20"/>
                <w:color w:val="auto"/>
              </w:rPr>
            </w:pPr>
            <w:r>
              <w:rPr>
                <w:rFonts w:ascii="Arial" w:cs="Arial" w:eastAsia="Arial" w:hAnsi="Arial"/>
                <w:sz w:val="10"/>
                <w:szCs w:val="10"/>
                <w:color w:val="auto"/>
              </w:rPr>
              <w:t>(3)</w:t>
            </w:r>
          </w:p>
        </w:tc>
        <w:tc>
          <w:tcPr>
            <w:tcW w:w="780" w:type="dxa"/>
            <w:vAlign w:val="bottom"/>
            <w:shd w:val="clear" w:color="auto" w:fill="CCE2F1"/>
          </w:tcPr>
          <w:p>
            <w:pPr>
              <w:jc w:val="right"/>
              <w:ind w:right="233"/>
              <w:spacing w:after="0"/>
              <w:rPr>
                <w:sz w:val="20"/>
                <w:szCs w:val="20"/>
                <w:color w:val="auto"/>
              </w:rPr>
            </w:pPr>
            <w:r>
              <w:rPr>
                <w:rFonts w:ascii="Arial" w:cs="Arial" w:eastAsia="Arial" w:hAnsi="Arial"/>
                <w:sz w:val="13"/>
                <w:szCs w:val="13"/>
                <w:color w:val="auto"/>
              </w:rPr>
              <w:t>8,485</w:t>
            </w:r>
          </w:p>
        </w:tc>
        <w:tc>
          <w:tcPr>
            <w:tcW w:w="260" w:type="dxa"/>
            <w:vAlign w:val="bottom"/>
            <w:shd w:val="clear" w:color="auto" w:fill="CCE2F1"/>
          </w:tcPr>
          <w:p>
            <w:pPr>
              <w:spacing w:after="0"/>
              <w:rPr>
                <w:sz w:val="14"/>
                <w:szCs w:val="14"/>
                <w:color w:val="auto"/>
              </w:rPr>
            </w:pPr>
          </w:p>
        </w:tc>
        <w:tc>
          <w:tcPr>
            <w:tcW w:w="480" w:type="dxa"/>
            <w:vAlign w:val="bottom"/>
            <w:shd w:val="clear" w:color="auto" w:fill="CCE2F1"/>
          </w:tcPr>
          <w:p>
            <w:pPr>
              <w:jc w:val="right"/>
              <w:spacing w:after="0"/>
              <w:rPr>
                <w:sz w:val="20"/>
                <w:szCs w:val="20"/>
                <w:color w:val="auto"/>
              </w:rPr>
            </w:pPr>
            <w:r>
              <w:rPr>
                <w:rFonts w:ascii="Arial" w:cs="Arial" w:eastAsia="Arial" w:hAnsi="Arial"/>
                <w:sz w:val="13"/>
                <w:szCs w:val="13"/>
                <w:color w:val="auto"/>
              </w:rPr>
              <w:t>16,970</w:t>
            </w:r>
          </w:p>
        </w:tc>
        <w:tc>
          <w:tcPr>
            <w:tcW w:w="760" w:type="dxa"/>
            <w:vAlign w:val="bottom"/>
            <w:shd w:val="clear" w:color="auto" w:fill="CCE2F1"/>
          </w:tcPr>
          <w:p>
            <w:pPr>
              <w:spacing w:after="0"/>
              <w:rPr>
                <w:sz w:val="14"/>
                <w:szCs w:val="14"/>
                <w:color w:val="auto"/>
              </w:rPr>
            </w:pPr>
          </w:p>
        </w:tc>
        <w:tc>
          <w:tcPr>
            <w:tcW w:w="840" w:type="dxa"/>
            <w:vAlign w:val="bottom"/>
            <w:shd w:val="clear" w:color="auto" w:fill="CCE2F1"/>
          </w:tcPr>
          <w:p>
            <w:pPr>
              <w:spacing w:after="0"/>
              <w:rPr>
                <w:sz w:val="14"/>
                <w:szCs w:val="14"/>
                <w:color w:val="auto"/>
              </w:rPr>
            </w:pPr>
          </w:p>
        </w:tc>
        <w:tc>
          <w:tcPr>
            <w:tcW w:w="620" w:type="dxa"/>
            <w:vAlign w:val="bottom"/>
            <w:shd w:val="clear" w:color="auto" w:fill="CCE2F1"/>
          </w:tcPr>
          <w:p>
            <w:pPr>
              <w:spacing w:after="0"/>
              <w:rPr>
                <w:sz w:val="14"/>
                <w:szCs w:val="14"/>
                <w:color w:val="auto"/>
              </w:rPr>
            </w:pPr>
          </w:p>
        </w:tc>
        <w:tc>
          <w:tcPr>
            <w:tcW w:w="780" w:type="dxa"/>
            <w:vAlign w:val="bottom"/>
            <w:shd w:val="clear" w:color="auto" w:fill="CCE2F1"/>
          </w:tcPr>
          <w:p>
            <w:pPr>
              <w:jc w:val="right"/>
              <w:spacing w:after="0"/>
              <w:rPr>
                <w:sz w:val="20"/>
                <w:szCs w:val="20"/>
                <w:color w:val="auto"/>
              </w:rPr>
            </w:pPr>
            <w:r>
              <w:rPr>
                <w:rFonts w:ascii="Arial" w:cs="Arial" w:eastAsia="Arial" w:hAnsi="Arial"/>
                <w:sz w:val="13"/>
                <w:szCs w:val="13"/>
                <w:color w:val="auto"/>
              </w:rPr>
              <w:t>2,099,868</w:t>
            </w:r>
          </w:p>
        </w:tc>
        <w:tc>
          <w:tcPr>
            <w:tcW w:w="160" w:type="dxa"/>
            <w:vAlign w:val="bottom"/>
            <w:shd w:val="clear" w:color="auto" w:fill="CCE2F1"/>
          </w:tcPr>
          <w:p>
            <w:pPr>
              <w:jc w:val="right"/>
              <w:spacing w:after="0"/>
              <w:rPr>
                <w:sz w:val="20"/>
                <w:szCs w:val="20"/>
                <w:color w:val="auto"/>
              </w:rPr>
            </w:pPr>
            <w:r>
              <w:rPr>
                <w:rFonts w:ascii="Arial" w:cs="Arial" w:eastAsia="Arial" w:hAnsi="Arial"/>
                <w:sz w:val="10"/>
                <w:szCs w:val="10"/>
                <w:color w:val="auto"/>
                <w:w w:val="81"/>
              </w:rPr>
              <w:t>(6)</w:t>
            </w:r>
          </w:p>
        </w:tc>
        <w:tc>
          <w:tcPr>
            <w:tcW w:w="0" w:type="dxa"/>
            <w:vAlign w:val="bottom"/>
          </w:tcPr>
          <w:p>
            <w:pPr>
              <w:spacing w:after="0"/>
              <w:rPr>
                <w:sz w:val="1"/>
                <w:szCs w:val="1"/>
                <w:color w:val="auto"/>
              </w:rPr>
            </w:pPr>
          </w:p>
        </w:tc>
      </w:tr>
      <w:tr>
        <w:trPr>
          <w:trHeight w:val="161"/>
        </w:trPr>
        <w:tc>
          <w:tcPr>
            <w:tcW w:w="1800" w:type="dxa"/>
            <w:vAlign w:val="bottom"/>
            <w:shd w:val="clear" w:color="auto" w:fill="CCE2F1"/>
          </w:tcPr>
          <w:p>
            <w:pPr>
              <w:spacing w:after="0"/>
              <w:rPr>
                <w:sz w:val="14"/>
                <w:szCs w:val="14"/>
                <w:color w:val="auto"/>
              </w:rPr>
            </w:pPr>
          </w:p>
        </w:tc>
        <w:tc>
          <w:tcPr>
            <w:tcW w:w="660" w:type="dxa"/>
            <w:vAlign w:val="bottom"/>
            <w:shd w:val="clear" w:color="auto" w:fill="CCE2F1"/>
          </w:tcPr>
          <w:p>
            <w:pPr>
              <w:jc w:val="right"/>
              <w:spacing w:after="0"/>
              <w:rPr>
                <w:sz w:val="20"/>
                <w:szCs w:val="20"/>
                <w:color w:val="auto"/>
              </w:rPr>
            </w:pPr>
            <w:r>
              <w:rPr>
                <w:rFonts w:ascii="Arial" w:cs="Arial" w:eastAsia="Arial" w:hAnsi="Arial"/>
                <w:sz w:val="13"/>
                <w:szCs w:val="13"/>
                <w:color w:val="auto"/>
              </w:rPr>
              <w:t>5/2/2022</w:t>
            </w:r>
          </w:p>
        </w:tc>
        <w:tc>
          <w:tcPr>
            <w:tcW w:w="700" w:type="dxa"/>
            <w:vAlign w:val="bottom"/>
            <w:shd w:val="clear" w:color="auto" w:fill="CCE2F1"/>
          </w:tcPr>
          <w:p>
            <w:pPr>
              <w:jc w:val="right"/>
              <w:spacing w:after="0"/>
              <w:rPr>
                <w:sz w:val="20"/>
                <w:szCs w:val="20"/>
                <w:color w:val="auto"/>
              </w:rPr>
            </w:pPr>
            <w:r>
              <w:rPr>
                <w:rFonts w:ascii="Arial" w:cs="Arial" w:eastAsia="Arial" w:hAnsi="Arial"/>
                <w:sz w:val="13"/>
                <w:szCs w:val="13"/>
                <w:color w:val="auto"/>
              </w:rPr>
              <w:t>3/1/2022</w:t>
            </w:r>
          </w:p>
        </w:tc>
        <w:tc>
          <w:tcPr>
            <w:tcW w:w="860" w:type="dxa"/>
            <w:vAlign w:val="bottom"/>
            <w:shd w:val="clear" w:color="auto" w:fill="CCE2F1"/>
          </w:tcPr>
          <w:p>
            <w:pPr>
              <w:spacing w:after="0"/>
              <w:rPr>
                <w:sz w:val="14"/>
                <w:szCs w:val="14"/>
                <w:color w:val="auto"/>
              </w:rPr>
            </w:pPr>
          </w:p>
        </w:tc>
        <w:tc>
          <w:tcPr>
            <w:tcW w:w="640" w:type="dxa"/>
            <w:vAlign w:val="bottom"/>
            <w:shd w:val="clear" w:color="auto" w:fill="CCE2F1"/>
          </w:tcPr>
          <w:p>
            <w:pPr>
              <w:spacing w:after="0"/>
              <w:rPr>
                <w:sz w:val="14"/>
                <w:szCs w:val="14"/>
                <w:color w:val="auto"/>
              </w:rPr>
            </w:pPr>
          </w:p>
        </w:tc>
        <w:tc>
          <w:tcPr>
            <w:tcW w:w="780" w:type="dxa"/>
            <w:vAlign w:val="bottom"/>
            <w:shd w:val="clear" w:color="auto" w:fill="CCE2F1"/>
          </w:tcPr>
          <w:p>
            <w:pPr>
              <w:spacing w:after="0"/>
              <w:rPr>
                <w:sz w:val="14"/>
                <w:szCs w:val="14"/>
                <w:color w:val="auto"/>
              </w:rPr>
            </w:pPr>
          </w:p>
        </w:tc>
        <w:tc>
          <w:tcPr>
            <w:tcW w:w="900" w:type="dxa"/>
            <w:vAlign w:val="bottom"/>
            <w:shd w:val="clear" w:color="auto" w:fill="CCE2F1"/>
          </w:tcPr>
          <w:p>
            <w:pPr>
              <w:spacing w:after="0"/>
              <w:rPr>
                <w:sz w:val="14"/>
                <w:szCs w:val="14"/>
                <w:color w:val="auto"/>
              </w:rPr>
            </w:pPr>
          </w:p>
        </w:tc>
        <w:tc>
          <w:tcPr>
            <w:tcW w:w="780" w:type="dxa"/>
            <w:vAlign w:val="bottom"/>
            <w:shd w:val="clear" w:color="auto" w:fill="CCE2F1"/>
          </w:tcPr>
          <w:p>
            <w:pPr>
              <w:spacing w:after="0"/>
              <w:rPr>
                <w:sz w:val="14"/>
                <w:szCs w:val="14"/>
                <w:color w:val="auto"/>
              </w:rPr>
            </w:pPr>
          </w:p>
        </w:tc>
        <w:tc>
          <w:tcPr>
            <w:tcW w:w="260" w:type="dxa"/>
            <w:vAlign w:val="bottom"/>
            <w:shd w:val="clear" w:color="auto" w:fill="CCE2F1"/>
          </w:tcPr>
          <w:p>
            <w:pPr>
              <w:spacing w:after="0"/>
              <w:rPr>
                <w:sz w:val="14"/>
                <w:szCs w:val="14"/>
                <w:color w:val="auto"/>
              </w:rPr>
            </w:pPr>
          </w:p>
        </w:tc>
        <w:tc>
          <w:tcPr>
            <w:tcW w:w="1240" w:type="dxa"/>
            <w:vAlign w:val="bottom"/>
            <w:gridSpan w:val="2"/>
            <w:shd w:val="clear" w:color="auto" w:fill="CCE2F1"/>
          </w:tcPr>
          <w:p>
            <w:pPr>
              <w:jc w:val="right"/>
              <w:spacing w:after="0"/>
              <w:rPr>
                <w:sz w:val="20"/>
                <w:szCs w:val="20"/>
                <w:color w:val="auto"/>
              </w:rPr>
            </w:pPr>
            <w:r>
              <w:rPr>
                <w:rFonts w:ascii="Arial" w:cs="Arial" w:eastAsia="Arial" w:hAnsi="Arial"/>
                <w:sz w:val="13"/>
                <w:szCs w:val="13"/>
                <w:color w:val="auto"/>
              </w:rPr>
              <w:t>3,637</w:t>
            </w:r>
          </w:p>
        </w:tc>
        <w:tc>
          <w:tcPr>
            <w:tcW w:w="840" w:type="dxa"/>
            <w:vAlign w:val="bottom"/>
            <w:shd w:val="clear" w:color="auto" w:fill="CCE2F1"/>
          </w:tcPr>
          <w:p>
            <w:pPr>
              <w:spacing w:after="0"/>
              <w:rPr>
                <w:sz w:val="14"/>
                <w:szCs w:val="14"/>
                <w:color w:val="auto"/>
              </w:rPr>
            </w:pPr>
          </w:p>
        </w:tc>
        <w:tc>
          <w:tcPr>
            <w:tcW w:w="620" w:type="dxa"/>
            <w:vAlign w:val="bottom"/>
            <w:shd w:val="clear" w:color="auto" w:fill="CCE2F1"/>
          </w:tcPr>
          <w:p>
            <w:pPr>
              <w:spacing w:after="0"/>
              <w:rPr>
                <w:sz w:val="14"/>
                <w:szCs w:val="14"/>
                <w:color w:val="auto"/>
              </w:rPr>
            </w:pPr>
          </w:p>
        </w:tc>
        <w:tc>
          <w:tcPr>
            <w:tcW w:w="780" w:type="dxa"/>
            <w:vAlign w:val="bottom"/>
            <w:shd w:val="clear" w:color="auto" w:fill="CCE2F1"/>
          </w:tcPr>
          <w:p>
            <w:pPr>
              <w:jc w:val="right"/>
              <w:spacing w:after="0"/>
              <w:rPr>
                <w:sz w:val="20"/>
                <w:szCs w:val="20"/>
                <w:color w:val="auto"/>
              </w:rPr>
            </w:pPr>
            <w:r>
              <w:rPr>
                <w:rFonts w:ascii="Arial" w:cs="Arial" w:eastAsia="Arial" w:hAnsi="Arial"/>
                <w:sz w:val="13"/>
                <w:szCs w:val="13"/>
                <w:color w:val="auto"/>
              </w:rPr>
              <w:t>839,856</w:t>
            </w:r>
          </w:p>
        </w:tc>
        <w:tc>
          <w:tcPr>
            <w:tcW w:w="160" w:type="dxa"/>
            <w:vAlign w:val="bottom"/>
            <w:shd w:val="clear" w:color="auto" w:fill="CCE2F1"/>
          </w:tcPr>
          <w:p>
            <w:pPr>
              <w:jc w:val="right"/>
              <w:spacing w:after="0"/>
              <w:rPr>
                <w:sz w:val="20"/>
                <w:szCs w:val="20"/>
                <w:color w:val="auto"/>
              </w:rPr>
            </w:pPr>
            <w:r>
              <w:rPr>
                <w:rFonts w:ascii="Arial" w:cs="Arial" w:eastAsia="Arial" w:hAnsi="Arial"/>
                <w:sz w:val="10"/>
                <w:szCs w:val="10"/>
                <w:color w:val="auto"/>
                <w:w w:val="81"/>
              </w:rPr>
              <w:t>(7)</w:t>
            </w:r>
          </w:p>
        </w:tc>
        <w:tc>
          <w:tcPr>
            <w:tcW w:w="0" w:type="dxa"/>
            <w:vAlign w:val="bottom"/>
          </w:tcPr>
          <w:p>
            <w:pPr>
              <w:spacing w:after="0"/>
              <w:rPr>
                <w:sz w:val="1"/>
                <w:szCs w:val="1"/>
                <w:color w:val="auto"/>
              </w:rPr>
            </w:pPr>
          </w:p>
        </w:tc>
      </w:tr>
      <w:tr>
        <w:trPr>
          <w:trHeight w:val="183"/>
        </w:trPr>
        <w:tc>
          <w:tcPr>
            <w:tcW w:w="1800" w:type="dxa"/>
            <w:vAlign w:val="bottom"/>
            <w:tcBorders>
              <w:bottom w:val="single" w:sz="8" w:color="CCE2F1"/>
            </w:tcBorders>
            <w:shd w:val="clear" w:color="auto" w:fill="CCE2F1"/>
          </w:tcPr>
          <w:p>
            <w:pPr>
              <w:spacing w:after="0"/>
              <w:rPr>
                <w:sz w:val="15"/>
                <w:szCs w:val="15"/>
                <w:color w:val="auto"/>
              </w:rPr>
            </w:pPr>
          </w:p>
        </w:tc>
        <w:tc>
          <w:tcPr>
            <w:tcW w:w="660" w:type="dxa"/>
            <w:vAlign w:val="bottom"/>
            <w:tcBorders>
              <w:bottom w:val="single" w:sz="8" w:color="CCE2F1"/>
            </w:tcBorders>
            <w:shd w:val="clear" w:color="auto" w:fill="CCE2F1"/>
          </w:tcPr>
          <w:p>
            <w:pPr>
              <w:jc w:val="right"/>
              <w:spacing w:after="0"/>
              <w:rPr>
                <w:sz w:val="20"/>
                <w:szCs w:val="20"/>
                <w:color w:val="auto"/>
              </w:rPr>
            </w:pPr>
            <w:r>
              <w:rPr>
                <w:rFonts w:ascii="Arial" w:cs="Arial" w:eastAsia="Arial" w:hAnsi="Arial"/>
                <w:sz w:val="13"/>
                <w:szCs w:val="13"/>
                <w:color w:val="auto"/>
              </w:rPr>
              <w:t>5/2/2022</w:t>
            </w:r>
          </w:p>
        </w:tc>
        <w:tc>
          <w:tcPr>
            <w:tcW w:w="700" w:type="dxa"/>
            <w:vAlign w:val="bottom"/>
            <w:tcBorders>
              <w:bottom w:val="single" w:sz="8" w:color="CCE2F1"/>
            </w:tcBorders>
            <w:shd w:val="clear" w:color="auto" w:fill="CCE2F1"/>
          </w:tcPr>
          <w:p>
            <w:pPr>
              <w:jc w:val="right"/>
              <w:spacing w:after="0"/>
              <w:rPr>
                <w:sz w:val="20"/>
                <w:szCs w:val="20"/>
                <w:color w:val="auto"/>
              </w:rPr>
            </w:pPr>
            <w:r>
              <w:rPr>
                <w:rFonts w:ascii="Arial" w:cs="Arial" w:eastAsia="Arial" w:hAnsi="Arial"/>
                <w:sz w:val="13"/>
                <w:szCs w:val="13"/>
                <w:color w:val="auto"/>
              </w:rPr>
              <w:t>3/1/2022</w:t>
            </w:r>
          </w:p>
        </w:tc>
        <w:tc>
          <w:tcPr>
            <w:tcW w:w="860" w:type="dxa"/>
            <w:vAlign w:val="bottom"/>
            <w:tcBorders>
              <w:bottom w:val="single" w:sz="8" w:color="CCE2F1"/>
            </w:tcBorders>
            <w:shd w:val="clear" w:color="auto" w:fill="CCE2F1"/>
          </w:tcPr>
          <w:p>
            <w:pPr>
              <w:spacing w:after="0"/>
              <w:rPr>
                <w:sz w:val="15"/>
                <w:szCs w:val="15"/>
                <w:color w:val="auto"/>
              </w:rPr>
            </w:pPr>
          </w:p>
        </w:tc>
        <w:tc>
          <w:tcPr>
            <w:tcW w:w="640" w:type="dxa"/>
            <w:vAlign w:val="bottom"/>
            <w:tcBorders>
              <w:bottom w:val="single" w:sz="8" w:color="CCE2F1"/>
            </w:tcBorders>
            <w:shd w:val="clear" w:color="auto" w:fill="CCE2F1"/>
          </w:tcPr>
          <w:p>
            <w:pPr>
              <w:spacing w:after="0"/>
              <w:rPr>
                <w:sz w:val="15"/>
                <w:szCs w:val="15"/>
                <w:color w:val="auto"/>
              </w:rPr>
            </w:pPr>
          </w:p>
        </w:tc>
        <w:tc>
          <w:tcPr>
            <w:tcW w:w="780" w:type="dxa"/>
            <w:vAlign w:val="bottom"/>
            <w:tcBorders>
              <w:bottom w:val="single" w:sz="8" w:color="CCE2F1"/>
            </w:tcBorders>
            <w:shd w:val="clear" w:color="auto" w:fill="CCE2F1"/>
          </w:tcPr>
          <w:p>
            <w:pPr>
              <w:spacing w:after="0"/>
              <w:rPr>
                <w:sz w:val="15"/>
                <w:szCs w:val="15"/>
                <w:color w:val="auto"/>
              </w:rPr>
            </w:pPr>
          </w:p>
        </w:tc>
        <w:tc>
          <w:tcPr>
            <w:tcW w:w="900" w:type="dxa"/>
            <w:vAlign w:val="bottom"/>
            <w:tcBorders>
              <w:bottom w:val="single" w:sz="8" w:color="CCE2F1"/>
            </w:tcBorders>
            <w:shd w:val="clear" w:color="auto" w:fill="CCE2F1"/>
          </w:tcPr>
          <w:p>
            <w:pPr>
              <w:spacing w:after="0"/>
              <w:rPr>
                <w:sz w:val="15"/>
                <w:szCs w:val="15"/>
                <w:color w:val="auto"/>
              </w:rPr>
            </w:pPr>
          </w:p>
        </w:tc>
        <w:tc>
          <w:tcPr>
            <w:tcW w:w="780" w:type="dxa"/>
            <w:vAlign w:val="bottom"/>
            <w:tcBorders>
              <w:bottom w:val="single" w:sz="8" w:color="CCE2F1"/>
            </w:tcBorders>
            <w:shd w:val="clear" w:color="auto" w:fill="CCE2F1"/>
          </w:tcPr>
          <w:p>
            <w:pPr>
              <w:spacing w:after="0"/>
              <w:rPr>
                <w:sz w:val="15"/>
                <w:szCs w:val="15"/>
                <w:color w:val="auto"/>
              </w:rPr>
            </w:pPr>
          </w:p>
        </w:tc>
        <w:tc>
          <w:tcPr>
            <w:tcW w:w="260" w:type="dxa"/>
            <w:vAlign w:val="bottom"/>
            <w:tcBorders>
              <w:bottom w:val="single" w:sz="8" w:color="CCE2F1"/>
            </w:tcBorders>
            <w:shd w:val="clear" w:color="auto" w:fill="CCE2F1"/>
          </w:tcPr>
          <w:p>
            <w:pPr>
              <w:spacing w:after="0"/>
              <w:rPr>
                <w:sz w:val="15"/>
                <w:szCs w:val="15"/>
                <w:color w:val="auto"/>
              </w:rPr>
            </w:pPr>
          </w:p>
        </w:tc>
        <w:tc>
          <w:tcPr>
            <w:tcW w:w="480" w:type="dxa"/>
            <w:vAlign w:val="bottom"/>
            <w:tcBorders>
              <w:bottom w:val="single" w:sz="8" w:color="CCE2F1"/>
            </w:tcBorders>
            <w:shd w:val="clear" w:color="auto" w:fill="CCE2F1"/>
          </w:tcPr>
          <w:p>
            <w:pPr>
              <w:spacing w:after="0"/>
              <w:rPr>
                <w:sz w:val="15"/>
                <w:szCs w:val="15"/>
                <w:color w:val="auto"/>
              </w:rPr>
            </w:pPr>
          </w:p>
        </w:tc>
        <w:tc>
          <w:tcPr>
            <w:tcW w:w="760" w:type="dxa"/>
            <w:vAlign w:val="bottom"/>
            <w:tcBorders>
              <w:bottom w:val="single" w:sz="8" w:color="CCE2F1"/>
            </w:tcBorders>
            <w:shd w:val="clear" w:color="auto" w:fill="CCE2F1"/>
          </w:tcPr>
          <w:p>
            <w:pPr>
              <w:spacing w:after="0"/>
              <w:rPr>
                <w:sz w:val="15"/>
                <w:szCs w:val="15"/>
                <w:color w:val="auto"/>
              </w:rPr>
            </w:pPr>
          </w:p>
        </w:tc>
        <w:tc>
          <w:tcPr>
            <w:tcW w:w="840" w:type="dxa"/>
            <w:vAlign w:val="bottom"/>
            <w:tcBorders>
              <w:bottom w:val="single" w:sz="8" w:color="CCE2F1"/>
            </w:tcBorders>
            <w:shd w:val="clear" w:color="auto" w:fill="CCE2F1"/>
          </w:tcPr>
          <w:p>
            <w:pPr>
              <w:jc w:val="right"/>
              <w:ind w:right="12"/>
              <w:spacing w:after="0"/>
              <w:rPr>
                <w:sz w:val="20"/>
                <w:szCs w:val="20"/>
                <w:color w:val="auto"/>
              </w:rPr>
            </w:pPr>
            <w:r>
              <w:rPr>
                <w:rFonts w:ascii="Arial" w:cs="Arial" w:eastAsia="Arial" w:hAnsi="Arial"/>
                <w:sz w:val="13"/>
                <w:szCs w:val="13"/>
                <w:color w:val="auto"/>
              </w:rPr>
              <w:t>29,695</w:t>
            </w:r>
          </w:p>
        </w:tc>
        <w:tc>
          <w:tcPr>
            <w:tcW w:w="620" w:type="dxa"/>
            <w:vAlign w:val="bottom"/>
            <w:tcBorders>
              <w:bottom w:val="single" w:sz="8" w:color="CCE2F1"/>
            </w:tcBorders>
            <w:shd w:val="clear" w:color="auto" w:fill="CCE2F1"/>
          </w:tcPr>
          <w:p>
            <w:pPr>
              <w:jc w:val="right"/>
              <w:spacing w:after="0"/>
              <w:rPr>
                <w:sz w:val="20"/>
                <w:szCs w:val="20"/>
                <w:color w:val="auto"/>
              </w:rPr>
            </w:pPr>
            <w:r>
              <w:rPr>
                <w:rFonts w:ascii="Arial" w:cs="Arial" w:eastAsia="Arial" w:hAnsi="Arial"/>
                <w:sz w:val="13"/>
                <w:szCs w:val="13"/>
                <w:color w:val="auto"/>
              </w:rPr>
              <w:t>230.92</w:t>
            </w:r>
          </w:p>
        </w:tc>
        <w:tc>
          <w:tcPr>
            <w:tcW w:w="780" w:type="dxa"/>
            <w:vAlign w:val="bottom"/>
            <w:tcBorders>
              <w:bottom w:val="single" w:sz="8" w:color="CCE2F1"/>
            </w:tcBorders>
            <w:shd w:val="clear" w:color="auto" w:fill="CCE2F1"/>
          </w:tcPr>
          <w:p>
            <w:pPr>
              <w:jc w:val="right"/>
              <w:spacing w:after="0"/>
              <w:rPr>
                <w:sz w:val="20"/>
                <w:szCs w:val="20"/>
                <w:color w:val="auto"/>
              </w:rPr>
            </w:pPr>
            <w:r>
              <w:rPr>
                <w:rFonts w:ascii="Arial" w:cs="Arial" w:eastAsia="Arial" w:hAnsi="Arial"/>
                <w:sz w:val="13"/>
                <w:szCs w:val="13"/>
                <w:color w:val="auto"/>
              </w:rPr>
              <w:t>1,259,959</w:t>
            </w:r>
          </w:p>
        </w:tc>
        <w:tc>
          <w:tcPr>
            <w:tcW w:w="160" w:type="dxa"/>
            <w:vAlign w:val="bottom"/>
            <w:tcBorders>
              <w:bottom w:val="single" w:sz="8" w:color="CCE2F1"/>
            </w:tcBorders>
            <w:shd w:val="clear" w:color="auto" w:fill="CCE2F1"/>
          </w:tcPr>
          <w:p>
            <w:pPr>
              <w:jc w:val="right"/>
              <w:spacing w:after="0"/>
              <w:rPr>
                <w:sz w:val="20"/>
                <w:szCs w:val="20"/>
                <w:color w:val="auto"/>
              </w:rPr>
            </w:pPr>
            <w:r>
              <w:rPr>
                <w:rFonts w:ascii="Arial" w:cs="Arial" w:eastAsia="Arial" w:hAnsi="Arial"/>
                <w:sz w:val="10"/>
                <w:szCs w:val="10"/>
                <w:color w:val="auto"/>
                <w:w w:val="81"/>
              </w:rPr>
              <w:t>(8)</w:t>
            </w:r>
          </w:p>
        </w:tc>
        <w:tc>
          <w:tcPr>
            <w:tcW w:w="0" w:type="dxa"/>
            <w:vAlign w:val="bottom"/>
          </w:tcPr>
          <w:p>
            <w:pPr>
              <w:spacing w:after="0"/>
              <w:rPr>
                <w:sz w:val="1"/>
                <w:szCs w:val="1"/>
                <w:color w:val="auto"/>
              </w:rPr>
            </w:pPr>
          </w:p>
        </w:tc>
      </w:tr>
      <w:tr>
        <w:trPr>
          <w:trHeight w:val="20"/>
        </w:trPr>
        <w:tc>
          <w:tcPr>
            <w:tcW w:w="1800" w:type="dxa"/>
            <w:vAlign w:val="bottom"/>
            <w:shd w:val="clear" w:color="auto" w:fill="0171B9"/>
          </w:tcPr>
          <w:p>
            <w:pPr>
              <w:spacing w:after="0" w:line="20" w:lineRule="exact"/>
              <w:rPr>
                <w:sz w:val="1"/>
                <w:szCs w:val="1"/>
                <w:color w:val="auto"/>
              </w:rPr>
            </w:pPr>
          </w:p>
        </w:tc>
        <w:tc>
          <w:tcPr>
            <w:tcW w:w="660" w:type="dxa"/>
            <w:vAlign w:val="bottom"/>
            <w:shd w:val="clear" w:color="auto" w:fill="0171B9"/>
          </w:tcPr>
          <w:p>
            <w:pPr>
              <w:spacing w:after="0" w:line="20" w:lineRule="exact"/>
              <w:rPr>
                <w:sz w:val="1"/>
                <w:szCs w:val="1"/>
                <w:color w:val="auto"/>
              </w:rPr>
            </w:pPr>
          </w:p>
        </w:tc>
        <w:tc>
          <w:tcPr>
            <w:tcW w:w="700" w:type="dxa"/>
            <w:vAlign w:val="bottom"/>
            <w:shd w:val="clear" w:color="auto" w:fill="0171B9"/>
          </w:tcPr>
          <w:p>
            <w:pPr>
              <w:spacing w:after="0" w:line="20" w:lineRule="exact"/>
              <w:rPr>
                <w:sz w:val="1"/>
                <w:szCs w:val="1"/>
                <w:color w:val="auto"/>
              </w:rPr>
            </w:pPr>
          </w:p>
        </w:tc>
        <w:tc>
          <w:tcPr>
            <w:tcW w:w="860" w:type="dxa"/>
            <w:vAlign w:val="bottom"/>
            <w:shd w:val="clear" w:color="auto" w:fill="0171B9"/>
          </w:tcPr>
          <w:p>
            <w:pPr>
              <w:spacing w:after="0" w:line="20" w:lineRule="exact"/>
              <w:rPr>
                <w:sz w:val="1"/>
                <w:szCs w:val="1"/>
                <w:color w:val="auto"/>
              </w:rPr>
            </w:pPr>
          </w:p>
        </w:tc>
        <w:tc>
          <w:tcPr>
            <w:tcW w:w="640" w:type="dxa"/>
            <w:vAlign w:val="bottom"/>
            <w:shd w:val="clear" w:color="auto" w:fill="0171B9"/>
          </w:tcPr>
          <w:p>
            <w:pPr>
              <w:spacing w:after="0" w:line="20" w:lineRule="exact"/>
              <w:rPr>
                <w:sz w:val="1"/>
                <w:szCs w:val="1"/>
                <w:color w:val="auto"/>
              </w:rPr>
            </w:pPr>
          </w:p>
        </w:tc>
        <w:tc>
          <w:tcPr>
            <w:tcW w:w="780" w:type="dxa"/>
            <w:vAlign w:val="bottom"/>
            <w:shd w:val="clear" w:color="auto" w:fill="0171B9"/>
          </w:tcPr>
          <w:p>
            <w:pPr>
              <w:spacing w:after="0" w:line="20" w:lineRule="exact"/>
              <w:rPr>
                <w:sz w:val="1"/>
                <w:szCs w:val="1"/>
                <w:color w:val="auto"/>
              </w:rPr>
            </w:pPr>
          </w:p>
        </w:tc>
        <w:tc>
          <w:tcPr>
            <w:tcW w:w="900" w:type="dxa"/>
            <w:vAlign w:val="bottom"/>
            <w:shd w:val="clear" w:color="auto" w:fill="0171B9"/>
          </w:tcPr>
          <w:p>
            <w:pPr>
              <w:spacing w:after="0" w:line="20" w:lineRule="exact"/>
              <w:rPr>
                <w:sz w:val="1"/>
                <w:szCs w:val="1"/>
                <w:color w:val="auto"/>
              </w:rPr>
            </w:pPr>
          </w:p>
        </w:tc>
        <w:tc>
          <w:tcPr>
            <w:tcW w:w="780" w:type="dxa"/>
            <w:vAlign w:val="bottom"/>
            <w:shd w:val="clear" w:color="auto" w:fill="0171B9"/>
          </w:tcPr>
          <w:p>
            <w:pPr>
              <w:spacing w:after="0" w:line="20" w:lineRule="exact"/>
              <w:rPr>
                <w:sz w:val="1"/>
                <w:szCs w:val="1"/>
                <w:color w:val="auto"/>
              </w:rPr>
            </w:pPr>
          </w:p>
        </w:tc>
        <w:tc>
          <w:tcPr>
            <w:tcW w:w="260" w:type="dxa"/>
            <w:vAlign w:val="bottom"/>
            <w:shd w:val="clear" w:color="auto" w:fill="0171B9"/>
          </w:tcPr>
          <w:p>
            <w:pPr>
              <w:spacing w:after="0" w:line="20" w:lineRule="exact"/>
              <w:rPr>
                <w:sz w:val="1"/>
                <w:szCs w:val="1"/>
                <w:color w:val="auto"/>
              </w:rPr>
            </w:pPr>
          </w:p>
        </w:tc>
        <w:tc>
          <w:tcPr>
            <w:tcW w:w="480" w:type="dxa"/>
            <w:vAlign w:val="bottom"/>
            <w:shd w:val="clear" w:color="auto" w:fill="0171B9"/>
          </w:tcPr>
          <w:p>
            <w:pPr>
              <w:spacing w:after="0" w:line="20" w:lineRule="exact"/>
              <w:rPr>
                <w:sz w:val="1"/>
                <w:szCs w:val="1"/>
                <w:color w:val="auto"/>
              </w:rPr>
            </w:pPr>
          </w:p>
        </w:tc>
        <w:tc>
          <w:tcPr>
            <w:tcW w:w="760" w:type="dxa"/>
            <w:vAlign w:val="bottom"/>
            <w:shd w:val="clear" w:color="auto" w:fill="0171B9"/>
          </w:tcPr>
          <w:p>
            <w:pPr>
              <w:spacing w:after="0" w:line="20" w:lineRule="exact"/>
              <w:rPr>
                <w:sz w:val="1"/>
                <w:szCs w:val="1"/>
                <w:color w:val="auto"/>
              </w:rPr>
            </w:pPr>
          </w:p>
        </w:tc>
        <w:tc>
          <w:tcPr>
            <w:tcW w:w="840" w:type="dxa"/>
            <w:vAlign w:val="bottom"/>
            <w:shd w:val="clear" w:color="auto" w:fill="0171B9"/>
          </w:tcPr>
          <w:p>
            <w:pPr>
              <w:spacing w:after="0" w:line="20" w:lineRule="exact"/>
              <w:rPr>
                <w:sz w:val="1"/>
                <w:szCs w:val="1"/>
                <w:color w:val="auto"/>
              </w:rPr>
            </w:pPr>
          </w:p>
        </w:tc>
        <w:tc>
          <w:tcPr>
            <w:tcW w:w="620" w:type="dxa"/>
            <w:vAlign w:val="bottom"/>
            <w:shd w:val="clear" w:color="auto" w:fill="0171B9"/>
          </w:tcPr>
          <w:p>
            <w:pPr>
              <w:spacing w:after="0" w:line="20" w:lineRule="exact"/>
              <w:rPr>
                <w:sz w:val="1"/>
                <w:szCs w:val="1"/>
                <w:color w:val="auto"/>
              </w:rPr>
            </w:pPr>
          </w:p>
        </w:tc>
        <w:tc>
          <w:tcPr>
            <w:tcW w:w="780" w:type="dxa"/>
            <w:vAlign w:val="bottom"/>
            <w:shd w:val="clear" w:color="auto" w:fill="0171B9"/>
          </w:tcPr>
          <w:p>
            <w:pPr>
              <w:spacing w:after="0" w:line="20" w:lineRule="exact"/>
              <w:rPr>
                <w:sz w:val="1"/>
                <w:szCs w:val="1"/>
                <w:color w:val="auto"/>
              </w:rPr>
            </w:pPr>
          </w:p>
        </w:tc>
        <w:tc>
          <w:tcPr>
            <w:tcW w:w="160" w:type="dxa"/>
            <w:vAlign w:val="bottom"/>
            <w:shd w:val="clear" w:color="auto" w:fill="0171B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-2468245</wp:posOffset>
            </wp:positionV>
            <wp:extent cx="699516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-2682240</wp:posOffset>
            </wp:positionV>
            <wp:extent cx="292290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5"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22"/>
          <w:szCs w:val="22"/>
          <w:color w:val="auto"/>
          <w:vertAlign w:val="superscript"/>
        </w:rPr>
      </w:pPr>
      <w:r>
        <w:rPr>
          <w:rFonts w:ascii="Arial" w:cs="Arial" w:eastAsia="Arial" w:hAnsi="Arial"/>
          <w:sz w:val="14"/>
          <w:szCs w:val="14"/>
          <w:color w:val="auto"/>
        </w:rPr>
        <w:t>Reflects the date on which the grants were approved by the Compensation and Management Development Committee, or Compensation Committee.</w:t>
      </w:r>
    </w:p>
    <w:p>
      <w:pPr>
        <w:jc w:val="both"/>
        <w:ind w:left="540" w:hanging="424"/>
        <w:spacing w:after="0" w:line="222" w:lineRule="auto"/>
        <w:tabs>
          <w:tab w:leader="none" w:pos="540" w:val="left"/>
        </w:tabs>
        <w:numPr>
          <w:ilvl w:val="0"/>
          <w:numId w:val="110"/>
        </w:numPr>
        <w:rPr>
          <w:rFonts w:ascii="Arial" w:cs="Arial" w:eastAsia="Arial" w:hAnsi="Arial"/>
          <w:sz w:val="22"/>
          <w:szCs w:val="22"/>
          <w:color w:val="auto"/>
          <w:vertAlign w:val="superscript"/>
        </w:rPr>
      </w:pPr>
      <w:r>
        <w:rPr>
          <w:rFonts w:ascii="Arial" w:cs="Arial" w:eastAsia="Arial" w:hAnsi="Arial"/>
          <w:sz w:val="14"/>
          <w:szCs w:val="14"/>
          <w:color w:val="auto"/>
        </w:rPr>
        <w:t>Represents awards to our NEOs made under our EIP. For our EIP participants, the “maximum” amounts shown in the table above reflect the largest possible payments under our EIP for the 2022 performance period, based on non-Generally Accepted Accounting Principles, or non-GAAP, net income, as defined for the EIP and reported and reconciled in Appendix B. There are no thresholds or targets under the EIP. The EIP provides that the Compensation Committee may use “negative discretion” to award any amount that does not exceed the maximum. Consistent with its practice since the EIP was approved by our stockholders, the Compensation Committee employed the pre-established Company performance goals under our Global Management Incentive Plan, or GMIP, as illustrated in the table below, in determining the actual amounts awarded under the EIP in 2022.</w:t>
      </w:r>
    </w:p>
    <w:p>
      <w:pPr>
        <w:sectPr>
          <w:pgSz w:w="11900" w:h="16838" w:orient="portrait"/>
          <w:cols w:equalWidth="0" w:num="1">
            <w:col w:w="11140"/>
          </w:cols>
          <w:pgMar w:left="320" w:top="486" w:right="439" w:bottom="1440" w:gutter="0" w:footer="0" w:header="0"/>
        </w:sectPr>
      </w:pPr>
    </w:p>
    <w:p>
      <w:pPr>
        <w:spacing w:after="0" w:line="120" w:lineRule="exact"/>
        <w:rPr>
          <w:sz w:val="20"/>
          <w:szCs w:val="20"/>
          <w:color w:val="auto"/>
        </w:r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7760"/>
        <w:spacing w:after="0"/>
        <w:rPr>
          <w:sz w:val="20"/>
          <w:szCs w:val="20"/>
          <w:color w:val="auto"/>
        </w:rPr>
      </w:pPr>
      <w:r>
        <w:rPr>
          <w:rFonts w:ascii="Arial" w:cs="Arial" w:eastAsia="Arial" w:hAnsi="Arial"/>
          <w:sz w:val="22"/>
          <w:szCs w:val="22"/>
          <w:b w:val="1"/>
          <w:bCs w:val="1"/>
          <w:color w:val="FFFFFF"/>
          <w:shd w:val="clear" w:color="auto" w:fill="0171B9"/>
        </w:rPr>
        <w:t>Executive Compensation Tables</w:t>
      </w:r>
    </w:p>
    <w:p>
      <w:pPr>
        <w:spacing w:after="0" w:line="378" w:lineRule="exact"/>
        <w:rPr>
          <w:sz w:val="20"/>
          <w:szCs w:val="20"/>
          <w:color w:val="auto"/>
        </w:rPr>
      </w:pPr>
    </w:p>
    <w:p>
      <w:pPr>
        <w:jc w:val="both"/>
        <w:ind w:left="560" w:firstLine="211"/>
        <w:spacing w:after="0" w:line="243" w:lineRule="auto"/>
        <w:rPr>
          <w:sz w:val="20"/>
          <w:szCs w:val="20"/>
          <w:color w:val="auto"/>
        </w:rPr>
      </w:pPr>
      <w:r>
        <w:rPr>
          <w:rFonts w:ascii="Arial" w:cs="Arial" w:eastAsia="Arial" w:hAnsi="Arial"/>
          <w:sz w:val="14"/>
          <w:szCs w:val="14"/>
          <w:color w:val="auto"/>
        </w:rPr>
        <w:t>Our 2022 Company performance goals under the GMIP were financial and operating performance goals weighted as follows: (1) Deliver Results (60%)—30% Revenues and 30% Non-GAAP Net Income (as reported and reconciled in Appendix B); (2) Progress Innovative Pipeline (30%); and (3) Deliver Annual Priorities (10%). There are no payouts for below-threshold performance on any of our Company financial performance goals. Threshold performance on our “Deliver Results” and “Progress Innovative Pipeline” goals results in 50% earned for those metrics. Certain measurements of performance for the non-financial metrics are more subjective in nature and could result in a very small payout percentage (less than 1% of an annual cash incentive award) and, as such, no threshold amounts are shown in the tables. The 2022 Company performance goals under the GMIP at target and maximum payout levels, which are based on a multiple of salary, are shown in the table below. Maximum performance under all of the performance metrics results in 225% of target payout opportunity being earned. The actual amounts awarded under our Company performance goals for 2022 were based on achievement of 121.0% performance against target and are reported as “Non-Equity Incentive Plan Compensation” in our “Summary Compensation Table” and are shown in the table below. For a description of our pre-established Company performance goals and the use of the GMIP in the Compensation Committee’s exercise of negative discretion see “Elements of Compensation and Specific Compensation Decisions—</w:t>
      </w:r>
      <w:r>
        <w:rPr>
          <w:rFonts w:ascii="Arial" w:cs="Arial" w:eastAsia="Arial" w:hAnsi="Arial"/>
          <w:sz w:val="14"/>
          <w:szCs w:val="14"/>
          <w:i w:val="1"/>
          <w:iCs w:val="1"/>
          <w:color w:val="auto"/>
        </w:rPr>
        <w:t>Annual Cash Incentive Awards</w:t>
      </w:r>
      <w:r>
        <w:rPr>
          <w:rFonts w:ascii="Arial" w:cs="Arial" w:eastAsia="Arial" w:hAnsi="Arial"/>
          <w:sz w:val="14"/>
          <w:szCs w:val="14"/>
          <w:color w:val="auto"/>
        </w:rPr>
        <w:t>” in our Compensation Discussion and Analysis.</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225"/>
        </w:trPr>
        <w:tc>
          <w:tcPr>
            <w:tcW w:w="3380" w:type="dxa"/>
            <w:vAlign w:val="bottom"/>
            <w:shd w:val="clear" w:color="auto" w:fill="0171B9"/>
          </w:tcPr>
          <w:p>
            <w:pPr>
              <w:spacing w:after="0"/>
              <w:rPr>
                <w:sz w:val="19"/>
                <w:szCs w:val="19"/>
                <w:color w:val="auto"/>
              </w:rPr>
            </w:pPr>
          </w:p>
        </w:tc>
        <w:tc>
          <w:tcPr>
            <w:tcW w:w="960" w:type="dxa"/>
            <w:vAlign w:val="bottom"/>
            <w:shd w:val="clear" w:color="auto" w:fill="0171B9"/>
          </w:tcPr>
          <w:p>
            <w:pPr>
              <w:spacing w:after="0"/>
              <w:rPr>
                <w:sz w:val="19"/>
                <w:szCs w:val="19"/>
                <w:color w:val="auto"/>
              </w:rPr>
            </w:pPr>
          </w:p>
        </w:tc>
        <w:tc>
          <w:tcPr>
            <w:tcW w:w="2700" w:type="dxa"/>
            <w:vAlign w:val="bottom"/>
            <w:shd w:val="clear" w:color="auto" w:fill="0171B9"/>
          </w:tcPr>
          <w:p>
            <w:pPr>
              <w:spacing w:after="0"/>
              <w:rPr>
                <w:sz w:val="19"/>
                <w:szCs w:val="19"/>
                <w:color w:val="auto"/>
              </w:rPr>
            </w:pPr>
          </w:p>
        </w:tc>
        <w:tc>
          <w:tcPr>
            <w:tcW w:w="1300" w:type="dxa"/>
            <w:vAlign w:val="bottom"/>
            <w:shd w:val="clear" w:color="auto" w:fill="0171B9"/>
          </w:tcPr>
          <w:p>
            <w:pPr>
              <w:spacing w:after="0"/>
              <w:rPr>
                <w:sz w:val="19"/>
                <w:szCs w:val="19"/>
                <w:color w:val="auto"/>
              </w:rPr>
            </w:pPr>
          </w:p>
        </w:tc>
        <w:tc>
          <w:tcPr>
            <w:tcW w:w="2240" w:type="dxa"/>
            <w:vAlign w:val="bottom"/>
            <w:shd w:val="clear" w:color="auto" w:fill="0171B9"/>
          </w:tcPr>
          <w:p>
            <w:pPr>
              <w:jc w:val="center"/>
              <w:ind w:left="119"/>
              <w:spacing w:after="0"/>
              <w:rPr>
                <w:sz w:val="20"/>
                <w:szCs w:val="20"/>
                <w:color w:val="auto"/>
              </w:rPr>
            </w:pPr>
            <w:r>
              <w:rPr>
                <w:rFonts w:ascii="Arial" w:cs="Arial" w:eastAsia="Arial" w:hAnsi="Arial"/>
                <w:sz w:val="16"/>
                <w:szCs w:val="16"/>
                <w:b w:val="1"/>
                <w:bCs w:val="1"/>
                <w:color w:val="FFFFFF"/>
              </w:rPr>
              <w:t>Non-Equity</w:t>
            </w:r>
          </w:p>
        </w:tc>
      </w:tr>
      <w:tr>
        <w:trPr>
          <w:trHeight w:val="189"/>
        </w:trPr>
        <w:tc>
          <w:tcPr>
            <w:tcW w:w="3380" w:type="dxa"/>
            <w:vAlign w:val="bottom"/>
            <w:shd w:val="clear" w:color="auto" w:fill="0171B9"/>
          </w:tcPr>
          <w:p>
            <w:pPr>
              <w:spacing w:after="0"/>
              <w:rPr>
                <w:sz w:val="16"/>
                <w:szCs w:val="16"/>
                <w:color w:val="auto"/>
              </w:rPr>
            </w:pPr>
          </w:p>
        </w:tc>
        <w:tc>
          <w:tcPr>
            <w:tcW w:w="960" w:type="dxa"/>
            <w:vAlign w:val="bottom"/>
            <w:shd w:val="clear" w:color="auto" w:fill="0171B9"/>
          </w:tcPr>
          <w:p>
            <w:pPr>
              <w:spacing w:after="0"/>
              <w:rPr>
                <w:sz w:val="16"/>
                <w:szCs w:val="16"/>
                <w:color w:val="auto"/>
              </w:rPr>
            </w:pPr>
          </w:p>
        </w:tc>
        <w:tc>
          <w:tcPr>
            <w:tcW w:w="2700" w:type="dxa"/>
            <w:vAlign w:val="bottom"/>
            <w:shd w:val="clear" w:color="auto" w:fill="0171B9"/>
          </w:tcPr>
          <w:p>
            <w:pPr>
              <w:jc w:val="right"/>
              <w:spacing w:after="0"/>
              <w:rPr>
                <w:sz w:val="20"/>
                <w:szCs w:val="20"/>
                <w:color w:val="auto"/>
              </w:rPr>
            </w:pPr>
            <w:r>
              <w:rPr>
                <w:rFonts w:ascii="Arial" w:cs="Arial" w:eastAsia="Arial" w:hAnsi="Arial"/>
                <w:sz w:val="16"/>
                <w:szCs w:val="16"/>
                <w:b w:val="1"/>
                <w:bCs w:val="1"/>
                <w:color w:val="FFFFFF"/>
              </w:rPr>
              <w:t>Estimated Possible Payouts Under</w:t>
            </w:r>
          </w:p>
        </w:tc>
        <w:tc>
          <w:tcPr>
            <w:tcW w:w="1300" w:type="dxa"/>
            <w:vAlign w:val="bottom"/>
            <w:shd w:val="clear" w:color="auto" w:fill="0171B9"/>
          </w:tcPr>
          <w:p>
            <w:pPr>
              <w:spacing w:after="0"/>
              <w:rPr>
                <w:sz w:val="16"/>
                <w:szCs w:val="16"/>
                <w:color w:val="auto"/>
              </w:rPr>
            </w:pPr>
          </w:p>
        </w:tc>
        <w:tc>
          <w:tcPr>
            <w:tcW w:w="2240" w:type="dxa"/>
            <w:vAlign w:val="bottom"/>
            <w:shd w:val="clear" w:color="auto" w:fill="0171B9"/>
          </w:tcPr>
          <w:p>
            <w:pPr>
              <w:jc w:val="center"/>
              <w:ind w:left="119"/>
              <w:spacing w:after="0"/>
              <w:rPr>
                <w:sz w:val="20"/>
                <w:szCs w:val="20"/>
                <w:color w:val="auto"/>
              </w:rPr>
            </w:pPr>
            <w:r>
              <w:rPr>
                <w:rFonts w:ascii="Arial" w:cs="Arial" w:eastAsia="Arial" w:hAnsi="Arial"/>
                <w:sz w:val="16"/>
                <w:szCs w:val="16"/>
                <w:b w:val="1"/>
                <w:bCs w:val="1"/>
                <w:color w:val="FFFFFF"/>
              </w:rPr>
              <w:t>Incentive Plan</w:t>
            </w:r>
          </w:p>
        </w:tc>
      </w:tr>
      <w:tr>
        <w:trPr>
          <w:trHeight w:val="215"/>
        </w:trPr>
        <w:tc>
          <w:tcPr>
            <w:tcW w:w="3380" w:type="dxa"/>
            <w:vAlign w:val="bottom"/>
            <w:shd w:val="clear" w:color="auto" w:fill="0171B9"/>
          </w:tcPr>
          <w:p>
            <w:pPr>
              <w:spacing w:after="0"/>
              <w:rPr>
                <w:sz w:val="18"/>
                <w:szCs w:val="18"/>
                <w:color w:val="auto"/>
              </w:rPr>
            </w:pPr>
          </w:p>
        </w:tc>
        <w:tc>
          <w:tcPr>
            <w:tcW w:w="4960" w:type="dxa"/>
            <w:vAlign w:val="bottom"/>
            <w:gridSpan w:val="3"/>
            <w:shd w:val="clear" w:color="auto" w:fill="0171B9"/>
          </w:tcPr>
          <w:p>
            <w:pPr>
              <w:ind w:left="920"/>
              <w:spacing w:after="0"/>
              <w:rPr>
                <w:sz w:val="20"/>
                <w:szCs w:val="20"/>
                <w:color w:val="auto"/>
              </w:rPr>
            </w:pPr>
            <w:r>
              <w:rPr>
                <w:rFonts w:ascii="Arial" w:cs="Arial" w:eastAsia="Arial" w:hAnsi="Arial"/>
                <w:sz w:val="16"/>
                <w:szCs w:val="16"/>
                <w:b w:val="1"/>
                <w:bCs w:val="1"/>
                <w:color w:val="FFFFFF"/>
              </w:rPr>
              <w:t>Non-Equity Incentive Plan Awards($)</w:t>
            </w:r>
          </w:p>
        </w:tc>
        <w:tc>
          <w:tcPr>
            <w:tcW w:w="2240" w:type="dxa"/>
            <w:vAlign w:val="bottom"/>
            <w:shd w:val="clear" w:color="auto" w:fill="0171B9"/>
          </w:tcPr>
          <w:p>
            <w:pPr>
              <w:jc w:val="center"/>
              <w:ind w:left="119"/>
              <w:spacing w:after="0"/>
              <w:rPr>
                <w:sz w:val="20"/>
                <w:szCs w:val="20"/>
                <w:color w:val="auto"/>
              </w:rPr>
            </w:pPr>
            <w:r>
              <w:rPr>
                <w:rFonts w:ascii="Arial" w:cs="Arial" w:eastAsia="Arial" w:hAnsi="Arial"/>
                <w:sz w:val="16"/>
                <w:szCs w:val="16"/>
                <w:b w:val="1"/>
                <w:bCs w:val="1"/>
                <w:color w:val="FFFFFF"/>
              </w:rPr>
              <w:t>Compensation($)</w:t>
            </w:r>
          </w:p>
        </w:tc>
      </w:tr>
      <w:tr>
        <w:trPr>
          <w:trHeight w:val="337"/>
        </w:trPr>
        <w:tc>
          <w:tcPr>
            <w:tcW w:w="3380" w:type="dxa"/>
            <w:vAlign w:val="bottom"/>
            <w:tcBorders>
              <w:bottom w:val="single" w:sz="8" w:color="0171B9"/>
            </w:tcBorders>
            <w:shd w:val="clear" w:color="auto" w:fill="0171B9"/>
          </w:tcPr>
          <w:p>
            <w:pPr>
              <w:ind w:left="100"/>
              <w:spacing w:after="0"/>
              <w:rPr>
                <w:sz w:val="20"/>
                <w:szCs w:val="20"/>
                <w:color w:val="auto"/>
              </w:rPr>
            </w:pPr>
            <w:r>
              <w:rPr>
                <w:rFonts w:ascii="Arial" w:cs="Arial" w:eastAsia="Arial" w:hAnsi="Arial"/>
                <w:sz w:val="16"/>
                <w:szCs w:val="16"/>
                <w:b w:val="1"/>
                <w:bCs w:val="1"/>
                <w:color w:val="FFFFFF"/>
              </w:rPr>
              <w:t>Name</w:t>
            </w:r>
          </w:p>
        </w:tc>
        <w:tc>
          <w:tcPr>
            <w:tcW w:w="960" w:type="dxa"/>
            <w:vAlign w:val="bottom"/>
            <w:tcBorders>
              <w:bottom w:val="single" w:sz="8" w:color="0171B9"/>
            </w:tcBorders>
            <w:shd w:val="clear" w:color="auto" w:fill="0171B9"/>
          </w:tcPr>
          <w:p>
            <w:pPr>
              <w:jc w:val="right"/>
              <w:spacing w:after="0"/>
              <w:rPr>
                <w:sz w:val="20"/>
                <w:szCs w:val="20"/>
                <w:color w:val="auto"/>
              </w:rPr>
            </w:pPr>
            <w:r>
              <w:rPr>
                <w:rFonts w:ascii="Arial" w:cs="Arial" w:eastAsia="Arial" w:hAnsi="Arial"/>
                <w:sz w:val="16"/>
                <w:szCs w:val="16"/>
                <w:b w:val="1"/>
                <w:bCs w:val="1"/>
                <w:color w:val="FFFFFF"/>
              </w:rPr>
              <w:t>Threshold</w:t>
            </w:r>
          </w:p>
        </w:tc>
        <w:tc>
          <w:tcPr>
            <w:tcW w:w="2700" w:type="dxa"/>
            <w:vAlign w:val="bottom"/>
            <w:tcBorders>
              <w:bottom w:val="single" w:sz="8" w:color="0171B9"/>
            </w:tcBorders>
            <w:shd w:val="clear" w:color="auto" w:fill="0171B9"/>
          </w:tcPr>
          <w:p>
            <w:pPr>
              <w:jc w:val="right"/>
              <w:ind w:right="1179"/>
              <w:spacing w:after="0"/>
              <w:rPr>
                <w:sz w:val="20"/>
                <w:szCs w:val="20"/>
                <w:color w:val="auto"/>
              </w:rPr>
            </w:pPr>
            <w:r>
              <w:rPr>
                <w:rFonts w:ascii="Arial" w:cs="Arial" w:eastAsia="Arial" w:hAnsi="Arial"/>
                <w:sz w:val="16"/>
                <w:szCs w:val="16"/>
                <w:b w:val="1"/>
                <w:bCs w:val="1"/>
                <w:color w:val="FFFFFF"/>
              </w:rPr>
              <w:t>Target</w:t>
            </w:r>
          </w:p>
        </w:tc>
        <w:tc>
          <w:tcPr>
            <w:tcW w:w="1300" w:type="dxa"/>
            <w:vAlign w:val="bottom"/>
            <w:tcBorders>
              <w:bottom w:val="single" w:sz="8" w:color="0171B9"/>
            </w:tcBorders>
            <w:shd w:val="clear" w:color="auto" w:fill="0171B9"/>
          </w:tcPr>
          <w:p>
            <w:pPr>
              <w:ind w:left="20"/>
              <w:spacing w:after="0"/>
              <w:rPr>
                <w:sz w:val="20"/>
                <w:szCs w:val="20"/>
                <w:color w:val="auto"/>
              </w:rPr>
            </w:pPr>
            <w:r>
              <w:rPr>
                <w:rFonts w:ascii="Arial" w:cs="Arial" w:eastAsia="Arial" w:hAnsi="Arial"/>
                <w:sz w:val="16"/>
                <w:szCs w:val="16"/>
                <w:b w:val="1"/>
                <w:bCs w:val="1"/>
                <w:color w:val="FFFFFF"/>
              </w:rPr>
              <w:t>Maximum</w:t>
            </w:r>
          </w:p>
        </w:tc>
        <w:tc>
          <w:tcPr>
            <w:tcW w:w="2240" w:type="dxa"/>
            <w:vAlign w:val="bottom"/>
            <w:tcBorders>
              <w:bottom w:val="single" w:sz="8" w:color="0171B9"/>
            </w:tcBorders>
            <w:shd w:val="clear" w:color="auto" w:fill="0171B9"/>
          </w:tcPr>
          <w:p>
            <w:pPr>
              <w:jc w:val="center"/>
              <w:ind w:left="119"/>
              <w:spacing w:after="0"/>
              <w:rPr>
                <w:sz w:val="20"/>
                <w:szCs w:val="20"/>
                <w:color w:val="auto"/>
              </w:rPr>
            </w:pPr>
            <w:r>
              <w:rPr>
                <w:rFonts w:ascii="Arial" w:cs="Arial" w:eastAsia="Arial" w:hAnsi="Arial"/>
                <w:sz w:val="16"/>
                <w:szCs w:val="16"/>
                <w:b w:val="1"/>
                <w:bCs w:val="1"/>
                <w:color w:val="FFFFFF"/>
                <w:w w:val="98"/>
              </w:rPr>
              <w:t>Actual</w:t>
            </w:r>
          </w:p>
        </w:tc>
      </w:tr>
      <w:tr>
        <w:trPr>
          <w:trHeight w:val="263"/>
        </w:trPr>
        <w:tc>
          <w:tcPr>
            <w:tcW w:w="338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Robert A. Bradway</w:t>
            </w:r>
          </w:p>
        </w:tc>
        <w:tc>
          <w:tcPr>
            <w:tcW w:w="960" w:type="dxa"/>
            <w:vAlign w:val="bottom"/>
            <w:tcBorders>
              <w:bottom w:val="single" w:sz="8" w:color="CCE2F1"/>
            </w:tcBorders>
            <w:shd w:val="clear" w:color="auto" w:fill="CCE2F1"/>
          </w:tcPr>
          <w:p>
            <w:pPr>
              <w:jc w:val="right"/>
              <w:spacing w:after="0"/>
              <w:rPr>
                <w:sz w:val="20"/>
                <w:szCs w:val="20"/>
                <w:color w:val="auto"/>
              </w:rPr>
            </w:pPr>
            <w:r>
              <w:rPr>
                <w:rFonts w:ascii="Arial" w:cs="Arial" w:eastAsia="Arial" w:hAnsi="Arial"/>
                <w:sz w:val="16"/>
                <w:szCs w:val="16"/>
                <w:color w:val="auto"/>
              </w:rPr>
              <w:t>—</w:t>
            </w:r>
          </w:p>
        </w:tc>
        <w:tc>
          <w:tcPr>
            <w:tcW w:w="2700" w:type="dxa"/>
            <w:vAlign w:val="bottom"/>
            <w:tcBorders>
              <w:bottom w:val="single" w:sz="8" w:color="CCE2F1"/>
            </w:tcBorders>
            <w:shd w:val="clear" w:color="auto" w:fill="CCE2F1"/>
          </w:tcPr>
          <w:p>
            <w:pPr>
              <w:jc w:val="right"/>
              <w:ind w:right="1179"/>
              <w:spacing w:after="0"/>
              <w:rPr>
                <w:sz w:val="20"/>
                <w:szCs w:val="20"/>
                <w:color w:val="auto"/>
              </w:rPr>
            </w:pPr>
            <w:r>
              <w:rPr>
                <w:rFonts w:ascii="Arial" w:cs="Arial" w:eastAsia="Arial" w:hAnsi="Arial"/>
                <w:sz w:val="16"/>
                <w:szCs w:val="16"/>
                <w:color w:val="auto"/>
              </w:rPr>
              <w:t>2,580,075</w:t>
            </w:r>
          </w:p>
        </w:tc>
        <w:tc>
          <w:tcPr>
            <w:tcW w:w="1300" w:type="dxa"/>
            <w:vAlign w:val="bottom"/>
            <w:tcBorders>
              <w:bottom w:val="single" w:sz="8" w:color="CCE2F1"/>
            </w:tcBorders>
            <w:shd w:val="clear" w:color="auto" w:fill="CCE2F1"/>
          </w:tcPr>
          <w:p>
            <w:pPr>
              <w:ind w:left="40"/>
              <w:spacing w:after="0"/>
              <w:rPr>
                <w:sz w:val="20"/>
                <w:szCs w:val="20"/>
                <w:color w:val="auto"/>
              </w:rPr>
            </w:pPr>
            <w:r>
              <w:rPr>
                <w:rFonts w:ascii="Arial" w:cs="Arial" w:eastAsia="Arial" w:hAnsi="Arial"/>
                <w:sz w:val="16"/>
                <w:szCs w:val="16"/>
                <w:color w:val="auto"/>
              </w:rPr>
              <w:t>5,805,169</w:t>
            </w:r>
          </w:p>
        </w:tc>
        <w:tc>
          <w:tcPr>
            <w:tcW w:w="2240" w:type="dxa"/>
            <w:vAlign w:val="bottom"/>
            <w:tcBorders>
              <w:bottom w:val="single" w:sz="8" w:color="CCE2F1"/>
            </w:tcBorders>
            <w:shd w:val="clear" w:color="auto" w:fill="CCE2F1"/>
          </w:tcPr>
          <w:p>
            <w:pPr>
              <w:jc w:val="right"/>
              <w:ind w:right="539"/>
              <w:spacing w:after="0"/>
              <w:rPr>
                <w:sz w:val="20"/>
                <w:szCs w:val="20"/>
                <w:color w:val="auto"/>
              </w:rPr>
            </w:pPr>
            <w:r>
              <w:rPr>
                <w:rFonts w:ascii="Arial" w:cs="Arial" w:eastAsia="Arial" w:hAnsi="Arial"/>
                <w:sz w:val="16"/>
                <w:szCs w:val="16"/>
                <w:color w:val="auto"/>
              </w:rPr>
              <w:t>3,122,000</w:t>
            </w:r>
          </w:p>
        </w:tc>
      </w:tr>
      <w:tr>
        <w:trPr>
          <w:trHeight w:val="237"/>
        </w:trPr>
        <w:tc>
          <w:tcPr>
            <w:tcW w:w="3380" w:type="dxa"/>
            <w:vAlign w:val="bottom"/>
          </w:tcPr>
          <w:p>
            <w:pPr>
              <w:ind w:left="100"/>
              <w:spacing w:after="0"/>
              <w:rPr>
                <w:sz w:val="20"/>
                <w:szCs w:val="20"/>
                <w:color w:val="auto"/>
              </w:rPr>
            </w:pPr>
            <w:r>
              <w:rPr>
                <w:rFonts w:ascii="Arial" w:cs="Arial" w:eastAsia="Arial" w:hAnsi="Arial"/>
                <w:sz w:val="16"/>
                <w:szCs w:val="16"/>
                <w:color w:val="auto"/>
              </w:rPr>
              <w:t>Murdo Gordon</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179"/>
              <w:spacing w:after="0"/>
              <w:rPr>
                <w:sz w:val="20"/>
                <w:szCs w:val="20"/>
                <w:color w:val="auto"/>
              </w:rPr>
            </w:pPr>
            <w:r>
              <w:rPr>
                <w:rFonts w:ascii="Arial" w:cs="Arial" w:eastAsia="Arial" w:hAnsi="Arial"/>
                <w:sz w:val="16"/>
                <w:szCs w:val="16"/>
                <w:color w:val="auto"/>
              </w:rPr>
              <w:t>1,101,846</w:t>
            </w:r>
          </w:p>
        </w:tc>
        <w:tc>
          <w:tcPr>
            <w:tcW w:w="1300" w:type="dxa"/>
            <w:vAlign w:val="bottom"/>
          </w:tcPr>
          <w:p>
            <w:pPr>
              <w:ind w:left="40"/>
              <w:spacing w:after="0"/>
              <w:rPr>
                <w:sz w:val="20"/>
                <w:szCs w:val="20"/>
                <w:color w:val="auto"/>
              </w:rPr>
            </w:pPr>
            <w:r>
              <w:rPr>
                <w:rFonts w:ascii="Arial" w:cs="Arial" w:eastAsia="Arial" w:hAnsi="Arial"/>
                <w:sz w:val="16"/>
                <w:szCs w:val="16"/>
                <w:color w:val="auto"/>
              </w:rPr>
              <w:t>2,479,154</w:t>
            </w:r>
          </w:p>
        </w:tc>
        <w:tc>
          <w:tcPr>
            <w:tcW w:w="2240" w:type="dxa"/>
            <w:vAlign w:val="bottom"/>
          </w:tcPr>
          <w:p>
            <w:pPr>
              <w:jc w:val="right"/>
              <w:ind w:right="539"/>
              <w:spacing w:after="0"/>
              <w:rPr>
                <w:sz w:val="20"/>
                <w:szCs w:val="20"/>
                <w:color w:val="auto"/>
              </w:rPr>
            </w:pPr>
            <w:r>
              <w:rPr>
                <w:rFonts w:ascii="Arial" w:cs="Arial" w:eastAsia="Arial" w:hAnsi="Arial"/>
                <w:sz w:val="16"/>
                <w:szCs w:val="16"/>
                <w:color w:val="auto"/>
              </w:rPr>
              <w:t>1,333,000</w:t>
            </w:r>
          </w:p>
        </w:tc>
      </w:tr>
      <w:tr>
        <w:trPr>
          <w:trHeight w:val="33"/>
        </w:trPr>
        <w:tc>
          <w:tcPr>
            <w:tcW w:w="3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338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David M. Reese</w:t>
            </w:r>
          </w:p>
        </w:tc>
        <w:tc>
          <w:tcPr>
            <w:tcW w:w="960" w:type="dxa"/>
            <w:vAlign w:val="bottom"/>
            <w:tcBorders>
              <w:bottom w:val="single" w:sz="8" w:color="CCE2F1"/>
            </w:tcBorders>
            <w:shd w:val="clear" w:color="auto" w:fill="CCE2F1"/>
          </w:tcPr>
          <w:p>
            <w:pPr>
              <w:jc w:val="right"/>
              <w:spacing w:after="0"/>
              <w:rPr>
                <w:sz w:val="20"/>
                <w:szCs w:val="20"/>
                <w:color w:val="auto"/>
              </w:rPr>
            </w:pPr>
            <w:r>
              <w:rPr>
                <w:rFonts w:ascii="Arial" w:cs="Arial" w:eastAsia="Arial" w:hAnsi="Arial"/>
                <w:sz w:val="16"/>
                <w:szCs w:val="16"/>
                <w:color w:val="auto"/>
              </w:rPr>
              <w:t>—</w:t>
            </w:r>
          </w:p>
        </w:tc>
        <w:tc>
          <w:tcPr>
            <w:tcW w:w="2700" w:type="dxa"/>
            <w:vAlign w:val="bottom"/>
            <w:tcBorders>
              <w:bottom w:val="single" w:sz="8" w:color="CCE2F1"/>
            </w:tcBorders>
            <w:shd w:val="clear" w:color="auto" w:fill="CCE2F1"/>
          </w:tcPr>
          <w:p>
            <w:pPr>
              <w:jc w:val="right"/>
              <w:ind w:right="1179"/>
              <w:spacing w:after="0"/>
              <w:rPr>
                <w:sz w:val="20"/>
                <w:szCs w:val="20"/>
                <w:color w:val="auto"/>
              </w:rPr>
            </w:pPr>
            <w:r>
              <w:rPr>
                <w:rFonts w:ascii="Arial" w:cs="Arial" w:eastAsia="Arial" w:hAnsi="Arial"/>
                <w:sz w:val="16"/>
                <w:szCs w:val="16"/>
                <w:color w:val="auto"/>
              </w:rPr>
              <w:t>1,154,808</w:t>
            </w:r>
          </w:p>
        </w:tc>
        <w:tc>
          <w:tcPr>
            <w:tcW w:w="1300" w:type="dxa"/>
            <w:vAlign w:val="bottom"/>
            <w:tcBorders>
              <w:bottom w:val="single" w:sz="8" w:color="CCE2F1"/>
            </w:tcBorders>
            <w:shd w:val="clear" w:color="auto" w:fill="CCE2F1"/>
          </w:tcPr>
          <w:p>
            <w:pPr>
              <w:ind w:left="40"/>
              <w:spacing w:after="0"/>
              <w:rPr>
                <w:sz w:val="20"/>
                <w:szCs w:val="20"/>
                <w:color w:val="auto"/>
              </w:rPr>
            </w:pPr>
            <w:r>
              <w:rPr>
                <w:rFonts w:ascii="Arial" w:cs="Arial" w:eastAsia="Arial" w:hAnsi="Arial"/>
                <w:sz w:val="16"/>
                <w:szCs w:val="16"/>
                <w:color w:val="auto"/>
              </w:rPr>
              <w:t>2,598,318</w:t>
            </w:r>
          </w:p>
        </w:tc>
        <w:tc>
          <w:tcPr>
            <w:tcW w:w="2240" w:type="dxa"/>
            <w:vAlign w:val="bottom"/>
            <w:tcBorders>
              <w:bottom w:val="single" w:sz="8" w:color="CCE2F1"/>
            </w:tcBorders>
            <w:shd w:val="clear" w:color="auto" w:fill="CCE2F1"/>
          </w:tcPr>
          <w:p>
            <w:pPr>
              <w:jc w:val="right"/>
              <w:ind w:right="539"/>
              <w:spacing w:after="0"/>
              <w:rPr>
                <w:sz w:val="20"/>
                <w:szCs w:val="20"/>
                <w:color w:val="auto"/>
              </w:rPr>
            </w:pPr>
            <w:r>
              <w:rPr>
                <w:rFonts w:ascii="Arial" w:cs="Arial" w:eastAsia="Arial" w:hAnsi="Arial"/>
                <w:sz w:val="16"/>
                <w:szCs w:val="16"/>
                <w:color w:val="auto"/>
              </w:rPr>
              <w:t>1,397,000</w:t>
            </w:r>
          </w:p>
        </w:tc>
      </w:tr>
      <w:tr>
        <w:trPr>
          <w:trHeight w:val="237"/>
        </w:trPr>
        <w:tc>
          <w:tcPr>
            <w:tcW w:w="3380" w:type="dxa"/>
            <w:vAlign w:val="bottom"/>
          </w:tcPr>
          <w:p>
            <w:pPr>
              <w:ind w:left="100"/>
              <w:spacing w:after="0"/>
              <w:rPr>
                <w:sz w:val="20"/>
                <w:szCs w:val="20"/>
                <w:color w:val="auto"/>
              </w:rPr>
            </w:pPr>
            <w:r>
              <w:rPr>
                <w:rFonts w:ascii="Arial" w:cs="Arial" w:eastAsia="Arial" w:hAnsi="Arial"/>
                <w:sz w:val="16"/>
                <w:szCs w:val="16"/>
                <w:color w:val="auto"/>
              </w:rPr>
              <w:t>Peter H. Griffith</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179"/>
              <w:spacing w:after="0"/>
              <w:rPr>
                <w:sz w:val="20"/>
                <w:szCs w:val="20"/>
                <w:color w:val="auto"/>
              </w:rPr>
            </w:pPr>
            <w:r>
              <w:rPr>
                <w:rFonts w:ascii="Arial" w:cs="Arial" w:eastAsia="Arial" w:hAnsi="Arial"/>
                <w:sz w:val="16"/>
                <w:szCs w:val="16"/>
                <w:color w:val="auto"/>
              </w:rPr>
              <w:t>1,043,115</w:t>
            </w:r>
          </w:p>
        </w:tc>
        <w:tc>
          <w:tcPr>
            <w:tcW w:w="1300" w:type="dxa"/>
            <w:vAlign w:val="bottom"/>
          </w:tcPr>
          <w:p>
            <w:pPr>
              <w:ind w:left="40"/>
              <w:spacing w:after="0"/>
              <w:rPr>
                <w:sz w:val="20"/>
                <w:szCs w:val="20"/>
                <w:color w:val="auto"/>
              </w:rPr>
            </w:pPr>
            <w:r>
              <w:rPr>
                <w:rFonts w:ascii="Arial" w:cs="Arial" w:eastAsia="Arial" w:hAnsi="Arial"/>
                <w:sz w:val="16"/>
                <w:szCs w:val="16"/>
                <w:color w:val="auto"/>
              </w:rPr>
              <w:t>2,347,009</w:t>
            </w:r>
          </w:p>
        </w:tc>
        <w:tc>
          <w:tcPr>
            <w:tcW w:w="2240" w:type="dxa"/>
            <w:vAlign w:val="bottom"/>
          </w:tcPr>
          <w:p>
            <w:pPr>
              <w:jc w:val="right"/>
              <w:ind w:right="539"/>
              <w:spacing w:after="0"/>
              <w:rPr>
                <w:sz w:val="20"/>
                <w:szCs w:val="20"/>
                <w:color w:val="auto"/>
              </w:rPr>
            </w:pPr>
            <w:r>
              <w:rPr>
                <w:rFonts w:ascii="Arial" w:cs="Arial" w:eastAsia="Arial" w:hAnsi="Arial"/>
                <w:sz w:val="16"/>
                <w:szCs w:val="16"/>
                <w:color w:val="auto"/>
              </w:rPr>
              <w:t>1,262,000</w:t>
            </w:r>
          </w:p>
        </w:tc>
      </w:tr>
      <w:tr>
        <w:trPr>
          <w:trHeight w:val="33"/>
        </w:trPr>
        <w:tc>
          <w:tcPr>
            <w:tcW w:w="3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338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Esteban Santos</w:t>
            </w:r>
          </w:p>
        </w:tc>
        <w:tc>
          <w:tcPr>
            <w:tcW w:w="960" w:type="dxa"/>
            <w:vAlign w:val="bottom"/>
            <w:tcBorders>
              <w:bottom w:val="single" w:sz="8" w:color="CCE2F1"/>
            </w:tcBorders>
            <w:shd w:val="clear" w:color="auto" w:fill="CCE2F1"/>
          </w:tcPr>
          <w:p>
            <w:pPr>
              <w:jc w:val="right"/>
              <w:spacing w:after="0"/>
              <w:rPr>
                <w:sz w:val="20"/>
                <w:szCs w:val="20"/>
                <w:color w:val="auto"/>
              </w:rPr>
            </w:pPr>
            <w:r>
              <w:rPr>
                <w:rFonts w:ascii="Arial" w:cs="Arial" w:eastAsia="Arial" w:hAnsi="Arial"/>
                <w:sz w:val="16"/>
                <w:szCs w:val="16"/>
                <w:color w:val="auto"/>
              </w:rPr>
              <w:t>—</w:t>
            </w:r>
          </w:p>
        </w:tc>
        <w:tc>
          <w:tcPr>
            <w:tcW w:w="2700" w:type="dxa"/>
            <w:vAlign w:val="bottom"/>
            <w:tcBorders>
              <w:bottom w:val="single" w:sz="8" w:color="CCE2F1"/>
            </w:tcBorders>
            <w:shd w:val="clear" w:color="auto" w:fill="CCE2F1"/>
          </w:tcPr>
          <w:p>
            <w:pPr>
              <w:jc w:val="right"/>
              <w:ind w:right="1179"/>
              <w:spacing w:after="0"/>
              <w:rPr>
                <w:sz w:val="20"/>
                <w:szCs w:val="20"/>
                <w:color w:val="auto"/>
              </w:rPr>
            </w:pPr>
            <w:r>
              <w:rPr>
                <w:rFonts w:ascii="Arial" w:cs="Arial" w:eastAsia="Arial" w:hAnsi="Arial"/>
                <w:sz w:val="16"/>
                <w:szCs w:val="16"/>
                <w:color w:val="auto"/>
              </w:rPr>
              <w:t>1,021,608</w:t>
            </w:r>
          </w:p>
        </w:tc>
        <w:tc>
          <w:tcPr>
            <w:tcW w:w="1300" w:type="dxa"/>
            <w:vAlign w:val="bottom"/>
            <w:tcBorders>
              <w:bottom w:val="single" w:sz="8" w:color="CCE2F1"/>
            </w:tcBorders>
            <w:shd w:val="clear" w:color="auto" w:fill="CCE2F1"/>
          </w:tcPr>
          <w:p>
            <w:pPr>
              <w:ind w:left="40"/>
              <w:spacing w:after="0"/>
              <w:rPr>
                <w:sz w:val="20"/>
                <w:szCs w:val="20"/>
                <w:color w:val="auto"/>
              </w:rPr>
            </w:pPr>
            <w:r>
              <w:rPr>
                <w:rFonts w:ascii="Arial" w:cs="Arial" w:eastAsia="Arial" w:hAnsi="Arial"/>
                <w:sz w:val="16"/>
                <w:szCs w:val="16"/>
                <w:color w:val="auto"/>
              </w:rPr>
              <w:t>2,298,618</w:t>
            </w:r>
          </w:p>
        </w:tc>
        <w:tc>
          <w:tcPr>
            <w:tcW w:w="2240" w:type="dxa"/>
            <w:vAlign w:val="bottom"/>
            <w:tcBorders>
              <w:bottom w:val="single" w:sz="8" w:color="CCE2F1"/>
            </w:tcBorders>
            <w:shd w:val="clear" w:color="auto" w:fill="CCE2F1"/>
          </w:tcPr>
          <w:p>
            <w:pPr>
              <w:jc w:val="right"/>
              <w:ind w:right="539"/>
              <w:spacing w:after="0"/>
              <w:rPr>
                <w:sz w:val="20"/>
                <w:szCs w:val="20"/>
                <w:color w:val="auto"/>
              </w:rPr>
            </w:pPr>
            <w:r>
              <w:rPr>
                <w:rFonts w:ascii="Arial" w:cs="Arial" w:eastAsia="Arial" w:hAnsi="Arial"/>
                <w:sz w:val="16"/>
                <w:szCs w:val="16"/>
                <w:color w:val="auto"/>
              </w:rPr>
              <w:t>1,236,000</w:t>
            </w:r>
          </w:p>
        </w:tc>
      </w:tr>
      <w:tr>
        <w:trPr>
          <w:trHeight w:val="20"/>
        </w:trPr>
        <w:tc>
          <w:tcPr>
            <w:tcW w:w="3380" w:type="dxa"/>
            <w:vAlign w:val="bottom"/>
            <w:shd w:val="clear" w:color="auto" w:fill="0171B9"/>
          </w:tcPr>
          <w:p>
            <w:pPr>
              <w:spacing w:after="0" w:line="20" w:lineRule="exact"/>
              <w:rPr>
                <w:sz w:val="1"/>
                <w:szCs w:val="1"/>
                <w:color w:val="auto"/>
              </w:rPr>
            </w:pPr>
          </w:p>
        </w:tc>
        <w:tc>
          <w:tcPr>
            <w:tcW w:w="960" w:type="dxa"/>
            <w:vAlign w:val="bottom"/>
            <w:shd w:val="clear" w:color="auto" w:fill="0171B9"/>
          </w:tcPr>
          <w:p>
            <w:pPr>
              <w:spacing w:after="0" w:line="20" w:lineRule="exact"/>
              <w:rPr>
                <w:sz w:val="1"/>
                <w:szCs w:val="1"/>
                <w:color w:val="auto"/>
              </w:rPr>
            </w:pPr>
          </w:p>
        </w:tc>
        <w:tc>
          <w:tcPr>
            <w:tcW w:w="2700" w:type="dxa"/>
            <w:vAlign w:val="bottom"/>
            <w:shd w:val="clear" w:color="auto" w:fill="0171B9"/>
          </w:tcPr>
          <w:p>
            <w:pPr>
              <w:spacing w:after="0" w:line="20" w:lineRule="exact"/>
              <w:rPr>
                <w:sz w:val="1"/>
                <w:szCs w:val="1"/>
                <w:color w:val="auto"/>
              </w:rPr>
            </w:pPr>
          </w:p>
        </w:tc>
        <w:tc>
          <w:tcPr>
            <w:tcW w:w="1300" w:type="dxa"/>
            <w:vAlign w:val="bottom"/>
            <w:shd w:val="clear" w:color="auto" w:fill="0171B9"/>
          </w:tcPr>
          <w:p>
            <w:pPr>
              <w:spacing w:after="0" w:line="20" w:lineRule="exact"/>
              <w:rPr>
                <w:sz w:val="1"/>
                <w:szCs w:val="1"/>
                <w:color w:val="auto"/>
              </w:rPr>
            </w:pPr>
          </w:p>
        </w:tc>
        <w:tc>
          <w:tcPr>
            <w:tcW w:w="2240" w:type="dxa"/>
            <w:vAlign w:val="bottom"/>
            <w:shd w:val="clear" w:color="auto" w:fill="0171B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-873760</wp:posOffset>
            </wp:positionV>
            <wp:extent cx="671195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-1062355</wp:posOffset>
            </wp:positionV>
            <wp:extent cx="456057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106" w:lineRule="exact"/>
        <w:rPr>
          <w:sz w:val="20"/>
          <w:szCs w:val="20"/>
          <w:color w:val="auto"/>
        </w:rPr>
      </w:pPr>
    </w:p>
    <w:p>
      <w:pPr>
        <w:jc w:val="both"/>
        <w:ind w:left="540" w:right="20" w:hanging="424"/>
        <w:spacing w:after="0" w:line="202" w:lineRule="auto"/>
        <w:tabs>
          <w:tab w:leader="none" w:pos="540" w:val="left"/>
        </w:tabs>
        <w:numPr>
          <w:ilvl w:val="0"/>
          <w:numId w:val="111"/>
        </w:numPr>
        <w:rPr>
          <w:rFonts w:ascii="Arial" w:cs="Arial" w:eastAsia="Arial" w:hAnsi="Arial"/>
          <w:sz w:val="22"/>
          <w:szCs w:val="22"/>
          <w:color w:val="auto"/>
          <w:vertAlign w:val="superscript"/>
        </w:rPr>
      </w:pPr>
      <w:r>
        <w:rPr>
          <w:rFonts w:ascii="Arial" w:cs="Arial" w:eastAsia="Arial" w:hAnsi="Arial"/>
          <w:sz w:val="14"/>
          <w:szCs w:val="14"/>
          <w:color w:val="auto"/>
        </w:rPr>
        <w:t>Reflects estimated payouts regarding performance units granted during 2022 for the 2022-2024 performance period for NEOs. The number of units granted (which equals the target number of units of the award) will be multiplied by a payout percentage, which can range from 0% to 200%, to determine the number of units earned by the participant at the end of the performance period. Shares of our Common Stock will be issued on a one-for-one basis for each performance unit earned.</w:t>
      </w:r>
    </w:p>
    <w:p>
      <w:pPr>
        <w:spacing w:after="0" w:line="2" w:lineRule="exact"/>
        <w:rPr>
          <w:rFonts w:ascii="Arial" w:cs="Arial" w:eastAsia="Arial" w:hAnsi="Arial"/>
          <w:sz w:val="22"/>
          <w:szCs w:val="22"/>
          <w:color w:val="auto"/>
          <w:vertAlign w:val="superscript"/>
        </w:rPr>
      </w:pPr>
    </w:p>
    <w:p>
      <w:pPr>
        <w:jc w:val="both"/>
        <w:ind w:left="560" w:firstLine="211"/>
        <w:spacing w:after="0" w:line="224" w:lineRule="auto"/>
        <w:rPr>
          <w:rFonts w:ascii="Arial" w:cs="Arial" w:eastAsia="Arial" w:hAnsi="Arial"/>
          <w:sz w:val="22"/>
          <w:szCs w:val="22"/>
          <w:color w:val="auto"/>
          <w:vertAlign w:val="superscript"/>
        </w:rPr>
      </w:pPr>
      <w:r>
        <w:rPr>
          <w:rFonts w:ascii="Arial" w:cs="Arial" w:eastAsia="Arial" w:hAnsi="Arial"/>
          <w:sz w:val="14"/>
          <w:szCs w:val="14"/>
          <w:color w:val="auto"/>
        </w:rPr>
        <w:t>For all the NEOs, the payout percentage for the 2022-2024 performance period is earned based on two annual operating measures, with the total that can be earned under such operating measures ranging from 30% to 170%, which is then modified up or down by up to 30 percentage points based on our relative TSR performance ranking over the three-year performance period. The non-GAAP operating measures are: (1) earnings per share; and (2) return on invested capital, or ROIC. Each of the operating measures are measured against pre-established goals for every year in the 2022-2024 performance period, which runs from January 1, 2022 through December 31, 2024. All goals are set at the commencement of the three-year performance period. Each applicable operating measure is weighted equally (one-half per measure) to determine the total operating measure percentage for that year. At the end of the performance period, the final annual operating performance percentages for each of the three years are averaged to determine the score for the three-year performance period. The TSR modifier is based on how the TSR of our Common Stock ranks relative to the TSRs of the companies that are listed in the S&amp;P 500, as defined (the Reference Group), over the period from the date of grant through the end of the performance period. If the rank of the TSR of our Common Stock equals or exceeds the 75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or equals or is less than the 25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the TSR modifier increases or decreases the payout by 30 percentage points, respectively. If the TSR of our Common Stock is at the 50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the TSR modifier is zero. Linear interpolation is used to determine the TSR modifier if the rank of the TSR of our Common Stock falls between these percentiles. If our absolute TSR over the performance period is less than 0, however, then the modifier cannot be greater than 0. The Compensation Committee certifies the number of performance units earned and payable following completion of the performance period.</w:t>
      </w:r>
    </w:p>
    <w:p>
      <w:pPr>
        <w:spacing w:after="0" w:line="2" w:lineRule="exact"/>
        <w:rPr>
          <w:rFonts w:ascii="Arial" w:cs="Arial" w:eastAsia="Arial" w:hAnsi="Arial"/>
          <w:sz w:val="22"/>
          <w:szCs w:val="22"/>
          <w:color w:val="auto"/>
          <w:vertAlign w:val="superscript"/>
        </w:rPr>
      </w:pPr>
    </w:p>
    <w:p>
      <w:pPr>
        <w:jc w:val="both"/>
        <w:ind w:left="560" w:right="20" w:firstLine="211"/>
        <w:spacing w:after="0" w:line="241" w:lineRule="auto"/>
        <w:rPr>
          <w:rFonts w:ascii="Arial" w:cs="Arial" w:eastAsia="Arial" w:hAnsi="Arial"/>
          <w:sz w:val="22"/>
          <w:szCs w:val="22"/>
          <w:color w:val="auto"/>
          <w:vertAlign w:val="superscript"/>
        </w:rPr>
      </w:pPr>
      <w:r>
        <w:rPr>
          <w:rFonts w:ascii="Arial" w:cs="Arial" w:eastAsia="Arial" w:hAnsi="Arial"/>
          <w:sz w:val="14"/>
          <w:szCs w:val="14"/>
          <w:color w:val="auto"/>
        </w:rPr>
        <w:t>All performance units accrue dividend equivalents deemed reinvested in shares and that are payable in shares only to the extent and when the underlying performance units are earned. For more information, see “Elements of Compensation and Specific Compensation Decisions—</w:t>
      </w:r>
      <w:r>
        <w:rPr>
          <w:rFonts w:ascii="Arial" w:cs="Arial" w:eastAsia="Arial" w:hAnsi="Arial"/>
          <w:sz w:val="14"/>
          <w:szCs w:val="14"/>
          <w:i w:val="1"/>
          <w:iCs w:val="1"/>
          <w:color w:val="auto"/>
        </w:rPr>
        <w:t>Long-Term Incentive Equity Awards</w:t>
      </w:r>
      <w:r>
        <w:rPr>
          <w:rFonts w:ascii="Arial" w:cs="Arial" w:eastAsia="Arial" w:hAnsi="Arial"/>
          <w:sz w:val="14"/>
          <w:szCs w:val="14"/>
          <w:color w:val="auto"/>
        </w:rPr>
        <w:t>” in our Compensation Discussion and Analysis.</w:t>
      </w:r>
    </w:p>
    <w:p>
      <w:pPr>
        <w:spacing w:after="0" w:line="1" w:lineRule="exact"/>
        <w:rPr>
          <w:rFonts w:ascii="Arial" w:cs="Arial" w:eastAsia="Arial" w:hAnsi="Arial"/>
          <w:sz w:val="22"/>
          <w:szCs w:val="22"/>
          <w:color w:val="auto"/>
          <w:vertAlign w:val="superscript"/>
        </w:rPr>
      </w:pPr>
    </w:p>
    <w:p>
      <w:pPr>
        <w:jc w:val="both"/>
        <w:ind w:left="540" w:hanging="424"/>
        <w:spacing w:after="0" w:line="202" w:lineRule="auto"/>
        <w:tabs>
          <w:tab w:leader="none" w:pos="540" w:val="left"/>
        </w:tabs>
        <w:numPr>
          <w:ilvl w:val="0"/>
          <w:numId w:val="111"/>
        </w:numPr>
        <w:rPr>
          <w:rFonts w:ascii="Arial" w:cs="Arial" w:eastAsia="Arial" w:hAnsi="Arial"/>
          <w:sz w:val="22"/>
          <w:szCs w:val="22"/>
          <w:color w:val="auto"/>
          <w:vertAlign w:val="superscript"/>
        </w:rPr>
      </w:pPr>
      <w:r>
        <w:rPr>
          <w:rFonts w:ascii="Arial" w:cs="Arial" w:eastAsia="Arial" w:hAnsi="Arial"/>
          <w:sz w:val="14"/>
          <w:szCs w:val="14"/>
          <w:color w:val="auto"/>
        </w:rPr>
        <w:t>Reflects the RSUs granted during 2022 to our NEOs. RSUs accrue dividend equivalents that are deemed reinvested in shares and payable only to the extent and when the underlying RSUs vest and are issued to the recipient. Our RSUs generally vest over four years with no vesting in the first year and vesting in three approximately equal annual installments on the second, third, and fourth anniversaries of the grant date, subject to continued service through the vesting date.</w:t>
      </w:r>
    </w:p>
    <w:p>
      <w:pPr>
        <w:spacing w:after="0" w:line="2" w:lineRule="exact"/>
        <w:rPr>
          <w:rFonts w:ascii="Arial" w:cs="Arial" w:eastAsia="Arial" w:hAnsi="Arial"/>
          <w:sz w:val="22"/>
          <w:szCs w:val="22"/>
          <w:color w:val="auto"/>
          <w:vertAlign w:val="superscript"/>
        </w:rPr>
      </w:pPr>
    </w:p>
    <w:p>
      <w:pPr>
        <w:jc w:val="both"/>
        <w:ind w:left="540" w:right="20" w:hanging="424"/>
        <w:spacing w:after="0" w:line="187" w:lineRule="auto"/>
        <w:tabs>
          <w:tab w:leader="none" w:pos="540" w:val="left"/>
        </w:tabs>
        <w:numPr>
          <w:ilvl w:val="0"/>
          <w:numId w:val="111"/>
        </w:numPr>
        <w:rPr>
          <w:rFonts w:ascii="Arial" w:cs="Arial" w:eastAsia="Arial" w:hAnsi="Arial"/>
          <w:sz w:val="22"/>
          <w:szCs w:val="22"/>
          <w:color w:val="auto"/>
          <w:vertAlign w:val="superscript"/>
        </w:rPr>
      </w:pPr>
      <w:r>
        <w:rPr>
          <w:rFonts w:ascii="Arial" w:cs="Arial" w:eastAsia="Arial" w:hAnsi="Arial"/>
          <w:sz w:val="14"/>
          <w:szCs w:val="14"/>
          <w:color w:val="auto"/>
        </w:rPr>
        <w:t>Reflects the 2022 annual grant of non-qualified stock options to our NEOs. Our stock options generally vest over four years with no vesting in the first year and vesting in three approximately equal annual installments on the second, third, and fourth anniversaries of the grant date, subject to continued service through the vesting date.</w:t>
      </w:r>
    </w:p>
    <w:p>
      <w:pPr>
        <w:spacing w:after="0" w:line="1" w:lineRule="exact"/>
        <w:rPr>
          <w:rFonts w:ascii="Arial" w:cs="Arial" w:eastAsia="Arial" w:hAnsi="Arial"/>
          <w:sz w:val="22"/>
          <w:szCs w:val="22"/>
          <w:color w:val="auto"/>
          <w:vertAlign w:val="superscript"/>
        </w:rPr>
      </w:pPr>
    </w:p>
    <w:p>
      <w:pPr>
        <w:jc w:val="both"/>
        <w:ind w:left="540" w:hanging="424"/>
        <w:spacing w:after="0" w:line="223" w:lineRule="auto"/>
        <w:tabs>
          <w:tab w:leader="none" w:pos="540" w:val="left"/>
        </w:tabs>
        <w:numPr>
          <w:ilvl w:val="0"/>
          <w:numId w:val="111"/>
        </w:numPr>
        <w:rPr>
          <w:rFonts w:ascii="Arial" w:cs="Arial" w:eastAsia="Arial" w:hAnsi="Arial"/>
          <w:sz w:val="22"/>
          <w:szCs w:val="22"/>
          <w:color w:val="auto"/>
          <w:vertAlign w:val="superscript"/>
        </w:rPr>
      </w:pPr>
      <w:r>
        <w:rPr>
          <w:rFonts w:ascii="Arial" w:cs="Arial" w:eastAsia="Arial" w:hAnsi="Arial"/>
          <w:sz w:val="14"/>
          <w:szCs w:val="14"/>
          <w:color w:val="auto"/>
        </w:rPr>
        <w:t>Reflects the grant date fair values of performance units granted to our NEOs for the 2022-2024 performance period determined in accordance with ASC 718, based on the number of performance units granted multiplied by: (i) 100% which is the operating measure percentage earnout based on the probable outcomes of financial performance measures over the three-year performance period as of the grant date; and (ii) the grant date fair value per unit of $247.48 which reflects the impact of the TSR modifier of $16.56 per share, which is a market condition. The grant date fair value per unit was calculated using a payout simulation model with the following key assumptions: risk-free interest rate of 2.8%; volatility of the price of our Common Stock of 28.1%; the closing price of our Common Stock on the grant date of $230.92 per share; volatilities of the prices of the stocks of the Reference Group; and the correlations of returns of our Common Stock and the stocks of the Reference Group to simulate TSRs and their resulting impact on the payout percentages based on the contractual terms of the performance units.</w:t>
      </w:r>
    </w:p>
    <w:p>
      <w:pPr>
        <w:spacing w:after="0" w:line="1" w:lineRule="exact"/>
        <w:rPr>
          <w:rFonts w:ascii="Arial" w:cs="Arial" w:eastAsia="Arial" w:hAnsi="Arial"/>
          <w:sz w:val="22"/>
          <w:szCs w:val="22"/>
          <w:color w:val="auto"/>
          <w:vertAlign w:val="superscript"/>
        </w:rPr>
      </w:pPr>
    </w:p>
    <w:p>
      <w:pPr>
        <w:jc w:val="both"/>
        <w:ind w:left="540" w:right="20" w:hanging="424"/>
        <w:spacing w:after="0" w:line="202" w:lineRule="auto"/>
        <w:tabs>
          <w:tab w:leader="none" w:pos="540" w:val="left"/>
        </w:tabs>
        <w:numPr>
          <w:ilvl w:val="0"/>
          <w:numId w:val="111"/>
        </w:numPr>
        <w:rPr>
          <w:rFonts w:ascii="Arial" w:cs="Arial" w:eastAsia="Arial" w:hAnsi="Arial"/>
          <w:sz w:val="22"/>
          <w:szCs w:val="22"/>
          <w:color w:val="auto"/>
          <w:vertAlign w:val="superscript"/>
        </w:rPr>
      </w:pPr>
      <w:r>
        <w:rPr>
          <w:rFonts w:ascii="Arial" w:cs="Arial" w:eastAsia="Arial" w:hAnsi="Arial"/>
          <w:sz w:val="14"/>
          <w:szCs w:val="14"/>
          <w:color w:val="auto"/>
        </w:rPr>
        <w:t>Reflects the grant date fair values of RSUs granted during 2022 determined in accordance with ASC 718 based on the number of RSUs granted multiplied by the grant date fair values per unit of $230.92. Because these RSUs accrue dividend equivalents during the vesting period, the grant date fair value per unit equals the closing price of our Common Stock on the grant date.</w:t>
      </w:r>
    </w:p>
    <w:p>
      <w:pPr>
        <w:spacing w:after="0" w:line="2" w:lineRule="exact"/>
        <w:rPr>
          <w:rFonts w:ascii="Arial" w:cs="Arial" w:eastAsia="Arial" w:hAnsi="Arial"/>
          <w:sz w:val="22"/>
          <w:szCs w:val="22"/>
          <w:color w:val="auto"/>
          <w:vertAlign w:val="superscript"/>
        </w:rPr>
      </w:pPr>
    </w:p>
    <w:p>
      <w:pPr>
        <w:jc w:val="both"/>
        <w:ind w:left="540" w:right="20" w:hanging="424"/>
        <w:spacing w:after="0" w:line="214" w:lineRule="auto"/>
        <w:tabs>
          <w:tab w:leader="none" w:pos="540" w:val="left"/>
        </w:tabs>
        <w:numPr>
          <w:ilvl w:val="0"/>
          <w:numId w:val="111"/>
        </w:numPr>
        <w:rPr>
          <w:rFonts w:ascii="Arial" w:cs="Arial" w:eastAsia="Arial" w:hAnsi="Arial"/>
          <w:sz w:val="22"/>
          <w:szCs w:val="22"/>
          <w:color w:val="auto"/>
          <w:vertAlign w:val="superscript"/>
        </w:rPr>
      </w:pPr>
      <w:r>
        <w:rPr>
          <w:rFonts w:ascii="Arial" w:cs="Arial" w:eastAsia="Arial" w:hAnsi="Arial"/>
          <w:sz w:val="14"/>
          <w:szCs w:val="14"/>
          <w:color w:val="auto"/>
        </w:rPr>
        <w:t>Reflects the grant date fair values of stock options granted during 2022 determined in accordance with ASC 718 based on the number of options granted multiplied by the grant date fair value per option of $42.43. The grant date fair value of an option was determined using a Black-Scholes option valuation model with the following key assumptions: risk-free interest rate of 2.8%; expected life of 5.7 years; expected volatility of the price of our Common Stock of 24.5%; expected dividend yield of 3.3%; and the exercise price of $230.92.</w:t>
      </w:r>
    </w:p>
    <w:p>
      <w:pPr>
        <w:spacing w:after="0" w:line="71" w:lineRule="exact"/>
        <w:rPr>
          <w:sz w:val="20"/>
          <w:szCs w:val="20"/>
          <w:color w:val="auto"/>
        </w:rPr>
      </w:pPr>
    </w:p>
    <w:p>
      <w:pPr>
        <w:jc w:val="both"/>
        <w:ind w:left="120"/>
        <w:spacing w:after="0" w:line="248" w:lineRule="auto"/>
        <w:rPr>
          <w:sz w:val="20"/>
          <w:szCs w:val="20"/>
          <w:color w:val="auto"/>
        </w:rPr>
      </w:pPr>
      <w:r>
        <w:rPr>
          <w:rFonts w:ascii="Arial" w:cs="Arial" w:eastAsia="Arial" w:hAnsi="Arial"/>
          <w:sz w:val="17"/>
          <w:szCs w:val="17"/>
          <w:i w:val="1"/>
          <w:iCs w:val="1"/>
          <w:color w:val="auto"/>
        </w:rPr>
        <w:t>The estimated payouts of the performance units described above are disclosed in the limited context of our executive compensation program and should not be understood to be statements of our expectations of our stock price or estimates of results or other guidance. We specifically caution investors not to apply these statements to other contexts.</w:t>
      </w:r>
    </w:p>
    <w:p>
      <w:pPr>
        <w:spacing w:after="0" w:line="117"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78</w:t>
      </w:r>
      <w:r>
        <w:rPr>
          <w:sz w:val="20"/>
          <w:szCs w:val="20"/>
          <w:color w:val="auto"/>
        </w:rPr>
        <w:tab/>
      </w:r>
      <w:r>
        <w:rPr>
          <w:sz w:val="1"/>
          <w:szCs w:val="1"/>
          <w:color w:val="auto"/>
        </w:rPr>
        <w:drawing>
          <wp:inline distT="0" distB="0" distL="0" distR="0">
            <wp:extent cx="582930" cy="137160"/>
            <wp:effectExtent l="0" t="0" r="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7760"/>
        <w:spacing w:after="0"/>
        <w:rPr>
          <w:sz w:val="20"/>
          <w:szCs w:val="20"/>
          <w:color w:val="auto"/>
        </w:rPr>
      </w:pPr>
      <w:r>
        <w:rPr>
          <w:rFonts w:ascii="Arial" w:cs="Arial" w:eastAsia="Arial" w:hAnsi="Arial"/>
          <w:sz w:val="22"/>
          <w:szCs w:val="22"/>
          <w:b w:val="1"/>
          <w:bCs w:val="1"/>
          <w:color w:val="FFFFFF"/>
          <w:shd w:val="clear" w:color="auto" w:fill="0171B9"/>
        </w:rPr>
        <w:t>Executive Compensation Tables</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summary information regarding the outstanding equity awards held by each of our NEOs at December 31, 2022.</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1140" w:type="dxa"/>
            <w:vAlign w:val="bottom"/>
            <w:shd w:val="clear" w:color="auto" w:fill="0171B9"/>
          </w:tcPr>
          <w:p>
            <w:pPr>
              <w:spacing w:after="0"/>
              <w:rPr>
                <w:sz w:val="18"/>
                <w:szCs w:val="18"/>
                <w:color w:val="auto"/>
              </w:rPr>
            </w:pPr>
          </w:p>
        </w:tc>
        <w:tc>
          <w:tcPr>
            <w:tcW w:w="1080" w:type="dxa"/>
            <w:vAlign w:val="bottom"/>
            <w:shd w:val="clear" w:color="auto" w:fill="0171B9"/>
          </w:tcPr>
          <w:p>
            <w:pPr>
              <w:spacing w:after="0"/>
              <w:rPr>
                <w:sz w:val="18"/>
                <w:szCs w:val="18"/>
                <w:color w:val="auto"/>
              </w:rPr>
            </w:pPr>
          </w:p>
        </w:tc>
        <w:tc>
          <w:tcPr>
            <w:tcW w:w="200" w:type="dxa"/>
            <w:vAlign w:val="bottom"/>
            <w:shd w:val="clear" w:color="auto" w:fill="0171B9"/>
          </w:tcPr>
          <w:p>
            <w:pPr>
              <w:spacing w:after="0"/>
              <w:rPr>
                <w:sz w:val="18"/>
                <w:szCs w:val="18"/>
                <w:color w:val="auto"/>
              </w:rPr>
            </w:pPr>
          </w:p>
        </w:tc>
        <w:tc>
          <w:tcPr>
            <w:tcW w:w="2040" w:type="dxa"/>
            <w:vAlign w:val="bottom"/>
            <w:gridSpan w:val="2"/>
            <w:shd w:val="clear" w:color="auto" w:fill="0171B9"/>
          </w:tcPr>
          <w:p>
            <w:pPr>
              <w:jc w:val="right"/>
              <w:ind w:right="608"/>
              <w:spacing w:after="0"/>
              <w:rPr>
                <w:sz w:val="20"/>
                <w:szCs w:val="20"/>
                <w:color w:val="auto"/>
              </w:rPr>
            </w:pPr>
            <w:r>
              <w:rPr>
                <w:rFonts w:ascii="Arial" w:cs="Arial" w:eastAsia="Arial" w:hAnsi="Arial"/>
                <w:sz w:val="14"/>
                <w:szCs w:val="14"/>
                <w:b w:val="1"/>
                <w:bCs w:val="1"/>
                <w:color w:val="FFFFFF"/>
              </w:rPr>
              <w:t>Option Awards</w:t>
            </w:r>
          </w:p>
        </w:tc>
        <w:tc>
          <w:tcPr>
            <w:tcW w:w="960" w:type="dxa"/>
            <w:vAlign w:val="bottom"/>
            <w:shd w:val="clear" w:color="auto" w:fill="0171B9"/>
          </w:tcPr>
          <w:p>
            <w:pPr>
              <w:spacing w:after="0"/>
              <w:rPr>
                <w:sz w:val="18"/>
                <w:szCs w:val="18"/>
                <w:color w:val="auto"/>
              </w:rPr>
            </w:pPr>
          </w:p>
        </w:tc>
        <w:tc>
          <w:tcPr>
            <w:tcW w:w="1120" w:type="dxa"/>
            <w:vAlign w:val="bottom"/>
            <w:shd w:val="clear" w:color="auto" w:fill="0171B9"/>
          </w:tcPr>
          <w:p>
            <w:pPr>
              <w:spacing w:after="0"/>
              <w:rPr>
                <w:sz w:val="18"/>
                <w:szCs w:val="18"/>
                <w:color w:val="auto"/>
              </w:rPr>
            </w:pPr>
          </w:p>
        </w:tc>
        <w:tc>
          <w:tcPr>
            <w:tcW w:w="3020" w:type="dxa"/>
            <w:vAlign w:val="bottom"/>
            <w:gridSpan w:val="2"/>
            <w:shd w:val="clear" w:color="auto" w:fill="0171B9"/>
          </w:tcPr>
          <w:p>
            <w:pPr>
              <w:jc w:val="right"/>
              <w:ind w:right="790"/>
              <w:spacing w:after="0"/>
              <w:rPr>
                <w:sz w:val="20"/>
                <w:szCs w:val="20"/>
                <w:color w:val="auto"/>
              </w:rPr>
            </w:pPr>
            <w:r>
              <w:rPr>
                <w:rFonts w:ascii="Arial" w:cs="Arial" w:eastAsia="Arial" w:hAnsi="Arial"/>
                <w:sz w:val="14"/>
                <w:szCs w:val="14"/>
                <w:b w:val="1"/>
                <w:bCs w:val="1"/>
                <w:color w:val="FFFFFF"/>
              </w:rPr>
              <w:t>Stock Awards</w:t>
            </w:r>
          </w:p>
        </w:tc>
        <w:tc>
          <w:tcPr>
            <w:tcW w:w="1460" w:type="dxa"/>
            <w:vAlign w:val="bottom"/>
            <w:shd w:val="clear" w:color="auto" w:fill="0171B9"/>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40" w:type="dxa"/>
            <w:vAlign w:val="bottom"/>
            <w:shd w:val="clear" w:color="auto" w:fill="0171B9"/>
          </w:tcPr>
          <w:p>
            <w:pPr>
              <w:spacing w:after="0"/>
              <w:rPr>
                <w:sz w:val="16"/>
                <w:szCs w:val="16"/>
                <w:color w:val="auto"/>
              </w:rPr>
            </w:pPr>
          </w:p>
        </w:tc>
        <w:tc>
          <w:tcPr>
            <w:tcW w:w="1080" w:type="dxa"/>
            <w:vAlign w:val="bottom"/>
            <w:shd w:val="clear" w:color="auto" w:fill="0171B9"/>
          </w:tcPr>
          <w:p>
            <w:pPr>
              <w:spacing w:after="0"/>
              <w:rPr>
                <w:sz w:val="16"/>
                <w:szCs w:val="16"/>
                <w:color w:val="auto"/>
              </w:rPr>
            </w:pPr>
          </w:p>
        </w:tc>
        <w:tc>
          <w:tcPr>
            <w:tcW w:w="200" w:type="dxa"/>
            <w:vAlign w:val="bottom"/>
            <w:shd w:val="clear" w:color="auto" w:fill="0171B9"/>
          </w:tcPr>
          <w:p>
            <w:pPr>
              <w:spacing w:after="0"/>
              <w:rPr>
                <w:sz w:val="16"/>
                <w:szCs w:val="16"/>
                <w:color w:val="auto"/>
              </w:rPr>
            </w:pPr>
          </w:p>
        </w:tc>
        <w:tc>
          <w:tcPr>
            <w:tcW w:w="1120" w:type="dxa"/>
            <w:vAlign w:val="bottom"/>
            <w:shd w:val="clear" w:color="auto" w:fill="0171B9"/>
          </w:tcPr>
          <w:p>
            <w:pPr>
              <w:spacing w:after="0"/>
              <w:rPr>
                <w:sz w:val="16"/>
                <w:szCs w:val="16"/>
                <w:color w:val="auto"/>
              </w:rPr>
            </w:pPr>
          </w:p>
        </w:tc>
        <w:tc>
          <w:tcPr>
            <w:tcW w:w="920" w:type="dxa"/>
            <w:vAlign w:val="bottom"/>
            <w:shd w:val="clear" w:color="auto" w:fill="0171B9"/>
          </w:tcPr>
          <w:p>
            <w:pPr>
              <w:spacing w:after="0"/>
              <w:rPr>
                <w:sz w:val="16"/>
                <w:szCs w:val="16"/>
                <w:color w:val="auto"/>
              </w:rPr>
            </w:pPr>
          </w:p>
        </w:tc>
        <w:tc>
          <w:tcPr>
            <w:tcW w:w="960" w:type="dxa"/>
            <w:vAlign w:val="bottom"/>
            <w:shd w:val="clear" w:color="auto" w:fill="0171B9"/>
          </w:tcPr>
          <w:p>
            <w:pPr>
              <w:spacing w:after="0"/>
              <w:rPr>
                <w:sz w:val="16"/>
                <w:szCs w:val="16"/>
                <w:color w:val="auto"/>
              </w:rPr>
            </w:pPr>
          </w:p>
        </w:tc>
        <w:tc>
          <w:tcPr>
            <w:tcW w:w="1120" w:type="dxa"/>
            <w:vAlign w:val="bottom"/>
            <w:shd w:val="clear" w:color="auto" w:fill="0171B9"/>
          </w:tcPr>
          <w:p>
            <w:pPr>
              <w:spacing w:after="0"/>
              <w:rPr>
                <w:sz w:val="16"/>
                <w:szCs w:val="16"/>
                <w:color w:val="auto"/>
              </w:rPr>
            </w:pPr>
          </w:p>
        </w:tc>
        <w:tc>
          <w:tcPr>
            <w:tcW w:w="1460" w:type="dxa"/>
            <w:vAlign w:val="bottom"/>
            <w:shd w:val="clear" w:color="auto" w:fill="0171B9"/>
          </w:tcPr>
          <w:p>
            <w:pPr>
              <w:spacing w:after="0"/>
              <w:rPr>
                <w:sz w:val="16"/>
                <w:szCs w:val="16"/>
                <w:color w:val="auto"/>
              </w:rPr>
            </w:pPr>
          </w:p>
        </w:tc>
        <w:tc>
          <w:tcPr>
            <w:tcW w:w="1560" w:type="dxa"/>
            <w:vAlign w:val="bottom"/>
            <w:shd w:val="clear" w:color="auto" w:fill="0171B9"/>
          </w:tcPr>
          <w:p>
            <w:pPr>
              <w:jc w:val="right"/>
              <w:ind w:right="130"/>
              <w:spacing w:after="0"/>
              <w:rPr>
                <w:sz w:val="20"/>
                <w:szCs w:val="20"/>
                <w:color w:val="auto"/>
              </w:rPr>
            </w:pPr>
            <w:r>
              <w:rPr>
                <w:rFonts w:ascii="Arial" w:cs="Arial" w:eastAsia="Arial" w:hAnsi="Arial"/>
                <w:sz w:val="14"/>
                <w:szCs w:val="14"/>
                <w:b w:val="1"/>
                <w:bCs w:val="1"/>
                <w:color w:val="FFFFFF"/>
              </w:rPr>
              <w:t>Equity Incentive</w:t>
            </w:r>
          </w:p>
        </w:tc>
        <w:tc>
          <w:tcPr>
            <w:tcW w:w="1460" w:type="dxa"/>
            <w:vAlign w:val="bottom"/>
            <w:shd w:val="clear" w:color="auto" w:fill="0171B9"/>
          </w:tcPr>
          <w:p>
            <w:pPr>
              <w:jc w:val="right"/>
              <w:ind w:right="48"/>
              <w:spacing w:after="0"/>
              <w:rPr>
                <w:sz w:val="20"/>
                <w:szCs w:val="20"/>
                <w:color w:val="auto"/>
              </w:rPr>
            </w:pPr>
            <w:r>
              <w:rPr>
                <w:rFonts w:ascii="Arial" w:cs="Arial" w:eastAsia="Arial" w:hAnsi="Arial"/>
                <w:sz w:val="14"/>
                <w:szCs w:val="14"/>
                <w:b w:val="1"/>
                <w:bCs w:val="1"/>
                <w:color w:val="FFFFFF"/>
              </w:rPr>
              <w:t>Equity Incentive</w:t>
            </w:r>
          </w:p>
        </w:tc>
        <w:tc>
          <w:tcPr>
            <w:tcW w:w="0" w:type="dxa"/>
            <w:vAlign w:val="bottom"/>
          </w:tcPr>
          <w:p>
            <w:pPr>
              <w:spacing w:after="0"/>
              <w:rPr>
                <w:sz w:val="1"/>
                <w:szCs w:val="1"/>
                <w:color w:val="auto"/>
              </w:rPr>
            </w:pPr>
          </w:p>
        </w:tc>
      </w:tr>
      <w:tr>
        <w:trPr>
          <w:trHeight w:val="162"/>
        </w:trPr>
        <w:tc>
          <w:tcPr>
            <w:tcW w:w="1140" w:type="dxa"/>
            <w:vAlign w:val="bottom"/>
            <w:shd w:val="clear" w:color="auto" w:fill="0171B9"/>
          </w:tcPr>
          <w:p>
            <w:pPr>
              <w:spacing w:after="0"/>
              <w:rPr>
                <w:sz w:val="14"/>
                <w:szCs w:val="14"/>
                <w:color w:val="auto"/>
              </w:rPr>
            </w:pPr>
          </w:p>
        </w:tc>
        <w:tc>
          <w:tcPr>
            <w:tcW w:w="1080" w:type="dxa"/>
            <w:vAlign w:val="bottom"/>
            <w:shd w:val="clear" w:color="auto" w:fill="0171B9"/>
          </w:tcPr>
          <w:p>
            <w:pPr>
              <w:jc w:val="right"/>
              <w:ind w:right="28"/>
              <w:spacing w:after="0"/>
              <w:rPr>
                <w:sz w:val="20"/>
                <w:szCs w:val="20"/>
                <w:color w:val="auto"/>
              </w:rPr>
            </w:pPr>
            <w:r>
              <w:rPr>
                <w:rFonts w:ascii="Arial" w:cs="Arial" w:eastAsia="Arial" w:hAnsi="Arial"/>
                <w:sz w:val="14"/>
                <w:szCs w:val="14"/>
                <w:b w:val="1"/>
                <w:bCs w:val="1"/>
                <w:color w:val="FFFFFF"/>
              </w:rPr>
              <w:t>Number of</w:t>
            </w:r>
          </w:p>
        </w:tc>
        <w:tc>
          <w:tcPr>
            <w:tcW w:w="200" w:type="dxa"/>
            <w:vAlign w:val="bottom"/>
            <w:shd w:val="clear" w:color="auto" w:fill="0171B9"/>
          </w:tcPr>
          <w:p>
            <w:pPr>
              <w:spacing w:after="0"/>
              <w:rPr>
                <w:sz w:val="14"/>
                <w:szCs w:val="14"/>
                <w:color w:val="auto"/>
              </w:rPr>
            </w:pPr>
          </w:p>
        </w:tc>
        <w:tc>
          <w:tcPr>
            <w:tcW w:w="1120" w:type="dxa"/>
            <w:vAlign w:val="bottom"/>
            <w:shd w:val="clear" w:color="auto" w:fill="0171B9"/>
          </w:tcPr>
          <w:p>
            <w:pPr>
              <w:jc w:val="right"/>
              <w:ind w:right="48"/>
              <w:spacing w:after="0"/>
              <w:rPr>
                <w:sz w:val="20"/>
                <w:szCs w:val="20"/>
                <w:color w:val="auto"/>
              </w:rPr>
            </w:pPr>
            <w:r>
              <w:rPr>
                <w:rFonts w:ascii="Arial" w:cs="Arial" w:eastAsia="Arial" w:hAnsi="Arial"/>
                <w:sz w:val="14"/>
                <w:szCs w:val="14"/>
                <w:b w:val="1"/>
                <w:bCs w:val="1"/>
                <w:color w:val="FFFFFF"/>
              </w:rPr>
              <w:t>Number of</w:t>
            </w:r>
          </w:p>
        </w:tc>
        <w:tc>
          <w:tcPr>
            <w:tcW w:w="920" w:type="dxa"/>
            <w:vAlign w:val="bottom"/>
            <w:shd w:val="clear" w:color="auto" w:fill="0171B9"/>
          </w:tcPr>
          <w:p>
            <w:pPr>
              <w:spacing w:after="0"/>
              <w:rPr>
                <w:sz w:val="14"/>
                <w:szCs w:val="14"/>
                <w:color w:val="auto"/>
              </w:rPr>
            </w:pPr>
          </w:p>
        </w:tc>
        <w:tc>
          <w:tcPr>
            <w:tcW w:w="960" w:type="dxa"/>
            <w:vAlign w:val="bottom"/>
            <w:shd w:val="clear" w:color="auto" w:fill="0171B9"/>
          </w:tcPr>
          <w:p>
            <w:pPr>
              <w:spacing w:after="0"/>
              <w:rPr>
                <w:sz w:val="14"/>
                <w:szCs w:val="14"/>
                <w:color w:val="auto"/>
              </w:rPr>
            </w:pPr>
          </w:p>
        </w:tc>
        <w:tc>
          <w:tcPr>
            <w:tcW w:w="1120" w:type="dxa"/>
            <w:vAlign w:val="bottom"/>
            <w:shd w:val="clear" w:color="auto" w:fill="0171B9"/>
          </w:tcPr>
          <w:p>
            <w:pPr>
              <w:jc w:val="right"/>
              <w:ind w:right="68"/>
              <w:spacing w:after="0"/>
              <w:rPr>
                <w:sz w:val="20"/>
                <w:szCs w:val="20"/>
                <w:color w:val="auto"/>
              </w:rPr>
            </w:pPr>
            <w:r>
              <w:rPr>
                <w:rFonts w:ascii="Arial" w:cs="Arial" w:eastAsia="Arial" w:hAnsi="Arial"/>
                <w:sz w:val="14"/>
                <w:szCs w:val="14"/>
                <w:b w:val="1"/>
                <w:bCs w:val="1"/>
                <w:color w:val="FFFFFF"/>
              </w:rPr>
              <w:t>Number of</w:t>
            </w:r>
          </w:p>
        </w:tc>
        <w:tc>
          <w:tcPr>
            <w:tcW w:w="1460" w:type="dxa"/>
            <w:vAlign w:val="bottom"/>
            <w:shd w:val="clear" w:color="auto" w:fill="0171B9"/>
          </w:tcPr>
          <w:p>
            <w:pPr>
              <w:spacing w:after="0"/>
              <w:rPr>
                <w:sz w:val="14"/>
                <w:szCs w:val="14"/>
                <w:color w:val="auto"/>
              </w:rPr>
            </w:pPr>
          </w:p>
        </w:tc>
        <w:tc>
          <w:tcPr>
            <w:tcW w:w="1560" w:type="dxa"/>
            <w:vAlign w:val="bottom"/>
            <w:shd w:val="clear" w:color="auto" w:fill="0171B9"/>
          </w:tcPr>
          <w:p>
            <w:pPr>
              <w:jc w:val="right"/>
              <w:ind w:right="130"/>
              <w:spacing w:after="0"/>
              <w:rPr>
                <w:sz w:val="20"/>
                <w:szCs w:val="20"/>
                <w:color w:val="auto"/>
              </w:rPr>
            </w:pPr>
            <w:r>
              <w:rPr>
                <w:rFonts w:ascii="Arial" w:cs="Arial" w:eastAsia="Arial" w:hAnsi="Arial"/>
                <w:sz w:val="14"/>
                <w:szCs w:val="14"/>
                <w:b w:val="1"/>
                <w:bCs w:val="1"/>
                <w:color w:val="FFFFFF"/>
              </w:rPr>
              <w:t>Plan Awards:</w:t>
            </w:r>
          </w:p>
        </w:tc>
        <w:tc>
          <w:tcPr>
            <w:tcW w:w="1460" w:type="dxa"/>
            <w:vAlign w:val="bottom"/>
            <w:shd w:val="clear" w:color="auto" w:fill="0171B9"/>
          </w:tcPr>
          <w:p>
            <w:pPr>
              <w:jc w:val="right"/>
              <w:ind w:right="48"/>
              <w:spacing w:after="0"/>
              <w:rPr>
                <w:sz w:val="20"/>
                <w:szCs w:val="20"/>
                <w:color w:val="auto"/>
              </w:rPr>
            </w:pPr>
            <w:r>
              <w:rPr>
                <w:rFonts w:ascii="Arial" w:cs="Arial" w:eastAsia="Arial" w:hAnsi="Arial"/>
                <w:sz w:val="14"/>
                <w:szCs w:val="14"/>
                <w:b w:val="1"/>
                <w:bCs w:val="1"/>
                <w:color w:val="FFFFFF"/>
              </w:rPr>
              <w:t>Plan Awards:</w:t>
            </w:r>
          </w:p>
        </w:tc>
        <w:tc>
          <w:tcPr>
            <w:tcW w:w="0" w:type="dxa"/>
            <w:vAlign w:val="bottom"/>
          </w:tcPr>
          <w:p>
            <w:pPr>
              <w:spacing w:after="0"/>
              <w:rPr>
                <w:sz w:val="1"/>
                <w:szCs w:val="1"/>
                <w:color w:val="auto"/>
              </w:rPr>
            </w:pPr>
          </w:p>
        </w:tc>
      </w:tr>
      <w:tr>
        <w:trPr>
          <w:trHeight w:val="162"/>
        </w:trPr>
        <w:tc>
          <w:tcPr>
            <w:tcW w:w="1140" w:type="dxa"/>
            <w:vAlign w:val="bottom"/>
            <w:shd w:val="clear" w:color="auto" w:fill="0171B9"/>
          </w:tcPr>
          <w:p>
            <w:pPr>
              <w:spacing w:after="0"/>
              <w:rPr>
                <w:sz w:val="14"/>
                <w:szCs w:val="14"/>
                <w:color w:val="auto"/>
              </w:rPr>
            </w:pPr>
          </w:p>
        </w:tc>
        <w:tc>
          <w:tcPr>
            <w:tcW w:w="1080" w:type="dxa"/>
            <w:vAlign w:val="bottom"/>
            <w:shd w:val="clear" w:color="auto" w:fill="0171B9"/>
          </w:tcPr>
          <w:p>
            <w:pPr>
              <w:jc w:val="right"/>
              <w:ind w:right="28"/>
              <w:spacing w:after="0"/>
              <w:rPr>
                <w:sz w:val="20"/>
                <w:szCs w:val="20"/>
                <w:color w:val="auto"/>
              </w:rPr>
            </w:pPr>
            <w:r>
              <w:rPr>
                <w:rFonts w:ascii="Arial" w:cs="Arial" w:eastAsia="Arial" w:hAnsi="Arial"/>
                <w:sz w:val="14"/>
                <w:szCs w:val="14"/>
                <w:b w:val="1"/>
                <w:bCs w:val="1"/>
                <w:color w:val="FFFFFF"/>
              </w:rPr>
              <w:t>Securities</w:t>
            </w:r>
          </w:p>
        </w:tc>
        <w:tc>
          <w:tcPr>
            <w:tcW w:w="200" w:type="dxa"/>
            <w:vAlign w:val="bottom"/>
            <w:shd w:val="clear" w:color="auto" w:fill="0171B9"/>
          </w:tcPr>
          <w:p>
            <w:pPr>
              <w:spacing w:after="0"/>
              <w:rPr>
                <w:sz w:val="14"/>
                <w:szCs w:val="14"/>
                <w:color w:val="auto"/>
              </w:rPr>
            </w:pPr>
          </w:p>
        </w:tc>
        <w:tc>
          <w:tcPr>
            <w:tcW w:w="1120" w:type="dxa"/>
            <w:vAlign w:val="bottom"/>
            <w:shd w:val="clear" w:color="auto" w:fill="0171B9"/>
          </w:tcPr>
          <w:p>
            <w:pPr>
              <w:jc w:val="right"/>
              <w:ind w:right="48"/>
              <w:spacing w:after="0"/>
              <w:rPr>
                <w:sz w:val="20"/>
                <w:szCs w:val="20"/>
                <w:color w:val="auto"/>
              </w:rPr>
            </w:pPr>
            <w:r>
              <w:rPr>
                <w:rFonts w:ascii="Arial" w:cs="Arial" w:eastAsia="Arial" w:hAnsi="Arial"/>
                <w:sz w:val="14"/>
                <w:szCs w:val="14"/>
                <w:b w:val="1"/>
                <w:bCs w:val="1"/>
                <w:color w:val="FFFFFF"/>
              </w:rPr>
              <w:t>Securities</w:t>
            </w:r>
          </w:p>
        </w:tc>
        <w:tc>
          <w:tcPr>
            <w:tcW w:w="920" w:type="dxa"/>
            <w:vAlign w:val="bottom"/>
            <w:shd w:val="clear" w:color="auto" w:fill="0171B9"/>
          </w:tcPr>
          <w:p>
            <w:pPr>
              <w:spacing w:after="0"/>
              <w:rPr>
                <w:sz w:val="14"/>
                <w:szCs w:val="14"/>
                <w:color w:val="auto"/>
              </w:rPr>
            </w:pPr>
          </w:p>
        </w:tc>
        <w:tc>
          <w:tcPr>
            <w:tcW w:w="960" w:type="dxa"/>
            <w:vAlign w:val="bottom"/>
            <w:shd w:val="clear" w:color="auto" w:fill="0171B9"/>
          </w:tcPr>
          <w:p>
            <w:pPr>
              <w:spacing w:after="0"/>
              <w:rPr>
                <w:sz w:val="14"/>
                <w:szCs w:val="14"/>
                <w:color w:val="auto"/>
              </w:rPr>
            </w:pPr>
          </w:p>
        </w:tc>
        <w:tc>
          <w:tcPr>
            <w:tcW w:w="1120" w:type="dxa"/>
            <w:vAlign w:val="bottom"/>
            <w:shd w:val="clear" w:color="auto" w:fill="0171B9"/>
          </w:tcPr>
          <w:p>
            <w:pPr>
              <w:jc w:val="right"/>
              <w:ind w:right="68"/>
              <w:spacing w:after="0"/>
              <w:rPr>
                <w:sz w:val="20"/>
                <w:szCs w:val="20"/>
                <w:color w:val="auto"/>
              </w:rPr>
            </w:pPr>
            <w:r>
              <w:rPr>
                <w:rFonts w:ascii="Arial" w:cs="Arial" w:eastAsia="Arial" w:hAnsi="Arial"/>
                <w:sz w:val="14"/>
                <w:szCs w:val="14"/>
                <w:b w:val="1"/>
                <w:bCs w:val="1"/>
                <w:color w:val="FFFFFF"/>
              </w:rPr>
              <w:t>Shares of</w:t>
            </w:r>
          </w:p>
        </w:tc>
        <w:tc>
          <w:tcPr>
            <w:tcW w:w="1460" w:type="dxa"/>
            <w:vAlign w:val="bottom"/>
            <w:shd w:val="clear" w:color="auto" w:fill="0171B9"/>
          </w:tcPr>
          <w:p>
            <w:pPr>
              <w:jc w:val="right"/>
              <w:ind w:right="48"/>
              <w:spacing w:after="0"/>
              <w:rPr>
                <w:sz w:val="20"/>
                <w:szCs w:val="20"/>
                <w:color w:val="auto"/>
              </w:rPr>
            </w:pPr>
            <w:r>
              <w:rPr>
                <w:rFonts w:ascii="Arial" w:cs="Arial" w:eastAsia="Arial" w:hAnsi="Arial"/>
                <w:sz w:val="14"/>
                <w:szCs w:val="14"/>
                <w:b w:val="1"/>
                <w:bCs w:val="1"/>
                <w:color w:val="FFFFFF"/>
              </w:rPr>
              <w:t>Market Value</w:t>
            </w:r>
          </w:p>
        </w:tc>
        <w:tc>
          <w:tcPr>
            <w:tcW w:w="1560" w:type="dxa"/>
            <w:vAlign w:val="bottom"/>
            <w:shd w:val="clear" w:color="auto" w:fill="0171B9"/>
          </w:tcPr>
          <w:p>
            <w:pPr>
              <w:jc w:val="right"/>
              <w:ind w:right="130"/>
              <w:spacing w:after="0"/>
              <w:rPr>
                <w:sz w:val="20"/>
                <w:szCs w:val="20"/>
                <w:color w:val="auto"/>
              </w:rPr>
            </w:pPr>
            <w:r>
              <w:rPr>
                <w:rFonts w:ascii="Arial" w:cs="Arial" w:eastAsia="Arial" w:hAnsi="Arial"/>
                <w:sz w:val="14"/>
                <w:szCs w:val="14"/>
                <w:b w:val="1"/>
                <w:bCs w:val="1"/>
                <w:color w:val="FFFFFF"/>
              </w:rPr>
              <w:t>Number of</w:t>
            </w:r>
          </w:p>
        </w:tc>
        <w:tc>
          <w:tcPr>
            <w:tcW w:w="1460" w:type="dxa"/>
            <w:vAlign w:val="bottom"/>
            <w:shd w:val="clear" w:color="auto" w:fill="0171B9"/>
          </w:tcPr>
          <w:p>
            <w:pPr>
              <w:jc w:val="right"/>
              <w:ind w:right="48"/>
              <w:spacing w:after="0"/>
              <w:rPr>
                <w:sz w:val="20"/>
                <w:szCs w:val="20"/>
                <w:color w:val="auto"/>
              </w:rPr>
            </w:pPr>
            <w:r>
              <w:rPr>
                <w:rFonts w:ascii="Arial" w:cs="Arial" w:eastAsia="Arial" w:hAnsi="Arial"/>
                <w:sz w:val="14"/>
                <w:szCs w:val="14"/>
                <w:b w:val="1"/>
                <w:bCs w:val="1"/>
                <w:color w:val="FFFFFF"/>
              </w:rPr>
              <w:t>Market or Payout</w:t>
            </w:r>
          </w:p>
        </w:tc>
        <w:tc>
          <w:tcPr>
            <w:tcW w:w="0" w:type="dxa"/>
            <w:vAlign w:val="bottom"/>
          </w:tcPr>
          <w:p>
            <w:pPr>
              <w:spacing w:after="0"/>
              <w:rPr>
                <w:sz w:val="1"/>
                <w:szCs w:val="1"/>
                <w:color w:val="auto"/>
              </w:rPr>
            </w:pPr>
          </w:p>
        </w:tc>
      </w:tr>
      <w:tr>
        <w:trPr>
          <w:trHeight w:val="162"/>
        </w:trPr>
        <w:tc>
          <w:tcPr>
            <w:tcW w:w="1140" w:type="dxa"/>
            <w:vAlign w:val="bottom"/>
            <w:shd w:val="clear" w:color="auto" w:fill="0171B9"/>
          </w:tcPr>
          <w:p>
            <w:pPr>
              <w:spacing w:after="0"/>
              <w:rPr>
                <w:sz w:val="14"/>
                <w:szCs w:val="14"/>
                <w:color w:val="auto"/>
              </w:rPr>
            </w:pPr>
          </w:p>
        </w:tc>
        <w:tc>
          <w:tcPr>
            <w:tcW w:w="1080" w:type="dxa"/>
            <w:vAlign w:val="bottom"/>
            <w:shd w:val="clear" w:color="auto" w:fill="0171B9"/>
          </w:tcPr>
          <w:p>
            <w:pPr>
              <w:jc w:val="right"/>
              <w:ind w:right="28"/>
              <w:spacing w:after="0"/>
              <w:rPr>
                <w:sz w:val="20"/>
                <w:szCs w:val="20"/>
                <w:color w:val="auto"/>
              </w:rPr>
            </w:pPr>
            <w:r>
              <w:rPr>
                <w:rFonts w:ascii="Arial" w:cs="Arial" w:eastAsia="Arial" w:hAnsi="Arial"/>
                <w:sz w:val="14"/>
                <w:szCs w:val="14"/>
                <w:b w:val="1"/>
                <w:bCs w:val="1"/>
                <w:color w:val="FFFFFF"/>
              </w:rPr>
              <w:t>Underlying</w:t>
            </w:r>
          </w:p>
        </w:tc>
        <w:tc>
          <w:tcPr>
            <w:tcW w:w="200" w:type="dxa"/>
            <w:vAlign w:val="bottom"/>
            <w:shd w:val="clear" w:color="auto" w:fill="0171B9"/>
          </w:tcPr>
          <w:p>
            <w:pPr>
              <w:spacing w:after="0"/>
              <w:rPr>
                <w:sz w:val="14"/>
                <w:szCs w:val="14"/>
                <w:color w:val="auto"/>
              </w:rPr>
            </w:pPr>
          </w:p>
        </w:tc>
        <w:tc>
          <w:tcPr>
            <w:tcW w:w="1120" w:type="dxa"/>
            <w:vAlign w:val="bottom"/>
            <w:shd w:val="clear" w:color="auto" w:fill="0171B9"/>
          </w:tcPr>
          <w:p>
            <w:pPr>
              <w:jc w:val="right"/>
              <w:ind w:right="48"/>
              <w:spacing w:after="0"/>
              <w:rPr>
                <w:sz w:val="20"/>
                <w:szCs w:val="20"/>
                <w:color w:val="auto"/>
              </w:rPr>
            </w:pPr>
            <w:r>
              <w:rPr>
                <w:rFonts w:ascii="Arial" w:cs="Arial" w:eastAsia="Arial" w:hAnsi="Arial"/>
                <w:sz w:val="14"/>
                <w:szCs w:val="14"/>
                <w:b w:val="1"/>
                <w:bCs w:val="1"/>
                <w:color w:val="FFFFFF"/>
              </w:rPr>
              <w:t>Underlying</w:t>
            </w:r>
          </w:p>
        </w:tc>
        <w:tc>
          <w:tcPr>
            <w:tcW w:w="920" w:type="dxa"/>
            <w:vAlign w:val="bottom"/>
            <w:shd w:val="clear" w:color="auto" w:fill="0171B9"/>
          </w:tcPr>
          <w:p>
            <w:pPr>
              <w:spacing w:after="0"/>
              <w:rPr>
                <w:sz w:val="14"/>
                <w:szCs w:val="14"/>
                <w:color w:val="auto"/>
              </w:rPr>
            </w:pPr>
          </w:p>
        </w:tc>
        <w:tc>
          <w:tcPr>
            <w:tcW w:w="960" w:type="dxa"/>
            <w:vAlign w:val="bottom"/>
            <w:shd w:val="clear" w:color="auto" w:fill="0171B9"/>
          </w:tcPr>
          <w:p>
            <w:pPr>
              <w:spacing w:after="0"/>
              <w:rPr>
                <w:sz w:val="14"/>
                <w:szCs w:val="14"/>
                <w:color w:val="auto"/>
              </w:rPr>
            </w:pPr>
          </w:p>
        </w:tc>
        <w:tc>
          <w:tcPr>
            <w:tcW w:w="1120" w:type="dxa"/>
            <w:vAlign w:val="bottom"/>
            <w:shd w:val="clear" w:color="auto" w:fill="0171B9"/>
          </w:tcPr>
          <w:p>
            <w:pPr>
              <w:jc w:val="right"/>
              <w:ind w:right="68"/>
              <w:spacing w:after="0"/>
              <w:rPr>
                <w:sz w:val="20"/>
                <w:szCs w:val="20"/>
                <w:color w:val="auto"/>
              </w:rPr>
            </w:pPr>
            <w:r>
              <w:rPr>
                <w:rFonts w:ascii="Arial" w:cs="Arial" w:eastAsia="Arial" w:hAnsi="Arial"/>
                <w:sz w:val="14"/>
                <w:szCs w:val="14"/>
                <w:b w:val="1"/>
                <w:bCs w:val="1"/>
                <w:color w:val="FFFFFF"/>
              </w:rPr>
              <w:t>Units of</w:t>
            </w:r>
          </w:p>
        </w:tc>
        <w:tc>
          <w:tcPr>
            <w:tcW w:w="1460" w:type="dxa"/>
            <w:vAlign w:val="bottom"/>
            <w:shd w:val="clear" w:color="auto" w:fill="0171B9"/>
          </w:tcPr>
          <w:p>
            <w:pPr>
              <w:jc w:val="right"/>
              <w:ind w:right="48"/>
              <w:spacing w:after="0"/>
              <w:rPr>
                <w:sz w:val="20"/>
                <w:szCs w:val="20"/>
                <w:color w:val="auto"/>
              </w:rPr>
            </w:pPr>
            <w:r>
              <w:rPr>
                <w:rFonts w:ascii="Arial" w:cs="Arial" w:eastAsia="Arial" w:hAnsi="Arial"/>
                <w:sz w:val="14"/>
                <w:szCs w:val="14"/>
                <w:b w:val="1"/>
                <w:bCs w:val="1"/>
                <w:color w:val="FFFFFF"/>
              </w:rPr>
              <w:t>of Shares or</w:t>
            </w:r>
          </w:p>
        </w:tc>
        <w:tc>
          <w:tcPr>
            <w:tcW w:w="1560" w:type="dxa"/>
            <w:vAlign w:val="bottom"/>
            <w:shd w:val="clear" w:color="auto" w:fill="0171B9"/>
          </w:tcPr>
          <w:p>
            <w:pPr>
              <w:jc w:val="right"/>
              <w:ind w:right="130"/>
              <w:spacing w:after="0"/>
              <w:rPr>
                <w:sz w:val="20"/>
                <w:szCs w:val="20"/>
                <w:color w:val="auto"/>
              </w:rPr>
            </w:pPr>
            <w:r>
              <w:rPr>
                <w:rFonts w:ascii="Arial" w:cs="Arial" w:eastAsia="Arial" w:hAnsi="Arial"/>
                <w:sz w:val="14"/>
                <w:szCs w:val="14"/>
                <w:b w:val="1"/>
                <w:bCs w:val="1"/>
                <w:color w:val="FFFFFF"/>
              </w:rPr>
              <w:t>Unearned Shares,</w:t>
            </w:r>
          </w:p>
        </w:tc>
        <w:tc>
          <w:tcPr>
            <w:tcW w:w="1460" w:type="dxa"/>
            <w:vAlign w:val="bottom"/>
            <w:shd w:val="clear" w:color="auto" w:fill="0171B9"/>
          </w:tcPr>
          <w:p>
            <w:pPr>
              <w:jc w:val="right"/>
              <w:ind w:right="48"/>
              <w:spacing w:after="0"/>
              <w:rPr>
                <w:sz w:val="20"/>
                <w:szCs w:val="20"/>
                <w:color w:val="auto"/>
              </w:rPr>
            </w:pPr>
            <w:r>
              <w:rPr>
                <w:rFonts w:ascii="Arial" w:cs="Arial" w:eastAsia="Arial" w:hAnsi="Arial"/>
                <w:sz w:val="14"/>
                <w:szCs w:val="14"/>
                <w:b w:val="1"/>
                <w:bCs w:val="1"/>
                <w:color w:val="FFFFFF"/>
              </w:rPr>
              <w:t>Value of Unearned</w:t>
            </w:r>
          </w:p>
        </w:tc>
        <w:tc>
          <w:tcPr>
            <w:tcW w:w="0" w:type="dxa"/>
            <w:vAlign w:val="bottom"/>
          </w:tcPr>
          <w:p>
            <w:pPr>
              <w:spacing w:after="0"/>
              <w:rPr>
                <w:sz w:val="1"/>
                <w:szCs w:val="1"/>
                <w:color w:val="auto"/>
              </w:rPr>
            </w:pPr>
          </w:p>
        </w:tc>
      </w:tr>
      <w:tr>
        <w:trPr>
          <w:trHeight w:val="162"/>
        </w:trPr>
        <w:tc>
          <w:tcPr>
            <w:tcW w:w="1140" w:type="dxa"/>
            <w:vAlign w:val="bottom"/>
            <w:shd w:val="clear" w:color="auto" w:fill="0171B9"/>
          </w:tcPr>
          <w:p>
            <w:pPr>
              <w:spacing w:after="0"/>
              <w:rPr>
                <w:sz w:val="14"/>
                <w:szCs w:val="14"/>
                <w:color w:val="auto"/>
              </w:rPr>
            </w:pPr>
          </w:p>
        </w:tc>
        <w:tc>
          <w:tcPr>
            <w:tcW w:w="1080" w:type="dxa"/>
            <w:vAlign w:val="bottom"/>
            <w:shd w:val="clear" w:color="auto" w:fill="0171B9"/>
          </w:tcPr>
          <w:p>
            <w:pPr>
              <w:jc w:val="right"/>
              <w:ind w:right="28"/>
              <w:spacing w:after="0"/>
              <w:rPr>
                <w:sz w:val="20"/>
                <w:szCs w:val="20"/>
                <w:color w:val="auto"/>
              </w:rPr>
            </w:pPr>
            <w:r>
              <w:rPr>
                <w:rFonts w:ascii="Arial" w:cs="Arial" w:eastAsia="Arial" w:hAnsi="Arial"/>
                <w:sz w:val="14"/>
                <w:szCs w:val="14"/>
                <w:b w:val="1"/>
                <w:bCs w:val="1"/>
                <w:color w:val="FFFFFF"/>
              </w:rPr>
              <w:t>Unexercised</w:t>
            </w:r>
          </w:p>
        </w:tc>
        <w:tc>
          <w:tcPr>
            <w:tcW w:w="200" w:type="dxa"/>
            <w:vAlign w:val="bottom"/>
            <w:shd w:val="clear" w:color="auto" w:fill="0171B9"/>
          </w:tcPr>
          <w:p>
            <w:pPr>
              <w:spacing w:after="0"/>
              <w:rPr>
                <w:sz w:val="14"/>
                <w:szCs w:val="14"/>
                <w:color w:val="auto"/>
              </w:rPr>
            </w:pPr>
          </w:p>
        </w:tc>
        <w:tc>
          <w:tcPr>
            <w:tcW w:w="1120" w:type="dxa"/>
            <w:vAlign w:val="bottom"/>
            <w:shd w:val="clear" w:color="auto" w:fill="0171B9"/>
          </w:tcPr>
          <w:p>
            <w:pPr>
              <w:jc w:val="right"/>
              <w:ind w:right="48"/>
              <w:spacing w:after="0"/>
              <w:rPr>
                <w:sz w:val="20"/>
                <w:szCs w:val="20"/>
                <w:color w:val="auto"/>
              </w:rPr>
            </w:pPr>
            <w:r>
              <w:rPr>
                <w:rFonts w:ascii="Arial" w:cs="Arial" w:eastAsia="Arial" w:hAnsi="Arial"/>
                <w:sz w:val="14"/>
                <w:szCs w:val="14"/>
                <w:b w:val="1"/>
                <w:bCs w:val="1"/>
                <w:color w:val="FFFFFF"/>
              </w:rPr>
              <w:t>Unexercised</w:t>
            </w:r>
          </w:p>
        </w:tc>
        <w:tc>
          <w:tcPr>
            <w:tcW w:w="920" w:type="dxa"/>
            <w:vAlign w:val="bottom"/>
            <w:shd w:val="clear" w:color="auto" w:fill="0171B9"/>
          </w:tcPr>
          <w:p>
            <w:pPr>
              <w:jc w:val="right"/>
              <w:ind w:right="68"/>
              <w:spacing w:after="0"/>
              <w:rPr>
                <w:sz w:val="20"/>
                <w:szCs w:val="20"/>
                <w:color w:val="auto"/>
              </w:rPr>
            </w:pPr>
            <w:r>
              <w:rPr>
                <w:rFonts w:ascii="Arial" w:cs="Arial" w:eastAsia="Arial" w:hAnsi="Arial"/>
                <w:sz w:val="14"/>
                <w:szCs w:val="14"/>
                <w:b w:val="1"/>
                <w:bCs w:val="1"/>
                <w:color w:val="FFFFFF"/>
              </w:rPr>
              <w:t>Option</w:t>
            </w:r>
          </w:p>
        </w:tc>
        <w:tc>
          <w:tcPr>
            <w:tcW w:w="960" w:type="dxa"/>
            <w:vAlign w:val="bottom"/>
            <w:shd w:val="clear" w:color="auto" w:fill="0171B9"/>
          </w:tcPr>
          <w:p>
            <w:pPr>
              <w:spacing w:after="0"/>
              <w:rPr>
                <w:sz w:val="14"/>
                <w:szCs w:val="14"/>
                <w:color w:val="auto"/>
              </w:rPr>
            </w:pPr>
          </w:p>
        </w:tc>
        <w:tc>
          <w:tcPr>
            <w:tcW w:w="1120" w:type="dxa"/>
            <w:vAlign w:val="bottom"/>
            <w:shd w:val="clear" w:color="auto" w:fill="0171B9"/>
          </w:tcPr>
          <w:p>
            <w:pPr>
              <w:jc w:val="right"/>
              <w:ind w:right="68"/>
              <w:spacing w:after="0"/>
              <w:rPr>
                <w:sz w:val="20"/>
                <w:szCs w:val="20"/>
                <w:color w:val="auto"/>
              </w:rPr>
            </w:pPr>
            <w:r>
              <w:rPr>
                <w:rFonts w:ascii="Arial" w:cs="Arial" w:eastAsia="Arial" w:hAnsi="Arial"/>
                <w:sz w:val="14"/>
                <w:szCs w:val="14"/>
                <w:b w:val="1"/>
                <w:bCs w:val="1"/>
                <w:color w:val="FFFFFF"/>
              </w:rPr>
              <w:t>Stock That</w:t>
            </w:r>
          </w:p>
        </w:tc>
        <w:tc>
          <w:tcPr>
            <w:tcW w:w="1460" w:type="dxa"/>
            <w:vAlign w:val="bottom"/>
            <w:shd w:val="clear" w:color="auto" w:fill="0171B9"/>
          </w:tcPr>
          <w:p>
            <w:pPr>
              <w:jc w:val="right"/>
              <w:ind w:right="48"/>
              <w:spacing w:after="0"/>
              <w:rPr>
                <w:sz w:val="20"/>
                <w:szCs w:val="20"/>
                <w:color w:val="auto"/>
              </w:rPr>
            </w:pPr>
            <w:r>
              <w:rPr>
                <w:rFonts w:ascii="Arial" w:cs="Arial" w:eastAsia="Arial" w:hAnsi="Arial"/>
                <w:sz w:val="14"/>
                <w:szCs w:val="14"/>
                <w:b w:val="1"/>
                <w:bCs w:val="1"/>
                <w:color w:val="FFFFFF"/>
              </w:rPr>
              <w:t>Units of Stock</w:t>
            </w:r>
          </w:p>
        </w:tc>
        <w:tc>
          <w:tcPr>
            <w:tcW w:w="1560" w:type="dxa"/>
            <w:vAlign w:val="bottom"/>
            <w:shd w:val="clear" w:color="auto" w:fill="0171B9"/>
          </w:tcPr>
          <w:p>
            <w:pPr>
              <w:jc w:val="right"/>
              <w:ind w:right="130"/>
              <w:spacing w:after="0"/>
              <w:rPr>
                <w:sz w:val="20"/>
                <w:szCs w:val="20"/>
                <w:color w:val="auto"/>
              </w:rPr>
            </w:pPr>
            <w:r>
              <w:rPr>
                <w:rFonts w:ascii="Arial" w:cs="Arial" w:eastAsia="Arial" w:hAnsi="Arial"/>
                <w:sz w:val="14"/>
                <w:szCs w:val="14"/>
                <w:b w:val="1"/>
                <w:bCs w:val="1"/>
                <w:color w:val="FFFFFF"/>
              </w:rPr>
              <w:t>Units or Other</w:t>
            </w:r>
          </w:p>
        </w:tc>
        <w:tc>
          <w:tcPr>
            <w:tcW w:w="1460" w:type="dxa"/>
            <w:vAlign w:val="bottom"/>
            <w:shd w:val="clear" w:color="auto" w:fill="0171B9"/>
          </w:tcPr>
          <w:p>
            <w:pPr>
              <w:jc w:val="right"/>
              <w:ind w:right="48"/>
              <w:spacing w:after="0"/>
              <w:rPr>
                <w:sz w:val="20"/>
                <w:szCs w:val="20"/>
                <w:color w:val="auto"/>
              </w:rPr>
            </w:pPr>
            <w:r>
              <w:rPr>
                <w:rFonts w:ascii="Arial" w:cs="Arial" w:eastAsia="Arial" w:hAnsi="Arial"/>
                <w:sz w:val="14"/>
                <w:szCs w:val="14"/>
                <w:b w:val="1"/>
                <w:bCs w:val="1"/>
                <w:color w:val="FFFFFF"/>
              </w:rPr>
              <w:t>Shares, Units or</w:t>
            </w:r>
          </w:p>
        </w:tc>
        <w:tc>
          <w:tcPr>
            <w:tcW w:w="0" w:type="dxa"/>
            <w:vAlign w:val="bottom"/>
          </w:tcPr>
          <w:p>
            <w:pPr>
              <w:spacing w:after="0"/>
              <w:rPr>
                <w:sz w:val="1"/>
                <w:szCs w:val="1"/>
                <w:color w:val="auto"/>
              </w:rPr>
            </w:pPr>
          </w:p>
        </w:tc>
      </w:tr>
      <w:tr>
        <w:trPr>
          <w:trHeight w:val="162"/>
        </w:trPr>
        <w:tc>
          <w:tcPr>
            <w:tcW w:w="1140" w:type="dxa"/>
            <w:vAlign w:val="bottom"/>
            <w:shd w:val="clear" w:color="auto" w:fill="0171B9"/>
          </w:tcPr>
          <w:p>
            <w:pPr>
              <w:spacing w:after="0"/>
              <w:rPr>
                <w:sz w:val="14"/>
                <w:szCs w:val="14"/>
                <w:color w:val="auto"/>
              </w:rPr>
            </w:pPr>
          </w:p>
        </w:tc>
        <w:tc>
          <w:tcPr>
            <w:tcW w:w="1080" w:type="dxa"/>
            <w:vAlign w:val="bottom"/>
            <w:shd w:val="clear" w:color="auto" w:fill="0171B9"/>
          </w:tcPr>
          <w:p>
            <w:pPr>
              <w:jc w:val="right"/>
              <w:ind w:right="28"/>
              <w:spacing w:after="0"/>
              <w:rPr>
                <w:sz w:val="20"/>
                <w:szCs w:val="20"/>
                <w:color w:val="auto"/>
              </w:rPr>
            </w:pPr>
            <w:r>
              <w:rPr>
                <w:rFonts w:ascii="Arial" w:cs="Arial" w:eastAsia="Arial" w:hAnsi="Arial"/>
                <w:sz w:val="14"/>
                <w:szCs w:val="14"/>
                <w:b w:val="1"/>
                <w:bCs w:val="1"/>
                <w:color w:val="FFFFFF"/>
              </w:rPr>
              <w:t>Options</w:t>
            </w:r>
          </w:p>
        </w:tc>
        <w:tc>
          <w:tcPr>
            <w:tcW w:w="200" w:type="dxa"/>
            <w:vAlign w:val="bottom"/>
            <w:shd w:val="clear" w:color="auto" w:fill="0171B9"/>
          </w:tcPr>
          <w:p>
            <w:pPr>
              <w:spacing w:after="0"/>
              <w:rPr>
                <w:sz w:val="14"/>
                <w:szCs w:val="14"/>
                <w:color w:val="auto"/>
              </w:rPr>
            </w:pPr>
          </w:p>
        </w:tc>
        <w:tc>
          <w:tcPr>
            <w:tcW w:w="1120" w:type="dxa"/>
            <w:vAlign w:val="bottom"/>
            <w:shd w:val="clear" w:color="auto" w:fill="0171B9"/>
          </w:tcPr>
          <w:p>
            <w:pPr>
              <w:jc w:val="right"/>
              <w:ind w:right="48"/>
              <w:spacing w:after="0"/>
              <w:rPr>
                <w:sz w:val="20"/>
                <w:szCs w:val="20"/>
                <w:color w:val="auto"/>
              </w:rPr>
            </w:pPr>
            <w:r>
              <w:rPr>
                <w:rFonts w:ascii="Arial" w:cs="Arial" w:eastAsia="Arial" w:hAnsi="Arial"/>
                <w:sz w:val="14"/>
                <w:szCs w:val="14"/>
                <w:b w:val="1"/>
                <w:bCs w:val="1"/>
                <w:color w:val="FFFFFF"/>
              </w:rPr>
              <w:t>Options</w:t>
            </w:r>
          </w:p>
        </w:tc>
        <w:tc>
          <w:tcPr>
            <w:tcW w:w="920" w:type="dxa"/>
            <w:vAlign w:val="bottom"/>
            <w:shd w:val="clear" w:color="auto" w:fill="0171B9"/>
          </w:tcPr>
          <w:p>
            <w:pPr>
              <w:jc w:val="right"/>
              <w:ind w:right="68"/>
              <w:spacing w:after="0"/>
              <w:rPr>
                <w:sz w:val="20"/>
                <w:szCs w:val="20"/>
                <w:color w:val="auto"/>
              </w:rPr>
            </w:pPr>
            <w:r>
              <w:rPr>
                <w:rFonts w:ascii="Arial" w:cs="Arial" w:eastAsia="Arial" w:hAnsi="Arial"/>
                <w:sz w:val="14"/>
                <w:szCs w:val="14"/>
                <w:b w:val="1"/>
                <w:bCs w:val="1"/>
                <w:color w:val="FFFFFF"/>
              </w:rPr>
              <w:t>Exercise</w:t>
            </w:r>
          </w:p>
        </w:tc>
        <w:tc>
          <w:tcPr>
            <w:tcW w:w="960" w:type="dxa"/>
            <w:vAlign w:val="bottom"/>
            <w:shd w:val="clear" w:color="auto" w:fill="0171B9"/>
          </w:tcPr>
          <w:p>
            <w:pPr>
              <w:jc w:val="right"/>
              <w:ind w:right="68"/>
              <w:spacing w:after="0"/>
              <w:rPr>
                <w:sz w:val="20"/>
                <w:szCs w:val="20"/>
                <w:color w:val="auto"/>
              </w:rPr>
            </w:pPr>
            <w:r>
              <w:rPr>
                <w:rFonts w:ascii="Arial" w:cs="Arial" w:eastAsia="Arial" w:hAnsi="Arial"/>
                <w:sz w:val="14"/>
                <w:szCs w:val="14"/>
                <w:b w:val="1"/>
                <w:bCs w:val="1"/>
                <w:color w:val="FFFFFF"/>
              </w:rPr>
              <w:t>Option</w:t>
            </w:r>
          </w:p>
        </w:tc>
        <w:tc>
          <w:tcPr>
            <w:tcW w:w="1120" w:type="dxa"/>
            <w:vAlign w:val="bottom"/>
            <w:shd w:val="clear" w:color="auto" w:fill="0171B9"/>
          </w:tcPr>
          <w:p>
            <w:pPr>
              <w:jc w:val="right"/>
              <w:ind w:right="68"/>
              <w:spacing w:after="0"/>
              <w:rPr>
                <w:sz w:val="20"/>
                <w:szCs w:val="20"/>
                <w:color w:val="auto"/>
              </w:rPr>
            </w:pPr>
            <w:r>
              <w:rPr>
                <w:rFonts w:ascii="Arial" w:cs="Arial" w:eastAsia="Arial" w:hAnsi="Arial"/>
                <w:sz w:val="14"/>
                <w:szCs w:val="14"/>
                <w:b w:val="1"/>
                <w:bCs w:val="1"/>
                <w:color w:val="FFFFFF"/>
              </w:rPr>
              <w:t>Have Not Yet</w:t>
            </w:r>
          </w:p>
        </w:tc>
        <w:tc>
          <w:tcPr>
            <w:tcW w:w="1460" w:type="dxa"/>
            <w:vAlign w:val="bottom"/>
            <w:shd w:val="clear" w:color="auto" w:fill="0171B9"/>
          </w:tcPr>
          <w:p>
            <w:pPr>
              <w:jc w:val="right"/>
              <w:ind w:right="48"/>
              <w:spacing w:after="0"/>
              <w:rPr>
                <w:sz w:val="20"/>
                <w:szCs w:val="20"/>
                <w:color w:val="auto"/>
              </w:rPr>
            </w:pPr>
            <w:r>
              <w:rPr>
                <w:rFonts w:ascii="Arial" w:cs="Arial" w:eastAsia="Arial" w:hAnsi="Arial"/>
                <w:sz w:val="14"/>
                <w:szCs w:val="14"/>
                <w:b w:val="1"/>
                <w:bCs w:val="1"/>
                <w:color w:val="FFFFFF"/>
              </w:rPr>
              <w:t>That Have Not Yet</w:t>
            </w:r>
          </w:p>
        </w:tc>
        <w:tc>
          <w:tcPr>
            <w:tcW w:w="1560" w:type="dxa"/>
            <w:vAlign w:val="bottom"/>
            <w:shd w:val="clear" w:color="auto" w:fill="0171B9"/>
          </w:tcPr>
          <w:p>
            <w:pPr>
              <w:jc w:val="right"/>
              <w:ind w:right="130"/>
              <w:spacing w:after="0"/>
              <w:rPr>
                <w:sz w:val="20"/>
                <w:szCs w:val="20"/>
                <w:color w:val="auto"/>
              </w:rPr>
            </w:pPr>
            <w:r>
              <w:rPr>
                <w:rFonts w:ascii="Arial" w:cs="Arial" w:eastAsia="Arial" w:hAnsi="Arial"/>
                <w:sz w:val="14"/>
                <w:szCs w:val="14"/>
                <w:b w:val="1"/>
                <w:bCs w:val="1"/>
                <w:color w:val="FFFFFF"/>
              </w:rPr>
              <w:t>Rights That Have</w:t>
            </w:r>
          </w:p>
        </w:tc>
        <w:tc>
          <w:tcPr>
            <w:tcW w:w="1460" w:type="dxa"/>
            <w:vAlign w:val="bottom"/>
            <w:shd w:val="clear" w:color="auto" w:fill="0171B9"/>
          </w:tcPr>
          <w:p>
            <w:pPr>
              <w:jc w:val="right"/>
              <w:ind w:right="48"/>
              <w:spacing w:after="0"/>
              <w:rPr>
                <w:sz w:val="20"/>
                <w:szCs w:val="20"/>
                <w:color w:val="auto"/>
              </w:rPr>
            </w:pPr>
            <w:r>
              <w:rPr>
                <w:rFonts w:ascii="Arial" w:cs="Arial" w:eastAsia="Arial" w:hAnsi="Arial"/>
                <w:sz w:val="14"/>
                <w:szCs w:val="14"/>
                <w:b w:val="1"/>
                <w:bCs w:val="1"/>
                <w:color w:val="FFFFFF"/>
              </w:rPr>
              <w:t>Other Rights That</w:t>
            </w:r>
          </w:p>
        </w:tc>
        <w:tc>
          <w:tcPr>
            <w:tcW w:w="0" w:type="dxa"/>
            <w:vAlign w:val="bottom"/>
          </w:tcPr>
          <w:p>
            <w:pPr>
              <w:spacing w:after="0"/>
              <w:rPr>
                <w:sz w:val="1"/>
                <w:szCs w:val="1"/>
                <w:color w:val="auto"/>
              </w:rPr>
            </w:pPr>
          </w:p>
        </w:tc>
      </w:tr>
      <w:tr>
        <w:trPr>
          <w:trHeight w:val="160"/>
        </w:trPr>
        <w:tc>
          <w:tcPr>
            <w:tcW w:w="1140" w:type="dxa"/>
            <w:vAlign w:val="bottom"/>
            <w:shd w:val="clear" w:color="auto" w:fill="0171B9"/>
          </w:tcPr>
          <w:p>
            <w:pPr>
              <w:spacing w:after="0"/>
              <w:rPr>
                <w:sz w:val="13"/>
                <w:szCs w:val="13"/>
                <w:color w:val="auto"/>
              </w:rPr>
            </w:pPr>
          </w:p>
        </w:tc>
        <w:tc>
          <w:tcPr>
            <w:tcW w:w="1080" w:type="dxa"/>
            <w:vAlign w:val="bottom"/>
            <w:shd w:val="clear" w:color="auto" w:fill="0171B9"/>
          </w:tcPr>
          <w:p>
            <w:pPr>
              <w:jc w:val="right"/>
              <w:ind w:right="28"/>
              <w:spacing w:after="0"/>
              <w:rPr>
                <w:sz w:val="20"/>
                <w:szCs w:val="20"/>
                <w:color w:val="auto"/>
              </w:rPr>
            </w:pPr>
            <w:r>
              <w:rPr>
                <w:rFonts w:ascii="Arial" w:cs="Arial" w:eastAsia="Arial" w:hAnsi="Arial"/>
                <w:sz w:val="14"/>
                <w:szCs w:val="14"/>
                <w:b w:val="1"/>
                <w:bCs w:val="1"/>
                <w:color w:val="FFFFFF"/>
              </w:rPr>
              <w:t>Exerciseable</w:t>
            </w:r>
          </w:p>
        </w:tc>
        <w:tc>
          <w:tcPr>
            <w:tcW w:w="1320" w:type="dxa"/>
            <w:vAlign w:val="bottom"/>
            <w:gridSpan w:val="2"/>
            <w:shd w:val="clear" w:color="auto" w:fill="0171B9"/>
          </w:tcPr>
          <w:p>
            <w:pPr>
              <w:jc w:val="right"/>
              <w:ind w:right="48"/>
              <w:spacing w:after="0"/>
              <w:rPr>
                <w:sz w:val="20"/>
                <w:szCs w:val="20"/>
                <w:color w:val="auto"/>
              </w:rPr>
            </w:pPr>
            <w:r>
              <w:rPr>
                <w:rFonts w:ascii="Arial" w:cs="Arial" w:eastAsia="Arial" w:hAnsi="Arial"/>
                <w:sz w:val="14"/>
                <w:szCs w:val="14"/>
                <w:b w:val="1"/>
                <w:bCs w:val="1"/>
                <w:color w:val="FFFFFF"/>
              </w:rPr>
              <w:t>Unexerciseable</w:t>
            </w:r>
          </w:p>
        </w:tc>
        <w:tc>
          <w:tcPr>
            <w:tcW w:w="920" w:type="dxa"/>
            <w:vAlign w:val="bottom"/>
            <w:shd w:val="clear" w:color="auto" w:fill="0171B9"/>
          </w:tcPr>
          <w:p>
            <w:pPr>
              <w:jc w:val="right"/>
              <w:ind w:right="68"/>
              <w:spacing w:after="0"/>
              <w:rPr>
                <w:sz w:val="20"/>
                <w:szCs w:val="20"/>
                <w:color w:val="auto"/>
              </w:rPr>
            </w:pPr>
            <w:r>
              <w:rPr>
                <w:rFonts w:ascii="Arial" w:cs="Arial" w:eastAsia="Arial" w:hAnsi="Arial"/>
                <w:sz w:val="14"/>
                <w:szCs w:val="14"/>
                <w:b w:val="1"/>
                <w:bCs w:val="1"/>
                <w:color w:val="FFFFFF"/>
              </w:rPr>
              <w:t>Price</w:t>
            </w:r>
          </w:p>
        </w:tc>
        <w:tc>
          <w:tcPr>
            <w:tcW w:w="960" w:type="dxa"/>
            <w:vAlign w:val="bottom"/>
            <w:shd w:val="clear" w:color="auto" w:fill="0171B9"/>
          </w:tcPr>
          <w:p>
            <w:pPr>
              <w:jc w:val="right"/>
              <w:ind w:right="68"/>
              <w:spacing w:after="0"/>
              <w:rPr>
                <w:sz w:val="20"/>
                <w:szCs w:val="20"/>
                <w:color w:val="auto"/>
              </w:rPr>
            </w:pPr>
            <w:r>
              <w:rPr>
                <w:rFonts w:ascii="Arial" w:cs="Arial" w:eastAsia="Arial" w:hAnsi="Arial"/>
                <w:sz w:val="14"/>
                <w:szCs w:val="14"/>
                <w:b w:val="1"/>
                <w:bCs w:val="1"/>
                <w:color w:val="FFFFFF"/>
              </w:rPr>
              <w:t>Expiration</w:t>
            </w:r>
          </w:p>
        </w:tc>
        <w:tc>
          <w:tcPr>
            <w:tcW w:w="1120" w:type="dxa"/>
            <w:vAlign w:val="bottom"/>
            <w:shd w:val="clear" w:color="auto" w:fill="0171B9"/>
          </w:tcPr>
          <w:p>
            <w:pPr>
              <w:jc w:val="right"/>
              <w:ind w:right="68"/>
              <w:spacing w:after="0"/>
              <w:rPr>
                <w:sz w:val="20"/>
                <w:szCs w:val="20"/>
                <w:color w:val="auto"/>
              </w:rPr>
            </w:pPr>
            <w:r>
              <w:rPr>
                <w:rFonts w:ascii="Arial" w:cs="Arial" w:eastAsia="Arial" w:hAnsi="Arial"/>
                <w:sz w:val="14"/>
                <w:szCs w:val="14"/>
                <w:b w:val="1"/>
                <w:bCs w:val="1"/>
                <w:color w:val="FFFFFF"/>
              </w:rPr>
              <w:t>Vested</w:t>
            </w:r>
          </w:p>
        </w:tc>
        <w:tc>
          <w:tcPr>
            <w:tcW w:w="1460" w:type="dxa"/>
            <w:vAlign w:val="bottom"/>
            <w:shd w:val="clear" w:color="auto" w:fill="0171B9"/>
          </w:tcPr>
          <w:p>
            <w:pPr>
              <w:jc w:val="right"/>
              <w:ind w:right="48"/>
              <w:spacing w:after="0"/>
              <w:rPr>
                <w:sz w:val="20"/>
                <w:szCs w:val="20"/>
                <w:color w:val="auto"/>
              </w:rPr>
            </w:pPr>
            <w:r>
              <w:rPr>
                <w:rFonts w:ascii="Arial" w:cs="Arial" w:eastAsia="Arial" w:hAnsi="Arial"/>
                <w:sz w:val="14"/>
                <w:szCs w:val="14"/>
                <w:b w:val="1"/>
                <w:bCs w:val="1"/>
                <w:color w:val="FFFFFF"/>
              </w:rPr>
              <w:t>Vested</w:t>
            </w:r>
          </w:p>
        </w:tc>
        <w:tc>
          <w:tcPr>
            <w:tcW w:w="1560" w:type="dxa"/>
            <w:vAlign w:val="bottom"/>
            <w:shd w:val="clear" w:color="auto" w:fill="0171B9"/>
          </w:tcPr>
          <w:p>
            <w:pPr>
              <w:jc w:val="right"/>
              <w:ind w:right="130"/>
              <w:spacing w:after="0"/>
              <w:rPr>
                <w:sz w:val="20"/>
                <w:szCs w:val="20"/>
                <w:color w:val="auto"/>
              </w:rPr>
            </w:pPr>
            <w:r>
              <w:rPr>
                <w:rFonts w:ascii="Arial" w:cs="Arial" w:eastAsia="Arial" w:hAnsi="Arial"/>
                <w:sz w:val="14"/>
                <w:szCs w:val="14"/>
                <w:b w:val="1"/>
                <w:bCs w:val="1"/>
                <w:color w:val="FFFFFF"/>
              </w:rPr>
              <w:t>Not Vested</w:t>
            </w:r>
          </w:p>
        </w:tc>
        <w:tc>
          <w:tcPr>
            <w:tcW w:w="1460" w:type="dxa"/>
            <w:vAlign w:val="bottom"/>
            <w:shd w:val="clear" w:color="auto" w:fill="0171B9"/>
          </w:tcPr>
          <w:p>
            <w:pPr>
              <w:jc w:val="right"/>
              <w:ind w:right="48"/>
              <w:spacing w:after="0"/>
              <w:rPr>
                <w:sz w:val="20"/>
                <w:szCs w:val="20"/>
                <w:color w:val="auto"/>
              </w:rPr>
            </w:pPr>
            <w:r>
              <w:rPr>
                <w:rFonts w:ascii="Arial" w:cs="Arial" w:eastAsia="Arial" w:hAnsi="Arial"/>
                <w:sz w:val="14"/>
                <w:szCs w:val="14"/>
                <w:b w:val="1"/>
                <w:bCs w:val="1"/>
                <w:color w:val="FFFFFF"/>
              </w:rPr>
              <w:t>Have Not Vested</w:t>
            </w:r>
          </w:p>
        </w:tc>
        <w:tc>
          <w:tcPr>
            <w:tcW w:w="0" w:type="dxa"/>
            <w:vAlign w:val="bottom"/>
          </w:tcPr>
          <w:p>
            <w:pPr>
              <w:spacing w:after="0"/>
              <w:rPr>
                <w:sz w:val="1"/>
                <w:szCs w:val="1"/>
                <w:color w:val="auto"/>
              </w:rPr>
            </w:pPr>
          </w:p>
        </w:tc>
      </w:tr>
      <w:tr>
        <w:trPr>
          <w:trHeight w:val="191"/>
        </w:trPr>
        <w:tc>
          <w:tcPr>
            <w:tcW w:w="1140" w:type="dxa"/>
            <w:vAlign w:val="bottom"/>
            <w:shd w:val="clear" w:color="auto" w:fill="0171B9"/>
          </w:tcPr>
          <w:p>
            <w:pPr>
              <w:ind w:left="80"/>
              <w:spacing w:after="0"/>
              <w:rPr>
                <w:sz w:val="20"/>
                <w:szCs w:val="20"/>
                <w:color w:val="auto"/>
              </w:rPr>
            </w:pPr>
            <w:r>
              <w:rPr>
                <w:rFonts w:ascii="Arial" w:cs="Arial" w:eastAsia="Arial" w:hAnsi="Arial"/>
                <w:sz w:val="14"/>
                <w:szCs w:val="14"/>
                <w:b w:val="1"/>
                <w:bCs w:val="1"/>
                <w:color w:val="FFFFFF"/>
              </w:rPr>
              <w:t>Name</w:t>
            </w:r>
          </w:p>
        </w:tc>
        <w:tc>
          <w:tcPr>
            <w:tcW w:w="1080" w:type="dxa"/>
            <w:vAlign w:val="bottom"/>
            <w:shd w:val="clear" w:color="auto" w:fill="0171B9"/>
          </w:tcPr>
          <w:p>
            <w:pPr>
              <w:jc w:val="right"/>
              <w:ind w:right="28"/>
              <w:spacing w:after="0"/>
              <w:rPr>
                <w:sz w:val="20"/>
                <w:szCs w:val="20"/>
                <w:color w:val="auto"/>
              </w:rPr>
            </w:pPr>
            <w:r>
              <w:rPr>
                <w:rFonts w:ascii="Arial" w:cs="Arial" w:eastAsia="Arial" w:hAnsi="Arial"/>
                <w:sz w:val="14"/>
                <w:szCs w:val="14"/>
                <w:b w:val="1"/>
                <w:bCs w:val="1"/>
                <w:color w:val="FFFFFF"/>
              </w:rPr>
              <w:t>(#)</w:t>
            </w:r>
          </w:p>
        </w:tc>
        <w:tc>
          <w:tcPr>
            <w:tcW w:w="1320" w:type="dxa"/>
            <w:vAlign w:val="bottom"/>
            <w:gridSpan w:val="2"/>
            <w:shd w:val="clear" w:color="auto" w:fill="0171B9"/>
          </w:tcPr>
          <w:p>
            <w:pPr>
              <w:jc w:val="right"/>
              <w:ind w:right="48"/>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0171B9"/>
          </w:tcPr>
          <w:p>
            <w:pPr>
              <w:jc w:val="right"/>
              <w:ind w:right="68"/>
              <w:spacing w:after="0"/>
              <w:rPr>
                <w:sz w:val="20"/>
                <w:szCs w:val="20"/>
                <w:color w:val="auto"/>
              </w:rPr>
            </w:pPr>
            <w:r>
              <w:rPr>
                <w:rFonts w:ascii="Arial" w:cs="Arial" w:eastAsia="Arial" w:hAnsi="Arial"/>
                <w:sz w:val="14"/>
                <w:szCs w:val="14"/>
                <w:b w:val="1"/>
                <w:bCs w:val="1"/>
                <w:color w:val="FFFFFF"/>
              </w:rPr>
              <w:t>($/Option)</w:t>
            </w:r>
          </w:p>
        </w:tc>
        <w:tc>
          <w:tcPr>
            <w:tcW w:w="960" w:type="dxa"/>
            <w:vAlign w:val="bottom"/>
            <w:shd w:val="clear" w:color="auto" w:fill="0171B9"/>
          </w:tcPr>
          <w:p>
            <w:pPr>
              <w:jc w:val="right"/>
              <w:ind w:right="68"/>
              <w:spacing w:after="0" w:line="191" w:lineRule="exact"/>
              <w:rPr>
                <w:sz w:val="20"/>
                <w:szCs w:val="20"/>
                <w:color w:val="auto"/>
              </w:rPr>
            </w:pPr>
            <w:r>
              <w:rPr>
                <w:rFonts w:ascii="Arial" w:cs="Arial" w:eastAsia="Arial" w:hAnsi="Arial"/>
                <w:sz w:val="14"/>
                <w:szCs w:val="14"/>
                <w:b w:val="1"/>
                <w:bCs w:val="1"/>
                <w:color w:val="FFFFFF"/>
              </w:rPr>
              <w:t>Date</w:t>
            </w:r>
            <w:r>
              <w:rPr>
                <w:rFonts w:ascii="Arial" w:cs="Arial" w:eastAsia="Arial" w:hAnsi="Arial"/>
                <w:sz w:val="21"/>
                <w:szCs w:val="21"/>
                <w:b w:val="1"/>
                <w:bCs w:val="1"/>
                <w:color w:val="FFFFFF"/>
                <w:vertAlign w:val="superscript"/>
              </w:rPr>
              <w:t>(1)</w:t>
            </w:r>
          </w:p>
        </w:tc>
        <w:tc>
          <w:tcPr>
            <w:tcW w:w="1120" w:type="dxa"/>
            <w:vAlign w:val="bottom"/>
            <w:shd w:val="clear" w:color="auto" w:fill="0171B9"/>
          </w:tcPr>
          <w:p>
            <w:pPr>
              <w:jc w:val="right"/>
              <w:ind w:right="68"/>
              <w:spacing w:after="0" w:line="191"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1"/>
                <w:szCs w:val="21"/>
                <w:b w:val="1"/>
                <w:bCs w:val="1"/>
                <w:color w:val="FFFFFF"/>
                <w:vertAlign w:val="superscript"/>
              </w:rPr>
              <w:t>(2)</w:t>
            </w:r>
          </w:p>
        </w:tc>
        <w:tc>
          <w:tcPr>
            <w:tcW w:w="1460" w:type="dxa"/>
            <w:vAlign w:val="bottom"/>
            <w:shd w:val="clear" w:color="auto" w:fill="0171B9"/>
          </w:tcPr>
          <w:p>
            <w:pPr>
              <w:jc w:val="right"/>
              <w:ind w:right="48"/>
              <w:spacing w:after="0" w:line="191"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1"/>
                <w:szCs w:val="21"/>
                <w:b w:val="1"/>
                <w:bCs w:val="1"/>
                <w:color w:val="FFFFFF"/>
                <w:vertAlign w:val="superscript"/>
              </w:rPr>
              <w:t>(3)</w:t>
            </w:r>
          </w:p>
        </w:tc>
        <w:tc>
          <w:tcPr>
            <w:tcW w:w="1560" w:type="dxa"/>
            <w:vAlign w:val="bottom"/>
            <w:shd w:val="clear" w:color="auto" w:fill="0171B9"/>
          </w:tcPr>
          <w:p>
            <w:pPr>
              <w:jc w:val="right"/>
              <w:ind w:right="130"/>
              <w:spacing w:after="0"/>
              <w:rPr>
                <w:sz w:val="20"/>
                <w:szCs w:val="20"/>
                <w:color w:val="auto"/>
              </w:rPr>
            </w:pPr>
            <w:r>
              <w:rPr>
                <w:rFonts w:ascii="Arial" w:cs="Arial" w:eastAsia="Arial" w:hAnsi="Arial"/>
                <w:sz w:val="14"/>
                <w:szCs w:val="14"/>
                <w:b w:val="1"/>
                <w:bCs w:val="1"/>
                <w:color w:val="FFFFFF"/>
              </w:rPr>
              <w:t>(#)</w:t>
            </w:r>
          </w:p>
        </w:tc>
        <w:tc>
          <w:tcPr>
            <w:tcW w:w="1460" w:type="dxa"/>
            <w:vAlign w:val="bottom"/>
            <w:shd w:val="clear" w:color="auto" w:fill="0171B9"/>
          </w:tcPr>
          <w:p>
            <w:pPr>
              <w:jc w:val="right"/>
              <w:ind w:right="48"/>
              <w:spacing w:after="0" w:line="191"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1"/>
                <w:szCs w:val="21"/>
                <w:b w:val="1"/>
                <w:bCs w:val="1"/>
                <w:color w:val="FFFFFF"/>
                <w:vertAlign w:val="superscript"/>
              </w:rPr>
              <w:t>(3)</w:t>
            </w:r>
          </w:p>
        </w:tc>
        <w:tc>
          <w:tcPr>
            <w:tcW w:w="0" w:type="dxa"/>
            <w:vAlign w:val="bottom"/>
          </w:tcPr>
          <w:p>
            <w:pPr>
              <w:spacing w:after="0"/>
              <w:rPr>
                <w:sz w:val="1"/>
                <w:szCs w:val="1"/>
                <w:color w:val="auto"/>
              </w:rPr>
            </w:pPr>
          </w:p>
        </w:tc>
      </w:tr>
      <w:tr>
        <w:trPr>
          <w:trHeight w:val="180"/>
        </w:trPr>
        <w:tc>
          <w:tcPr>
            <w:tcW w:w="1140" w:type="dxa"/>
            <w:vAlign w:val="bottom"/>
            <w:shd w:val="clear" w:color="auto" w:fill="0171B9"/>
          </w:tcPr>
          <w:p>
            <w:pPr>
              <w:spacing w:after="0"/>
              <w:rPr>
                <w:sz w:val="15"/>
                <w:szCs w:val="15"/>
                <w:color w:val="auto"/>
              </w:rPr>
            </w:pPr>
          </w:p>
        </w:tc>
        <w:tc>
          <w:tcPr>
            <w:tcW w:w="1080" w:type="dxa"/>
            <w:vAlign w:val="bottom"/>
            <w:shd w:val="clear" w:color="auto" w:fill="0171B9"/>
          </w:tcPr>
          <w:p>
            <w:pPr>
              <w:spacing w:after="0"/>
              <w:rPr>
                <w:sz w:val="15"/>
                <w:szCs w:val="15"/>
                <w:color w:val="auto"/>
              </w:rPr>
            </w:pPr>
          </w:p>
        </w:tc>
        <w:tc>
          <w:tcPr>
            <w:tcW w:w="200" w:type="dxa"/>
            <w:vAlign w:val="bottom"/>
            <w:shd w:val="clear" w:color="auto" w:fill="0171B9"/>
          </w:tcPr>
          <w:p>
            <w:pPr>
              <w:spacing w:after="0"/>
              <w:rPr>
                <w:sz w:val="15"/>
                <w:szCs w:val="15"/>
                <w:color w:val="auto"/>
              </w:rPr>
            </w:pPr>
          </w:p>
        </w:tc>
        <w:tc>
          <w:tcPr>
            <w:tcW w:w="2040" w:type="dxa"/>
            <w:vAlign w:val="bottom"/>
            <w:gridSpan w:val="2"/>
            <w:vMerge w:val="restart"/>
            <w:shd w:val="clear" w:color="auto" w:fill="0171B9"/>
          </w:tcPr>
          <w:p>
            <w:pPr>
              <w:jc w:val="right"/>
              <w:ind w:right="608"/>
              <w:spacing w:after="0"/>
              <w:rPr>
                <w:sz w:val="20"/>
                <w:szCs w:val="20"/>
                <w:color w:val="auto"/>
              </w:rPr>
            </w:pPr>
            <w:r>
              <w:rPr>
                <w:rFonts w:ascii="Arial" w:cs="Arial" w:eastAsia="Arial" w:hAnsi="Arial"/>
                <w:sz w:val="14"/>
                <w:szCs w:val="14"/>
                <w:i w:val="1"/>
                <w:iCs w:val="1"/>
                <w:color w:val="FFFFFF"/>
              </w:rPr>
              <w:t>Stock Options</w:t>
            </w:r>
            <w:r>
              <w:rPr>
                <w:rFonts w:ascii="Arial" w:cs="Arial" w:eastAsia="Arial" w:hAnsi="Arial"/>
                <w:sz w:val="21"/>
                <w:szCs w:val="21"/>
                <w:i w:val="1"/>
                <w:iCs w:val="1"/>
                <w:color w:val="FFFFFF"/>
                <w:vertAlign w:val="superscript"/>
              </w:rPr>
              <w:t>(1)</w:t>
            </w:r>
          </w:p>
        </w:tc>
        <w:tc>
          <w:tcPr>
            <w:tcW w:w="960" w:type="dxa"/>
            <w:vAlign w:val="bottom"/>
            <w:shd w:val="clear" w:color="auto" w:fill="0171B9"/>
          </w:tcPr>
          <w:p>
            <w:pPr>
              <w:spacing w:after="0"/>
              <w:rPr>
                <w:sz w:val="15"/>
                <w:szCs w:val="15"/>
                <w:color w:val="auto"/>
              </w:rPr>
            </w:pPr>
          </w:p>
        </w:tc>
        <w:tc>
          <w:tcPr>
            <w:tcW w:w="2580" w:type="dxa"/>
            <w:vAlign w:val="bottom"/>
            <w:gridSpan w:val="2"/>
            <w:shd w:val="clear" w:color="auto" w:fill="0171B9"/>
          </w:tcPr>
          <w:p>
            <w:pPr>
              <w:jc w:val="right"/>
              <w:ind w:right="368"/>
              <w:spacing w:after="0"/>
              <w:rPr>
                <w:sz w:val="20"/>
                <w:szCs w:val="20"/>
                <w:color w:val="auto"/>
              </w:rPr>
            </w:pPr>
            <w:r>
              <w:rPr>
                <w:rFonts w:ascii="Arial" w:cs="Arial" w:eastAsia="Arial" w:hAnsi="Arial"/>
                <w:sz w:val="14"/>
                <w:szCs w:val="14"/>
                <w:i w:val="1"/>
                <w:iCs w:val="1"/>
                <w:color w:val="FFFFFF"/>
              </w:rPr>
              <w:t>Restricted Stock Units and</w:t>
            </w:r>
          </w:p>
        </w:tc>
        <w:tc>
          <w:tcPr>
            <w:tcW w:w="3020" w:type="dxa"/>
            <w:vAlign w:val="bottom"/>
            <w:gridSpan w:val="2"/>
            <w:shd w:val="clear" w:color="auto" w:fill="0171B9"/>
          </w:tcPr>
          <w:p>
            <w:pPr>
              <w:jc w:val="right"/>
              <w:ind w:right="408"/>
              <w:spacing w:after="0"/>
              <w:rPr>
                <w:sz w:val="20"/>
                <w:szCs w:val="20"/>
                <w:color w:val="auto"/>
              </w:rPr>
            </w:pPr>
            <w:r>
              <w:rPr>
                <w:rFonts w:ascii="Arial" w:cs="Arial" w:eastAsia="Arial" w:hAnsi="Arial"/>
                <w:sz w:val="14"/>
                <w:szCs w:val="14"/>
                <w:i w:val="1"/>
                <w:iCs w:val="1"/>
                <w:color w:val="FFFFFF"/>
              </w:rPr>
              <w:t>Performance Units and Dividend</w:t>
            </w:r>
          </w:p>
        </w:tc>
        <w:tc>
          <w:tcPr>
            <w:tcW w:w="0" w:type="dxa"/>
            <w:vAlign w:val="bottom"/>
          </w:tcPr>
          <w:p>
            <w:pPr>
              <w:spacing w:after="0"/>
              <w:rPr>
                <w:sz w:val="1"/>
                <w:szCs w:val="1"/>
                <w:color w:val="auto"/>
              </w:rPr>
            </w:pPr>
          </w:p>
        </w:tc>
      </w:tr>
      <w:tr>
        <w:trPr>
          <w:trHeight w:val="198"/>
        </w:trPr>
        <w:tc>
          <w:tcPr>
            <w:tcW w:w="1140" w:type="dxa"/>
            <w:vAlign w:val="bottom"/>
            <w:shd w:val="clear" w:color="auto" w:fill="0171B9"/>
          </w:tcPr>
          <w:p>
            <w:pPr>
              <w:spacing w:after="0"/>
              <w:rPr>
                <w:sz w:val="17"/>
                <w:szCs w:val="17"/>
                <w:color w:val="auto"/>
              </w:rPr>
            </w:pPr>
          </w:p>
        </w:tc>
        <w:tc>
          <w:tcPr>
            <w:tcW w:w="1080" w:type="dxa"/>
            <w:vAlign w:val="bottom"/>
            <w:shd w:val="clear" w:color="auto" w:fill="0171B9"/>
          </w:tcPr>
          <w:p>
            <w:pPr>
              <w:spacing w:after="0"/>
              <w:rPr>
                <w:sz w:val="17"/>
                <w:szCs w:val="17"/>
                <w:color w:val="auto"/>
              </w:rPr>
            </w:pPr>
          </w:p>
        </w:tc>
        <w:tc>
          <w:tcPr>
            <w:tcW w:w="200" w:type="dxa"/>
            <w:vAlign w:val="bottom"/>
            <w:shd w:val="clear" w:color="auto" w:fill="0171B9"/>
          </w:tcPr>
          <w:p>
            <w:pPr>
              <w:spacing w:after="0"/>
              <w:rPr>
                <w:sz w:val="17"/>
                <w:szCs w:val="17"/>
                <w:color w:val="auto"/>
              </w:rPr>
            </w:pPr>
          </w:p>
        </w:tc>
        <w:tc>
          <w:tcPr>
            <w:tcW w:w="2040" w:type="dxa"/>
            <w:vAlign w:val="bottom"/>
            <w:gridSpan w:val="2"/>
            <w:vMerge w:val="continue"/>
            <w:shd w:val="clear" w:color="auto" w:fill="0171B9"/>
          </w:tcPr>
          <w:p>
            <w:pPr>
              <w:spacing w:after="0"/>
              <w:rPr>
                <w:sz w:val="17"/>
                <w:szCs w:val="17"/>
                <w:color w:val="auto"/>
              </w:rPr>
            </w:pPr>
          </w:p>
        </w:tc>
        <w:tc>
          <w:tcPr>
            <w:tcW w:w="960" w:type="dxa"/>
            <w:vAlign w:val="bottom"/>
            <w:shd w:val="clear" w:color="auto" w:fill="0171B9"/>
          </w:tcPr>
          <w:p>
            <w:pPr>
              <w:spacing w:after="0"/>
              <w:rPr>
                <w:sz w:val="17"/>
                <w:szCs w:val="17"/>
                <w:color w:val="auto"/>
              </w:rPr>
            </w:pPr>
          </w:p>
        </w:tc>
        <w:tc>
          <w:tcPr>
            <w:tcW w:w="2580" w:type="dxa"/>
            <w:vAlign w:val="bottom"/>
            <w:gridSpan w:val="2"/>
            <w:shd w:val="clear" w:color="auto" w:fill="0171B9"/>
          </w:tcPr>
          <w:p>
            <w:pPr>
              <w:jc w:val="right"/>
              <w:ind w:right="548"/>
              <w:spacing w:after="0"/>
              <w:rPr>
                <w:sz w:val="20"/>
                <w:szCs w:val="20"/>
                <w:color w:val="auto"/>
              </w:rPr>
            </w:pPr>
            <w:r>
              <w:rPr>
                <w:rFonts w:ascii="Arial" w:cs="Arial" w:eastAsia="Arial" w:hAnsi="Arial"/>
                <w:sz w:val="14"/>
                <w:szCs w:val="14"/>
                <w:i w:val="1"/>
                <w:iCs w:val="1"/>
                <w:color w:val="FFFFFF"/>
              </w:rPr>
              <w:t>Dividend Equivalents</w:t>
            </w:r>
          </w:p>
        </w:tc>
        <w:tc>
          <w:tcPr>
            <w:tcW w:w="3020" w:type="dxa"/>
            <w:vAlign w:val="bottom"/>
            <w:gridSpan w:val="2"/>
            <w:shd w:val="clear" w:color="auto" w:fill="0171B9"/>
          </w:tcPr>
          <w:p>
            <w:pPr>
              <w:jc w:val="right"/>
              <w:ind w:right="1068"/>
              <w:spacing w:after="0"/>
              <w:rPr>
                <w:sz w:val="20"/>
                <w:szCs w:val="20"/>
                <w:color w:val="auto"/>
              </w:rPr>
            </w:pPr>
            <w:r>
              <w:rPr>
                <w:rFonts w:ascii="Arial" w:cs="Arial" w:eastAsia="Arial" w:hAnsi="Arial"/>
                <w:sz w:val="14"/>
                <w:szCs w:val="14"/>
                <w:i w:val="1"/>
                <w:iCs w:val="1"/>
                <w:color w:val="FFFFFF"/>
              </w:rPr>
              <w:t>Equivalents</w:t>
            </w:r>
          </w:p>
        </w:tc>
        <w:tc>
          <w:tcPr>
            <w:tcW w:w="0" w:type="dxa"/>
            <w:vAlign w:val="bottom"/>
          </w:tcPr>
          <w:p>
            <w:pPr>
              <w:spacing w:after="0"/>
              <w:rPr>
                <w:sz w:val="1"/>
                <w:szCs w:val="1"/>
                <w:color w:val="auto"/>
              </w:rPr>
            </w:pPr>
          </w:p>
        </w:tc>
      </w:tr>
      <w:tr>
        <w:trPr>
          <w:trHeight w:val="221"/>
        </w:trPr>
        <w:tc>
          <w:tcPr>
            <w:tcW w:w="1140" w:type="dxa"/>
            <w:vAlign w:val="bottom"/>
            <w:shd w:val="clear" w:color="auto" w:fill="CCE2F1"/>
          </w:tcPr>
          <w:p>
            <w:pPr>
              <w:ind w:left="80"/>
              <w:spacing w:after="0"/>
              <w:rPr>
                <w:sz w:val="20"/>
                <w:szCs w:val="20"/>
                <w:color w:val="auto"/>
              </w:rPr>
            </w:pPr>
            <w:r>
              <w:rPr>
                <w:rFonts w:ascii="Arial" w:cs="Arial" w:eastAsia="Arial" w:hAnsi="Arial"/>
                <w:sz w:val="14"/>
                <w:szCs w:val="14"/>
                <w:color w:val="auto"/>
              </w:rPr>
              <w:t>Robert A.</w:t>
            </w:r>
          </w:p>
        </w:tc>
        <w:tc>
          <w:tcPr>
            <w:tcW w:w="1080" w:type="dxa"/>
            <w:vAlign w:val="bottom"/>
            <w:shd w:val="clear" w:color="auto" w:fill="CCE2F1"/>
          </w:tcPr>
          <w:p>
            <w:pPr>
              <w:spacing w:after="0"/>
              <w:rPr>
                <w:sz w:val="19"/>
                <w:szCs w:val="19"/>
                <w:color w:val="auto"/>
              </w:rPr>
            </w:pPr>
          </w:p>
        </w:tc>
        <w:tc>
          <w:tcPr>
            <w:tcW w:w="200" w:type="dxa"/>
            <w:vAlign w:val="bottom"/>
            <w:shd w:val="clear" w:color="auto" w:fill="CCE2F1"/>
          </w:tcPr>
          <w:p>
            <w:pPr>
              <w:spacing w:after="0"/>
              <w:rPr>
                <w:sz w:val="19"/>
                <w:szCs w:val="19"/>
                <w:color w:val="auto"/>
              </w:rPr>
            </w:pPr>
          </w:p>
        </w:tc>
        <w:tc>
          <w:tcPr>
            <w:tcW w:w="1120" w:type="dxa"/>
            <w:vAlign w:val="bottom"/>
            <w:shd w:val="clear" w:color="auto" w:fill="CCE2F1"/>
          </w:tcPr>
          <w:p>
            <w:pPr>
              <w:spacing w:after="0"/>
              <w:rPr>
                <w:sz w:val="19"/>
                <w:szCs w:val="19"/>
                <w:color w:val="auto"/>
              </w:rPr>
            </w:pPr>
          </w:p>
        </w:tc>
        <w:tc>
          <w:tcPr>
            <w:tcW w:w="920" w:type="dxa"/>
            <w:vAlign w:val="bottom"/>
            <w:shd w:val="clear" w:color="auto" w:fill="CCE2F1"/>
          </w:tcPr>
          <w:p>
            <w:pPr>
              <w:spacing w:after="0"/>
              <w:rPr>
                <w:sz w:val="19"/>
                <w:szCs w:val="19"/>
                <w:color w:val="auto"/>
              </w:rPr>
            </w:pPr>
          </w:p>
        </w:tc>
        <w:tc>
          <w:tcPr>
            <w:tcW w:w="960" w:type="dxa"/>
            <w:vAlign w:val="bottom"/>
            <w:shd w:val="clear" w:color="auto" w:fill="CCE2F1"/>
          </w:tcPr>
          <w:p>
            <w:pPr>
              <w:spacing w:after="0"/>
              <w:rPr>
                <w:sz w:val="19"/>
                <w:szCs w:val="19"/>
                <w:color w:val="auto"/>
              </w:rPr>
            </w:pPr>
          </w:p>
        </w:tc>
        <w:tc>
          <w:tcPr>
            <w:tcW w:w="1120" w:type="dxa"/>
            <w:vAlign w:val="bottom"/>
            <w:shd w:val="clear" w:color="auto" w:fill="CCE2F1"/>
          </w:tcPr>
          <w:p>
            <w:pPr>
              <w:spacing w:after="0"/>
              <w:rPr>
                <w:sz w:val="19"/>
                <w:szCs w:val="19"/>
                <w:color w:val="auto"/>
              </w:rPr>
            </w:pPr>
          </w:p>
        </w:tc>
        <w:tc>
          <w:tcPr>
            <w:tcW w:w="1460" w:type="dxa"/>
            <w:vAlign w:val="bottom"/>
            <w:shd w:val="clear" w:color="auto" w:fill="CCE2F1"/>
          </w:tcPr>
          <w:p>
            <w:pPr>
              <w:spacing w:after="0"/>
              <w:rPr>
                <w:sz w:val="19"/>
                <w:szCs w:val="19"/>
                <w:color w:val="auto"/>
              </w:rPr>
            </w:pPr>
          </w:p>
        </w:tc>
        <w:tc>
          <w:tcPr>
            <w:tcW w:w="1560" w:type="dxa"/>
            <w:vAlign w:val="bottom"/>
            <w:vMerge w:val="restart"/>
            <w:shd w:val="clear" w:color="auto" w:fill="CCE2F1"/>
          </w:tcPr>
          <w:p>
            <w:pPr>
              <w:jc w:val="right"/>
              <w:ind w:right="10"/>
              <w:spacing w:after="0"/>
              <w:rPr>
                <w:sz w:val="20"/>
                <w:szCs w:val="20"/>
                <w:color w:val="auto"/>
              </w:rPr>
            </w:pPr>
            <w:r>
              <w:rPr>
                <w:rFonts w:ascii="Arial" w:cs="Arial" w:eastAsia="Arial" w:hAnsi="Arial"/>
                <w:sz w:val="14"/>
                <w:szCs w:val="14"/>
                <w:color w:val="auto"/>
              </w:rPr>
              <w:t>65,762</w:t>
            </w:r>
            <w:r>
              <w:rPr>
                <w:rFonts w:ascii="Arial" w:cs="Arial" w:eastAsia="Arial" w:hAnsi="Arial"/>
                <w:sz w:val="21"/>
                <w:szCs w:val="21"/>
                <w:color w:val="auto"/>
                <w:vertAlign w:val="superscript"/>
              </w:rPr>
              <w:t>(4)</w:t>
            </w:r>
          </w:p>
        </w:tc>
        <w:tc>
          <w:tcPr>
            <w:tcW w:w="1460" w:type="dxa"/>
            <w:vAlign w:val="bottom"/>
            <w:shd w:val="clear" w:color="auto" w:fill="CCE2F1"/>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140" w:type="dxa"/>
            <w:vAlign w:val="bottom"/>
            <w:shd w:val="clear" w:color="auto" w:fill="CCE2F1"/>
          </w:tcPr>
          <w:p>
            <w:pPr>
              <w:ind w:left="140"/>
              <w:spacing w:after="0" w:line="154" w:lineRule="exact"/>
              <w:rPr>
                <w:sz w:val="20"/>
                <w:szCs w:val="20"/>
                <w:color w:val="auto"/>
              </w:rPr>
            </w:pPr>
            <w:r>
              <w:rPr>
                <w:rFonts w:ascii="Arial" w:cs="Arial" w:eastAsia="Arial" w:hAnsi="Arial"/>
                <w:sz w:val="14"/>
                <w:szCs w:val="14"/>
                <w:color w:val="auto"/>
              </w:rPr>
              <w:t>Bradway</w:t>
            </w:r>
          </w:p>
        </w:tc>
        <w:tc>
          <w:tcPr>
            <w:tcW w:w="1080" w:type="dxa"/>
            <w:vAlign w:val="bottom"/>
            <w:shd w:val="clear" w:color="auto" w:fill="CCE2F1"/>
          </w:tcPr>
          <w:p>
            <w:pPr>
              <w:jc w:val="right"/>
              <w:ind w:right="28"/>
              <w:spacing w:after="0" w:line="154" w:lineRule="exact"/>
              <w:rPr>
                <w:sz w:val="20"/>
                <w:szCs w:val="20"/>
                <w:color w:val="auto"/>
              </w:rPr>
            </w:pPr>
            <w:r>
              <w:rPr>
                <w:rFonts w:ascii="Arial" w:cs="Arial" w:eastAsia="Arial" w:hAnsi="Arial"/>
                <w:sz w:val="14"/>
                <w:szCs w:val="14"/>
                <w:color w:val="auto"/>
              </w:rPr>
              <w:t>0</w:t>
            </w:r>
          </w:p>
        </w:tc>
        <w:tc>
          <w:tcPr>
            <w:tcW w:w="1320" w:type="dxa"/>
            <w:vAlign w:val="bottom"/>
            <w:gridSpan w:val="2"/>
            <w:shd w:val="clear" w:color="auto" w:fill="CCE2F1"/>
          </w:tcPr>
          <w:p>
            <w:pPr>
              <w:jc w:val="right"/>
              <w:ind w:right="48"/>
              <w:spacing w:after="0" w:line="154" w:lineRule="exact"/>
              <w:rPr>
                <w:sz w:val="20"/>
                <w:szCs w:val="20"/>
                <w:color w:val="auto"/>
              </w:rPr>
            </w:pPr>
            <w:r>
              <w:rPr>
                <w:rFonts w:ascii="Arial" w:cs="Arial" w:eastAsia="Arial" w:hAnsi="Arial"/>
                <w:sz w:val="14"/>
                <w:szCs w:val="14"/>
                <w:color w:val="auto"/>
              </w:rPr>
              <w:t>112,508</w:t>
            </w:r>
          </w:p>
        </w:tc>
        <w:tc>
          <w:tcPr>
            <w:tcW w:w="920" w:type="dxa"/>
            <w:vAlign w:val="bottom"/>
            <w:shd w:val="clear" w:color="auto" w:fill="CCE2F1"/>
          </w:tcPr>
          <w:p>
            <w:pPr>
              <w:jc w:val="right"/>
              <w:ind w:right="68"/>
              <w:spacing w:after="0" w:line="154" w:lineRule="exact"/>
              <w:rPr>
                <w:sz w:val="20"/>
                <w:szCs w:val="20"/>
                <w:color w:val="auto"/>
              </w:rPr>
            </w:pPr>
            <w:r>
              <w:rPr>
                <w:rFonts w:ascii="Arial" w:cs="Arial" w:eastAsia="Arial" w:hAnsi="Arial"/>
                <w:sz w:val="14"/>
                <w:szCs w:val="14"/>
                <w:color w:val="auto"/>
              </w:rPr>
              <w:t>230.92</w:t>
            </w:r>
          </w:p>
        </w:tc>
        <w:tc>
          <w:tcPr>
            <w:tcW w:w="960" w:type="dxa"/>
            <w:vAlign w:val="bottom"/>
            <w:shd w:val="clear" w:color="auto" w:fill="CCE2F1"/>
          </w:tcPr>
          <w:p>
            <w:pPr>
              <w:jc w:val="right"/>
              <w:ind w:right="68"/>
              <w:spacing w:after="0" w:line="154" w:lineRule="exact"/>
              <w:rPr>
                <w:sz w:val="20"/>
                <w:szCs w:val="20"/>
                <w:color w:val="auto"/>
              </w:rPr>
            </w:pPr>
            <w:r>
              <w:rPr>
                <w:rFonts w:ascii="Arial" w:cs="Arial" w:eastAsia="Arial" w:hAnsi="Arial"/>
                <w:sz w:val="14"/>
                <w:szCs w:val="14"/>
                <w:color w:val="auto"/>
              </w:rPr>
              <w:t>5/2/2032</w:t>
            </w:r>
          </w:p>
        </w:tc>
        <w:tc>
          <w:tcPr>
            <w:tcW w:w="1120" w:type="dxa"/>
            <w:vAlign w:val="bottom"/>
            <w:shd w:val="clear" w:color="auto" w:fill="CCE2F1"/>
          </w:tcPr>
          <w:p>
            <w:pPr>
              <w:jc w:val="right"/>
              <w:ind w:right="68"/>
              <w:spacing w:after="0" w:line="154" w:lineRule="exact"/>
              <w:rPr>
                <w:sz w:val="20"/>
                <w:szCs w:val="20"/>
                <w:color w:val="auto"/>
              </w:rPr>
            </w:pPr>
            <w:r>
              <w:rPr>
                <w:rFonts w:ascii="Arial" w:cs="Arial" w:eastAsia="Arial" w:hAnsi="Arial"/>
                <w:sz w:val="14"/>
                <w:szCs w:val="14"/>
                <w:color w:val="auto"/>
              </w:rPr>
              <w:t>42,987</w:t>
            </w:r>
          </w:p>
        </w:tc>
        <w:tc>
          <w:tcPr>
            <w:tcW w:w="1460" w:type="dxa"/>
            <w:vAlign w:val="bottom"/>
            <w:shd w:val="clear" w:color="auto" w:fill="CCE2F1"/>
          </w:tcPr>
          <w:p>
            <w:pPr>
              <w:jc w:val="right"/>
              <w:ind w:right="48"/>
              <w:spacing w:after="0" w:line="154" w:lineRule="exact"/>
              <w:rPr>
                <w:sz w:val="20"/>
                <w:szCs w:val="20"/>
                <w:color w:val="auto"/>
              </w:rPr>
            </w:pPr>
            <w:r>
              <w:rPr>
                <w:rFonts w:ascii="Arial" w:cs="Arial" w:eastAsia="Arial" w:hAnsi="Arial"/>
                <w:sz w:val="14"/>
                <w:szCs w:val="14"/>
                <w:color w:val="auto"/>
              </w:rPr>
              <w:t>11,290,106</w:t>
            </w:r>
          </w:p>
        </w:tc>
        <w:tc>
          <w:tcPr>
            <w:tcW w:w="1560" w:type="dxa"/>
            <w:vAlign w:val="bottom"/>
            <w:vMerge w:val="continue"/>
            <w:shd w:val="clear" w:color="auto" w:fill="CCE2F1"/>
          </w:tcPr>
          <w:p>
            <w:pPr>
              <w:spacing w:after="0"/>
              <w:rPr>
                <w:sz w:val="13"/>
                <w:szCs w:val="13"/>
                <w:color w:val="auto"/>
              </w:rPr>
            </w:pPr>
          </w:p>
        </w:tc>
        <w:tc>
          <w:tcPr>
            <w:tcW w:w="1460" w:type="dxa"/>
            <w:vAlign w:val="bottom"/>
            <w:shd w:val="clear" w:color="auto" w:fill="CCE2F1"/>
          </w:tcPr>
          <w:p>
            <w:pPr>
              <w:jc w:val="right"/>
              <w:ind w:right="48"/>
              <w:spacing w:after="0" w:line="154" w:lineRule="exact"/>
              <w:rPr>
                <w:sz w:val="20"/>
                <w:szCs w:val="20"/>
                <w:color w:val="auto"/>
              </w:rPr>
            </w:pPr>
            <w:r>
              <w:rPr>
                <w:rFonts w:ascii="Arial" w:cs="Arial" w:eastAsia="Arial" w:hAnsi="Arial"/>
                <w:sz w:val="14"/>
                <w:szCs w:val="14"/>
                <w:color w:val="auto"/>
              </w:rPr>
              <w:t>17,271,732</w:t>
            </w:r>
          </w:p>
        </w:tc>
        <w:tc>
          <w:tcPr>
            <w:tcW w:w="0" w:type="dxa"/>
            <w:vAlign w:val="bottom"/>
          </w:tcPr>
          <w:p>
            <w:pPr>
              <w:spacing w:after="0"/>
              <w:rPr>
                <w:sz w:val="1"/>
                <w:szCs w:val="1"/>
                <w:color w:val="auto"/>
              </w:rPr>
            </w:pPr>
          </w:p>
        </w:tc>
      </w:tr>
      <w:tr>
        <w:trPr>
          <w:trHeight w:val="162"/>
        </w:trPr>
        <w:tc>
          <w:tcPr>
            <w:tcW w:w="1140" w:type="dxa"/>
            <w:vAlign w:val="bottom"/>
            <w:shd w:val="clear" w:color="auto" w:fill="CCE2F1"/>
          </w:tcPr>
          <w:p>
            <w:pPr>
              <w:spacing w:after="0"/>
              <w:rPr>
                <w:sz w:val="14"/>
                <w:szCs w:val="14"/>
                <w:color w:val="auto"/>
              </w:rPr>
            </w:pPr>
          </w:p>
        </w:tc>
        <w:tc>
          <w:tcPr>
            <w:tcW w:w="1080" w:type="dxa"/>
            <w:vAlign w:val="bottom"/>
            <w:shd w:val="clear" w:color="auto" w:fill="CCE2F1"/>
          </w:tcPr>
          <w:p>
            <w:pPr>
              <w:jc w:val="right"/>
              <w:ind w:right="28"/>
              <w:spacing w:after="0"/>
              <w:rPr>
                <w:sz w:val="20"/>
                <w:szCs w:val="20"/>
                <w:color w:val="auto"/>
              </w:rPr>
            </w:pPr>
            <w:r>
              <w:rPr>
                <w:rFonts w:ascii="Arial" w:cs="Arial" w:eastAsia="Arial" w:hAnsi="Arial"/>
                <w:sz w:val="14"/>
                <w:szCs w:val="14"/>
                <w:color w:val="auto"/>
              </w:rPr>
              <w:t>0</w:t>
            </w:r>
          </w:p>
        </w:tc>
        <w:tc>
          <w:tcPr>
            <w:tcW w:w="1320" w:type="dxa"/>
            <w:vAlign w:val="bottom"/>
            <w:gridSpan w:val="2"/>
            <w:shd w:val="clear" w:color="auto" w:fill="CCE2F1"/>
          </w:tcPr>
          <w:p>
            <w:pPr>
              <w:jc w:val="right"/>
              <w:ind w:right="48"/>
              <w:spacing w:after="0"/>
              <w:rPr>
                <w:sz w:val="20"/>
                <w:szCs w:val="20"/>
                <w:color w:val="auto"/>
              </w:rPr>
            </w:pPr>
            <w:r>
              <w:rPr>
                <w:rFonts w:ascii="Arial" w:cs="Arial" w:eastAsia="Arial" w:hAnsi="Arial"/>
                <w:sz w:val="14"/>
                <w:szCs w:val="14"/>
                <w:color w:val="auto"/>
              </w:rPr>
              <w:t>115,307</w:t>
            </w:r>
          </w:p>
        </w:tc>
        <w:tc>
          <w:tcPr>
            <w:tcW w:w="92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239.64</w:t>
            </w:r>
          </w:p>
        </w:tc>
        <w:tc>
          <w:tcPr>
            <w:tcW w:w="96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4/30/2031</w:t>
            </w:r>
          </w:p>
        </w:tc>
        <w:tc>
          <w:tcPr>
            <w:tcW w:w="112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1560" w:type="dxa"/>
            <w:vAlign w:val="bottom"/>
            <w:shd w:val="clear" w:color="auto" w:fill="CCE2F1"/>
          </w:tcPr>
          <w:p>
            <w:pPr>
              <w:jc w:val="right"/>
              <w:ind w:right="10"/>
              <w:spacing w:after="0" w:line="162" w:lineRule="exact"/>
              <w:rPr>
                <w:sz w:val="20"/>
                <w:szCs w:val="20"/>
                <w:color w:val="auto"/>
              </w:rPr>
            </w:pPr>
            <w:r>
              <w:rPr>
                <w:rFonts w:ascii="Arial" w:cs="Arial" w:eastAsia="Arial" w:hAnsi="Arial"/>
                <w:sz w:val="13"/>
                <w:szCs w:val="13"/>
                <w:color w:val="auto"/>
              </w:rPr>
              <w:t>65,974</w:t>
            </w:r>
            <w:r>
              <w:rPr>
                <w:rFonts w:ascii="Arial" w:cs="Arial" w:eastAsia="Arial" w:hAnsi="Arial"/>
                <w:sz w:val="18"/>
                <w:szCs w:val="18"/>
                <w:color w:val="auto"/>
                <w:vertAlign w:val="superscript"/>
              </w:rPr>
              <w:t>(5)</w:t>
            </w:r>
          </w:p>
        </w:tc>
        <w:tc>
          <w:tcPr>
            <w:tcW w:w="1460" w:type="dxa"/>
            <w:vAlign w:val="bottom"/>
            <w:shd w:val="clear" w:color="auto" w:fill="CCE2F1"/>
          </w:tcPr>
          <w:p>
            <w:pPr>
              <w:jc w:val="right"/>
              <w:ind w:right="48"/>
              <w:spacing w:after="0"/>
              <w:rPr>
                <w:sz w:val="20"/>
                <w:szCs w:val="20"/>
                <w:color w:val="auto"/>
              </w:rPr>
            </w:pPr>
            <w:r>
              <w:rPr>
                <w:rFonts w:ascii="Arial" w:cs="Arial" w:eastAsia="Arial" w:hAnsi="Arial"/>
                <w:sz w:val="14"/>
                <w:szCs w:val="14"/>
                <w:color w:val="auto"/>
              </w:rPr>
              <w:t>17,327,411</w:t>
            </w:r>
          </w:p>
        </w:tc>
        <w:tc>
          <w:tcPr>
            <w:tcW w:w="0" w:type="dxa"/>
            <w:vAlign w:val="bottom"/>
          </w:tcPr>
          <w:p>
            <w:pPr>
              <w:spacing w:after="0"/>
              <w:rPr>
                <w:sz w:val="1"/>
                <w:szCs w:val="1"/>
                <w:color w:val="auto"/>
              </w:rPr>
            </w:pPr>
          </w:p>
        </w:tc>
      </w:tr>
      <w:tr>
        <w:trPr>
          <w:trHeight w:val="165"/>
        </w:trPr>
        <w:tc>
          <w:tcPr>
            <w:tcW w:w="1140" w:type="dxa"/>
            <w:vAlign w:val="bottom"/>
            <w:shd w:val="clear" w:color="auto" w:fill="CCE2F1"/>
          </w:tcPr>
          <w:p>
            <w:pPr>
              <w:spacing w:after="0"/>
              <w:rPr>
                <w:sz w:val="14"/>
                <w:szCs w:val="14"/>
                <w:color w:val="auto"/>
              </w:rPr>
            </w:pPr>
          </w:p>
        </w:tc>
        <w:tc>
          <w:tcPr>
            <w:tcW w:w="1080" w:type="dxa"/>
            <w:vAlign w:val="bottom"/>
            <w:shd w:val="clear" w:color="auto" w:fill="CCE2F1"/>
          </w:tcPr>
          <w:p>
            <w:pPr>
              <w:jc w:val="right"/>
              <w:ind w:right="28"/>
              <w:spacing w:after="0"/>
              <w:rPr>
                <w:sz w:val="20"/>
                <w:szCs w:val="20"/>
                <w:color w:val="auto"/>
              </w:rPr>
            </w:pPr>
            <w:r>
              <w:rPr>
                <w:rFonts w:ascii="Arial" w:cs="Arial" w:eastAsia="Arial" w:hAnsi="Arial"/>
                <w:sz w:val="14"/>
                <w:szCs w:val="14"/>
                <w:color w:val="auto"/>
              </w:rPr>
              <w:t>33,670</w:t>
            </w:r>
          </w:p>
        </w:tc>
        <w:tc>
          <w:tcPr>
            <w:tcW w:w="1320" w:type="dxa"/>
            <w:vAlign w:val="bottom"/>
            <w:gridSpan w:val="2"/>
            <w:shd w:val="clear" w:color="auto" w:fill="CCE2F1"/>
          </w:tcPr>
          <w:p>
            <w:pPr>
              <w:jc w:val="right"/>
              <w:ind w:right="48"/>
              <w:spacing w:after="0"/>
              <w:rPr>
                <w:sz w:val="20"/>
                <w:szCs w:val="20"/>
                <w:color w:val="auto"/>
              </w:rPr>
            </w:pPr>
            <w:r>
              <w:rPr>
                <w:rFonts w:ascii="Arial" w:cs="Arial" w:eastAsia="Arial" w:hAnsi="Arial"/>
                <w:sz w:val="14"/>
                <w:szCs w:val="14"/>
                <w:color w:val="auto"/>
              </w:rPr>
              <w:t>68,361</w:t>
            </w:r>
          </w:p>
        </w:tc>
        <w:tc>
          <w:tcPr>
            <w:tcW w:w="92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236.36</w:t>
            </w:r>
          </w:p>
        </w:tc>
        <w:tc>
          <w:tcPr>
            <w:tcW w:w="96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5/5/2030</w:t>
            </w:r>
          </w:p>
        </w:tc>
        <w:tc>
          <w:tcPr>
            <w:tcW w:w="112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1560" w:type="dxa"/>
            <w:vAlign w:val="bottom"/>
            <w:shd w:val="clear" w:color="auto" w:fill="CCE2F1"/>
          </w:tcPr>
          <w:p>
            <w:pPr>
              <w:jc w:val="right"/>
              <w:ind w:right="10"/>
              <w:spacing w:after="0" w:line="165" w:lineRule="exact"/>
              <w:rPr>
                <w:sz w:val="20"/>
                <w:szCs w:val="20"/>
                <w:color w:val="auto"/>
              </w:rPr>
            </w:pPr>
            <w:r>
              <w:rPr>
                <w:rFonts w:ascii="Arial" w:cs="Arial" w:eastAsia="Arial" w:hAnsi="Arial"/>
                <w:sz w:val="13"/>
                <w:szCs w:val="13"/>
                <w:color w:val="auto"/>
              </w:rPr>
              <w:t>27,915</w:t>
            </w:r>
            <w:r>
              <w:rPr>
                <w:rFonts w:ascii="Arial" w:cs="Arial" w:eastAsia="Arial" w:hAnsi="Arial"/>
                <w:sz w:val="19"/>
                <w:szCs w:val="19"/>
                <w:color w:val="auto"/>
                <w:vertAlign w:val="superscript"/>
              </w:rPr>
              <w:t>(6)</w:t>
            </w:r>
          </w:p>
        </w:tc>
        <w:tc>
          <w:tcPr>
            <w:tcW w:w="1460" w:type="dxa"/>
            <w:vAlign w:val="bottom"/>
            <w:shd w:val="clear" w:color="auto" w:fill="CCE2F1"/>
          </w:tcPr>
          <w:p>
            <w:pPr>
              <w:jc w:val="right"/>
              <w:ind w:right="48"/>
              <w:spacing w:after="0"/>
              <w:rPr>
                <w:sz w:val="20"/>
                <w:szCs w:val="20"/>
                <w:color w:val="auto"/>
              </w:rPr>
            </w:pPr>
            <w:r>
              <w:rPr>
                <w:rFonts w:ascii="Arial" w:cs="Arial" w:eastAsia="Arial" w:hAnsi="Arial"/>
                <w:sz w:val="14"/>
                <w:szCs w:val="14"/>
                <w:color w:val="auto"/>
              </w:rPr>
              <w:t>7,331,596</w:t>
            </w:r>
          </w:p>
        </w:tc>
        <w:tc>
          <w:tcPr>
            <w:tcW w:w="0" w:type="dxa"/>
            <w:vAlign w:val="bottom"/>
          </w:tcPr>
          <w:p>
            <w:pPr>
              <w:spacing w:after="0"/>
              <w:rPr>
                <w:sz w:val="1"/>
                <w:szCs w:val="1"/>
                <w:color w:val="auto"/>
              </w:rPr>
            </w:pPr>
          </w:p>
        </w:tc>
      </w:tr>
      <w:tr>
        <w:trPr>
          <w:trHeight w:val="162"/>
        </w:trPr>
        <w:tc>
          <w:tcPr>
            <w:tcW w:w="1140" w:type="dxa"/>
            <w:vAlign w:val="bottom"/>
            <w:shd w:val="clear" w:color="auto" w:fill="CCE2F1"/>
          </w:tcPr>
          <w:p>
            <w:pPr>
              <w:spacing w:after="0"/>
              <w:rPr>
                <w:sz w:val="14"/>
                <w:szCs w:val="14"/>
                <w:color w:val="auto"/>
              </w:rPr>
            </w:pPr>
          </w:p>
        </w:tc>
        <w:tc>
          <w:tcPr>
            <w:tcW w:w="1080" w:type="dxa"/>
            <w:vAlign w:val="bottom"/>
            <w:shd w:val="clear" w:color="auto" w:fill="CCE2F1"/>
          </w:tcPr>
          <w:p>
            <w:pPr>
              <w:jc w:val="right"/>
              <w:ind w:right="28"/>
              <w:spacing w:after="0"/>
              <w:rPr>
                <w:sz w:val="20"/>
                <w:szCs w:val="20"/>
                <w:color w:val="auto"/>
              </w:rPr>
            </w:pPr>
            <w:r>
              <w:rPr>
                <w:rFonts w:ascii="Arial" w:cs="Arial" w:eastAsia="Arial" w:hAnsi="Arial"/>
                <w:sz w:val="14"/>
                <w:szCs w:val="14"/>
                <w:color w:val="auto"/>
              </w:rPr>
              <w:t>90,974</w:t>
            </w:r>
          </w:p>
        </w:tc>
        <w:tc>
          <w:tcPr>
            <w:tcW w:w="1320" w:type="dxa"/>
            <w:vAlign w:val="bottom"/>
            <w:gridSpan w:val="2"/>
            <w:shd w:val="clear" w:color="auto" w:fill="CCE2F1"/>
          </w:tcPr>
          <w:p>
            <w:pPr>
              <w:jc w:val="right"/>
              <w:ind w:right="48"/>
              <w:spacing w:after="0"/>
              <w:rPr>
                <w:sz w:val="20"/>
                <w:szCs w:val="20"/>
                <w:color w:val="auto"/>
              </w:rPr>
            </w:pPr>
            <w:r>
              <w:rPr>
                <w:rFonts w:ascii="Arial" w:cs="Arial" w:eastAsia="Arial" w:hAnsi="Arial"/>
                <w:sz w:val="14"/>
                <w:szCs w:val="14"/>
                <w:color w:val="auto"/>
              </w:rPr>
              <w:t>46,866</w:t>
            </w:r>
          </w:p>
        </w:tc>
        <w:tc>
          <w:tcPr>
            <w:tcW w:w="92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177.31</w:t>
            </w:r>
          </w:p>
        </w:tc>
        <w:tc>
          <w:tcPr>
            <w:tcW w:w="96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5/3/2029</w:t>
            </w:r>
          </w:p>
        </w:tc>
        <w:tc>
          <w:tcPr>
            <w:tcW w:w="112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156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CCE2F1"/>
          </w:tcPr>
          <w:p>
            <w:pPr>
              <w:spacing w:after="0"/>
              <w:rPr>
                <w:sz w:val="14"/>
                <w:szCs w:val="14"/>
                <w:color w:val="auto"/>
              </w:rPr>
            </w:pPr>
          </w:p>
        </w:tc>
        <w:tc>
          <w:tcPr>
            <w:tcW w:w="1080" w:type="dxa"/>
            <w:vAlign w:val="bottom"/>
            <w:shd w:val="clear" w:color="auto" w:fill="CCE2F1"/>
          </w:tcPr>
          <w:p>
            <w:pPr>
              <w:jc w:val="right"/>
              <w:ind w:right="28"/>
              <w:spacing w:after="0"/>
              <w:rPr>
                <w:sz w:val="20"/>
                <w:szCs w:val="20"/>
                <w:color w:val="auto"/>
              </w:rPr>
            </w:pPr>
            <w:r>
              <w:rPr>
                <w:rFonts w:ascii="Arial" w:cs="Arial" w:eastAsia="Arial" w:hAnsi="Arial"/>
                <w:sz w:val="14"/>
                <w:szCs w:val="14"/>
                <w:color w:val="auto"/>
              </w:rPr>
              <w:t>108,444</w:t>
            </w:r>
          </w:p>
        </w:tc>
        <w:tc>
          <w:tcPr>
            <w:tcW w:w="1320" w:type="dxa"/>
            <w:vAlign w:val="bottom"/>
            <w:gridSpan w:val="2"/>
            <w:shd w:val="clear" w:color="auto" w:fill="CCE2F1"/>
          </w:tcPr>
          <w:p>
            <w:pPr>
              <w:jc w:val="right"/>
              <w:ind w:right="48"/>
              <w:spacing w:after="0"/>
              <w:rPr>
                <w:sz w:val="20"/>
                <w:szCs w:val="20"/>
                <w:color w:val="auto"/>
              </w:rPr>
            </w:pPr>
            <w:r>
              <w:rPr>
                <w:rFonts w:ascii="Arial" w:cs="Arial" w:eastAsia="Arial" w:hAnsi="Arial"/>
                <w:sz w:val="14"/>
                <w:szCs w:val="14"/>
                <w:color w:val="auto"/>
              </w:rPr>
              <w:t>0</w:t>
            </w:r>
          </w:p>
        </w:tc>
        <w:tc>
          <w:tcPr>
            <w:tcW w:w="92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177.46</w:t>
            </w:r>
          </w:p>
        </w:tc>
        <w:tc>
          <w:tcPr>
            <w:tcW w:w="96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4/27/2028</w:t>
            </w:r>
          </w:p>
        </w:tc>
        <w:tc>
          <w:tcPr>
            <w:tcW w:w="112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156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CCE2F1"/>
          </w:tcPr>
          <w:p>
            <w:pPr>
              <w:spacing w:after="0"/>
              <w:rPr>
                <w:sz w:val="14"/>
                <w:szCs w:val="14"/>
                <w:color w:val="auto"/>
              </w:rPr>
            </w:pPr>
          </w:p>
        </w:tc>
        <w:tc>
          <w:tcPr>
            <w:tcW w:w="1080" w:type="dxa"/>
            <w:vAlign w:val="bottom"/>
            <w:shd w:val="clear" w:color="auto" w:fill="CCE2F1"/>
          </w:tcPr>
          <w:p>
            <w:pPr>
              <w:jc w:val="right"/>
              <w:ind w:right="28"/>
              <w:spacing w:after="0"/>
              <w:rPr>
                <w:sz w:val="20"/>
                <w:szCs w:val="20"/>
                <w:color w:val="auto"/>
              </w:rPr>
            </w:pPr>
            <w:r>
              <w:rPr>
                <w:rFonts w:ascii="Arial" w:cs="Arial" w:eastAsia="Arial" w:hAnsi="Arial"/>
                <w:sz w:val="14"/>
                <w:szCs w:val="14"/>
                <w:color w:val="auto"/>
              </w:rPr>
              <w:t>130,718</w:t>
            </w:r>
          </w:p>
        </w:tc>
        <w:tc>
          <w:tcPr>
            <w:tcW w:w="200" w:type="dxa"/>
            <w:vAlign w:val="bottom"/>
            <w:shd w:val="clear" w:color="auto" w:fill="CCE2F1"/>
          </w:tcPr>
          <w:p>
            <w:pPr>
              <w:spacing w:after="0"/>
              <w:rPr>
                <w:sz w:val="14"/>
                <w:szCs w:val="14"/>
                <w:color w:val="auto"/>
              </w:rPr>
            </w:pPr>
          </w:p>
        </w:tc>
        <w:tc>
          <w:tcPr>
            <w:tcW w:w="1120" w:type="dxa"/>
            <w:vAlign w:val="bottom"/>
            <w:shd w:val="clear" w:color="auto" w:fill="CCE2F1"/>
          </w:tcPr>
          <w:p>
            <w:pPr>
              <w:jc w:val="right"/>
              <w:ind w:right="48"/>
              <w:spacing w:after="0"/>
              <w:rPr>
                <w:sz w:val="20"/>
                <w:szCs w:val="20"/>
                <w:color w:val="auto"/>
              </w:rPr>
            </w:pPr>
            <w:r>
              <w:rPr>
                <w:rFonts w:ascii="Arial" w:cs="Arial" w:eastAsia="Arial" w:hAnsi="Arial"/>
                <w:sz w:val="14"/>
                <w:szCs w:val="14"/>
                <w:color w:val="auto"/>
              </w:rPr>
              <w:t>0</w:t>
            </w:r>
          </w:p>
        </w:tc>
        <w:tc>
          <w:tcPr>
            <w:tcW w:w="92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162.60</w:t>
            </w:r>
          </w:p>
        </w:tc>
        <w:tc>
          <w:tcPr>
            <w:tcW w:w="96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5/1/2027</w:t>
            </w:r>
          </w:p>
        </w:tc>
        <w:tc>
          <w:tcPr>
            <w:tcW w:w="112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156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CCE2F1"/>
          </w:tcPr>
          <w:p>
            <w:pPr>
              <w:spacing w:after="0"/>
              <w:rPr>
                <w:sz w:val="14"/>
                <w:szCs w:val="14"/>
                <w:color w:val="auto"/>
              </w:rPr>
            </w:pPr>
          </w:p>
        </w:tc>
        <w:tc>
          <w:tcPr>
            <w:tcW w:w="1080" w:type="dxa"/>
            <w:vAlign w:val="bottom"/>
            <w:shd w:val="clear" w:color="auto" w:fill="CCE2F1"/>
          </w:tcPr>
          <w:p>
            <w:pPr>
              <w:jc w:val="right"/>
              <w:ind w:right="28"/>
              <w:spacing w:after="0"/>
              <w:rPr>
                <w:sz w:val="20"/>
                <w:szCs w:val="20"/>
                <w:color w:val="auto"/>
              </w:rPr>
            </w:pPr>
            <w:r>
              <w:rPr>
                <w:rFonts w:ascii="Arial" w:cs="Arial" w:eastAsia="Arial" w:hAnsi="Arial"/>
                <w:sz w:val="14"/>
                <w:szCs w:val="14"/>
                <w:color w:val="auto"/>
              </w:rPr>
              <w:t>119,782</w:t>
            </w:r>
          </w:p>
        </w:tc>
        <w:tc>
          <w:tcPr>
            <w:tcW w:w="200" w:type="dxa"/>
            <w:vAlign w:val="bottom"/>
            <w:shd w:val="clear" w:color="auto" w:fill="CCE2F1"/>
          </w:tcPr>
          <w:p>
            <w:pPr>
              <w:spacing w:after="0"/>
              <w:rPr>
                <w:sz w:val="14"/>
                <w:szCs w:val="14"/>
                <w:color w:val="auto"/>
              </w:rPr>
            </w:pPr>
          </w:p>
        </w:tc>
        <w:tc>
          <w:tcPr>
            <w:tcW w:w="1120" w:type="dxa"/>
            <w:vAlign w:val="bottom"/>
            <w:shd w:val="clear" w:color="auto" w:fill="CCE2F1"/>
          </w:tcPr>
          <w:p>
            <w:pPr>
              <w:jc w:val="right"/>
              <w:ind w:right="48"/>
              <w:spacing w:after="0"/>
              <w:rPr>
                <w:sz w:val="20"/>
                <w:szCs w:val="20"/>
                <w:color w:val="auto"/>
              </w:rPr>
            </w:pPr>
            <w:r>
              <w:rPr>
                <w:rFonts w:ascii="Arial" w:cs="Arial" w:eastAsia="Arial" w:hAnsi="Arial"/>
                <w:sz w:val="14"/>
                <w:szCs w:val="14"/>
                <w:color w:val="auto"/>
              </w:rPr>
              <w:t>0</w:t>
            </w:r>
          </w:p>
        </w:tc>
        <w:tc>
          <w:tcPr>
            <w:tcW w:w="92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156.35</w:t>
            </w:r>
          </w:p>
        </w:tc>
        <w:tc>
          <w:tcPr>
            <w:tcW w:w="96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5/3/2026</w:t>
            </w:r>
          </w:p>
        </w:tc>
        <w:tc>
          <w:tcPr>
            <w:tcW w:w="112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156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140" w:type="dxa"/>
            <w:vAlign w:val="bottom"/>
          </w:tcPr>
          <w:p>
            <w:pPr>
              <w:ind w:left="80"/>
              <w:spacing w:after="0"/>
              <w:rPr>
                <w:sz w:val="20"/>
                <w:szCs w:val="20"/>
                <w:color w:val="auto"/>
              </w:rPr>
            </w:pPr>
            <w:r>
              <w:rPr>
                <w:rFonts w:ascii="Arial" w:cs="Arial" w:eastAsia="Arial" w:hAnsi="Arial"/>
                <w:sz w:val="14"/>
                <w:szCs w:val="14"/>
                <w:color w:val="auto"/>
              </w:rPr>
              <w:t>Murdo</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60" w:type="dxa"/>
            <w:vAlign w:val="bottom"/>
            <w:vMerge w:val="restart"/>
          </w:tcPr>
          <w:p>
            <w:pPr>
              <w:jc w:val="right"/>
              <w:ind w:right="10"/>
              <w:spacing w:after="0"/>
              <w:rPr>
                <w:sz w:val="20"/>
                <w:szCs w:val="20"/>
                <w:color w:val="auto"/>
              </w:rPr>
            </w:pPr>
            <w:r>
              <w:rPr>
                <w:rFonts w:ascii="Arial" w:cs="Arial" w:eastAsia="Arial" w:hAnsi="Arial"/>
                <w:sz w:val="14"/>
                <w:szCs w:val="14"/>
                <w:color w:val="auto"/>
              </w:rPr>
              <w:t>20,662</w:t>
            </w:r>
            <w:r>
              <w:rPr>
                <w:rFonts w:ascii="Arial" w:cs="Arial" w:eastAsia="Arial" w:hAnsi="Arial"/>
                <w:sz w:val="21"/>
                <w:szCs w:val="21"/>
                <w:color w:val="auto"/>
                <w:vertAlign w:val="superscript"/>
              </w:rPr>
              <w:t>(4)</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140" w:type="dxa"/>
            <w:vAlign w:val="bottom"/>
          </w:tcPr>
          <w:p>
            <w:pPr>
              <w:ind w:left="140"/>
              <w:spacing w:after="0" w:line="154" w:lineRule="exact"/>
              <w:rPr>
                <w:sz w:val="20"/>
                <w:szCs w:val="20"/>
                <w:color w:val="auto"/>
              </w:rPr>
            </w:pPr>
            <w:r>
              <w:rPr>
                <w:rFonts w:ascii="Arial" w:cs="Arial" w:eastAsia="Arial" w:hAnsi="Arial"/>
                <w:sz w:val="14"/>
                <w:szCs w:val="14"/>
                <w:color w:val="auto"/>
              </w:rPr>
              <w:t>Gordon</w:t>
            </w:r>
          </w:p>
        </w:tc>
        <w:tc>
          <w:tcPr>
            <w:tcW w:w="1080" w:type="dxa"/>
            <w:vAlign w:val="bottom"/>
          </w:tcPr>
          <w:p>
            <w:pPr>
              <w:jc w:val="right"/>
              <w:ind w:right="28"/>
              <w:spacing w:after="0" w:line="154" w:lineRule="exact"/>
              <w:rPr>
                <w:sz w:val="20"/>
                <w:szCs w:val="20"/>
                <w:color w:val="auto"/>
              </w:rPr>
            </w:pPr>
            <w:r>
              <w:rPr>
                <w:rFonts w:ascii="Arial" w:cs="Arial" w:eastAsia="Arial" w:hAnsi="Arial"/>
                <w:sz w:val="14"/>
                <w:szCs w:val="14"/>
                <w:color w:val="auto"/>
              </w:rPr>
              <w:t>0</w:t>
            </w:r>
          </w:p>
        </w:tc>
        <w:tc>
          <w:tcPr>
            <w:tcW w:w="1320" w:type="dxa"/>
            <w:vAlign w:val="bottom"/>
            <w:gridSpan w:val="2"/>
          </w:tcPr>
          <w:p>
            <w:pPr>
              <w:jc w:val="right"/>
              <w:ind w:right="48"/>
              <w:spacing w:after="0" w:line="154" w:lineRule="exact"/>
              <w:rPr>
                <w:sz w:val="20"/>
                <w:szCs w:val="20"/>
                <w:color w:val="auto"/>
              </w:rPr>
            </w:pPr>
            <w:r>
              <w:rPr>
                <w:rFonts w:ascii="Arial" w:cs="Arial" w:eastAsia="Arial" w:hAnsi="Arial"/>
                <w:sz w:val="14"/>
                <w:szCs w:val="14"/>
                <w:color w:val="auto"/>
              </w:rPr>
              <w:t>35,352</w:t>
            </w:r>
          </w:p>
        </w:tc>
        <w:tc>
          <w:tcPr>
            <w:tcW w:w="920" w:type="dxa"/>
            <w:vAlign w:val="bottom"/>
          </w:tcPr>
          <w:p>
            <w:pPr>
              <w:jc w:val="right"/>
              <w:ind w:right="68"/>
              <w:spacing w:after="0" w:line="154" w:lineRule="exact"/>
              <w:rPr>
                <w:sz w:val="20"/>
                <w:szCs w:val="20"/>
                <w:color w:val="auto"/>
              </w:rPr>
            </w:pPr>
            <w:r>
              <w:rPr>
                <w:rFonts w:ascii="Arial" w:cs="Arial" w:eastAsia="Arial" w:hAnsi="Arial"/>
                <w:sz w:val="14"/>
                <w:szCs w:val="14"/>
                <w:color w:val="auto"/>
              </w:rPr>
              <w:t>230.92</w:t>
            </w:r>
          </w:p>
        </w:tc>
        <w:tc>
          <w:tcPr>
            <w:tcW w:w="960" w:type="dxa"/>
            <w:vAlign w:val="bottom"/>
          </w:tcPr>
          <w:p>
            <w:pPr>
              <w:jc w:val="right"/>
              <w:ind w:right="68"/>
              <w:spacing w:after="0" w:line="154" w:lineRule="exact"/>
              <w:rPr>
                <w:sz w:val="20"/>
                <w:szCs w:val="20"/>
                <w:color w:val="auto"/>
              </w:rPr>
            </w:pPr>
            <w:r>
              <w:rPr>
                <w:rFonts w:ascii="Arial" w:cs="Arial" w:eastAsia="Arial" w:hAnsi="Arial"/>
                <w:sz w:val="14"/>
                <w:szCs w:val="14"/>
                <w:color w:val="auto"/>
              </w:rPr>
              <w:t>5/2/2032</w:t>
            </w:r>
          </w:p>
        </w:tc>
        <w:tc>
          <w:tcPr>
            <w:tcW w:w="1120" w:type="dxa"/>
            <w:vAlign w:val="bottom"/>
          </w:tcPr>
          <w:p>
            <w:pPr>
              <w:jc w:val="right"/>
              <w:ind w:right="68"/>
              <w:spacing w:after="0" w:line="154" w:lineRule="exact"/>
              <w:rPr>
                <w:sz w:val="20"/>
                <w:szCs w:val="20"/>
                <w:color w:val="auto"/>
              </w:rPr>
            </w:pPr>
            <w:r>
              <w:rPr>
                <w:rFonts w:ascii="Arial" w:cs="Arial" w:eastAsia="Arial" w:hAnsi="Arial"/>
                <w:sz w:val="14"/>
                <w:szCs w:val="14"/>
                <w:color w:val="auto"/>
              </w:rPr>
              <w:t>13,074</w:t>
            </w:r>
          </w:p>
        </w:tc>
        <w:tc>
          <w:tcPr>
            <w:tcW w:w="1460" w:type="dxa"/>
            <w:vAlign w:val="bottom"/>
          </w:tcPr>
          <w:p>
            <w:pPr>
              <w:jc w:val="right"/>
              <w:ind w:right="48"/>
              <w:spacing w:after="0" w:line="154" w:lineRule="exact"/>
              <w:rPr>
                <w:sz w:val="20"/>
                <w:szCs w:val="20"/>
                <w:color w:val="auto"/>
              </w:rPr>
            </w:pPr>
            <w:r>
              <w:rPr>
                <w:rFonts w:ascii="Arial" w:cs="Arial" w:eastAsia="Arial" w:hAnsi="Arial"/>
                <w:sz w:val="14"/>
                <w:szCs w:val="14"/>
                <w:color w:val="auto"/>
              </w:rPr>
              <w:t>3,433,755</w:t>
            </w:r>
          </w:p>
        </w:tc>
        <w:tc>
          <w:tcPr>
            <w:tcW w:w="1560" w:type="dxa"/>
            <w:vAlign w:val="bottom"/>
            <w:vMerge w:val="continue"/>
          </w:tcPr>
          <w:p>
            <w:pPr>
              <w:spacing w:after="0"/>
              <w:rPr>
                <w:sz w:val="13"/>
                <w:szCs w:val="13"/>
                <w:color w:val="auto"/>
              </w:rPr>
            </w:pPr>
          </w:p>
        </w:tc>
        <w:tc>
          <w:tcPr>
            <w:tcW w:w="1460" w:type="dxa"/>
            <w:vAlign w:val="bottom"/>
          </w:tcPr>
          <w:p>
            <w:pPr>
              <w:jc w:val="right"/>
              <w:ind w:right="48"/>
              <w:spacing w:after="0" w:line="154" w:lineRule="exact"/>
              <w:rPr>
                <w:sz w:val="20"/>
                <w:szCs w:val="20"/>
                <w:color w:val="auto"/>
              </w:rPr>
            </w:pPr>
            <w:r>
              <w:rPr>
                <w:rFonts w:ascii="Arial" w:cs="Arial" w:eastAsia="Arial" w:hAnsi="Arial"/>
                <w:sz w:val="14"/>
                <w:szCs w:val="14"/>
                <w:color w:val="auto"/>
              </w:rPr>
              <w:t>5,426,668</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320" w:type="dxa"/>
            <w:vAlign w:val="bottom"/>
            <w:gridSpan w:val="2"/>
          </w:tcPr>
          <w:p>
            <w:pPr>
              <w:jc w:val="right"/>
              <w:ind w:right="48"/>
              <w:spacing w:after="0"/>
              <w:rPr>
                <w:sz w:val="20"/>
                <w:szCs w:val="20"/>
                <w:color w:val="auto"/>
              </w:rPr>
            </w:pPr>
            <w:r>
              <w:rPr>
                <w:rFonts w:ascii="Arial" w:cs="Arial" w:eastAsia="Arial" w:hAnsi="Arial"/>
                <w:sz w:val="14"/>
                <w:szCs w:val="14"/>
                <w:color w:val="auto"/>
              </w:rPr>
              <w:t>36,231</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239.64</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4/30/2031</w:t>
            </w: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60" w:type="dxa"/>
            <w:vAlign w:val="bottom"/>
          </w:tcPr>
          <w:p>
            <w:pPr>
              <w:jc w:val="right"/>
              <w:ind w:right="10"/>
              <w:spacing w:after="0" w:line="162" w:lineRule="exact"/>
              <w:rPr>
                <w:sz w:val="20"/>
                <w:szCs w:val="20"/>
                <w:color w:val="auto"/>
              </w:rPr>
            </w:pPr>
            <w:r>
              <w:rPr>
                <w:rFonts w:ascii="Arial" w:cs="Arial" w:eastAsia="Arial" w:hAnsi="Arial"/>
                <w:sz w:val="13"/>
                <w:szCs w:val="13"/>
                <w:color w:val="auto"/>
              </w:rPr>
              <w:t>20,730</w:t>
            </w:r>
            <w:r>
              <w:rPr>
                <w:rFonts w:ascii="Arial" w:cs="Arial" w:eastAsia="Arial" w:hAnsi="Arial"/>
                <w:sz w:val="18"/>
                <w:szCs w:val="18"/>
                <w:color w:val="auto"/>
                <w:vertAlign w:val="superscript"/>
              </w:rPr>
              <w:t>(5)</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5,444,527</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9,586</w:t>
            </w:r>
          </w:p>
        </w:tc>
        <w:tc>
          <w:tcPr>
            <w:tcW w:w="1320" w:type="dxa"/>
            <w:vAlign w:val="bottom"/>
            <w:gridSpan w:val="2"/>
          </w:tcPr>
          <w:p>
            <w:pPr>
              <w:jc w:val="right"/>
              <w:ind w:right="48"/>
              <w:spacing w:after="0"/>
              <w:rPr>
                <w:sz w:val="20"/>
                <w:szCs w:val="20"/>
                <w:color w:val="auto"/>
              </w:rPr>
            </w:pPr>
            <w:r>
              <w:rPr>
                <w:rFonts w:ascii="Arial" w:cs="Arial" w:eastAsia="Arial" w:hAnsi="Arial"/>
                <w:sz w:val="14"/>
                <w:szCs w:val="14"/>
                <w:color w:val="auto"/>
              </w:rPr>
              <w:t>19,464</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236.36</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5/5/2030</w:t>
            </w: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60" w:type="dxa"/>
            <w:vAlign w:val="bottom"/>
          </w:tcPr>
          <w:p>
            <w:pPr>
              <w:jc w:val="right"/>
              <w:ind w:right="10"/>
              <w:spacing w:after="0" w:line="170" w:lineRule="exact"/>
              <w:rPr>
                <w:sz w:val="20"/>
                <w:szCs w:val="20"/>
                <w:color w:val="auto"/>
              </w:rPr>
            </w:pPr>
            <w:r>
              <w:rPr>
                <w:rFonts w:ascii="Arial" w:cs="Arial" w:eastAsia="Arial" w:hAnsi="Arial"/>
                <w:sz w:val="13"/>
                <w:szCs w:val="13"/>
                <w:color w:val="auto"/>
              </w:rPr>
              <w:t>7,947</w:t>
            </w:r>
            <w:r>
              <w:rPr>
                <w:rFonts w:ascii="Arial" w:cs="Arial" w:eastAsia="Arial" w:hAnsi="Arial"/>
                <w:sz w:val="19"/>
                <w:szCs w:val="19"/>
                <w:color w:val="auto"/>
                <w:vertAlign w:val="superscript"/>
              </w:rPr>
              <w:t>(6)</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2,087,200</w:t>
            </w: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25,992</w:t>
            </w:r>
          </w:p>
        </w:tc>
        <w:tc>
          <w:tcPr>
            <w:tcW w:w="1320" w:type="dxa"/>
            <w:vAlign w:val="bottom"/>
            <w:gridSpan w:val="2"/>
          </w:tcPr>
          <w:p>
            <w:pPr>
              <w:jc w:val="right"/>
              <w:ind w:right="48"/>
              <w:spacing w:after="0"/>
              <w:rPr>
                <w:sz w:val="20"/>
                <w:szCs w:val="20"/>
                <w:color w:val="auto"/>
              </w:rPr>
            </w:pPr>
            <w:r>
              <w:rPr>
                <w:rFonts w:ascii="Arial" w:cs="Arial" w:eastAsia="Arial" w:hAnsi="Arial"/>
                <w:sz w:val="14"/>
                <w:szCs w:val="14"/>
                <w:color w:val="auto"/>
              </w:rPr>
              <w:t>13,390</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177.31</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5/3/2029</w:t>
            </w: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1140" w:type="dxa"/>
            <w:vAlign w:val="bottom"/>
            <w:shd w:val="clear" w:color="auto" w:fill="CCE2F1"/>
          </w:tcPr>
          <w:p>
            <w:pPr>
              <w:ind w:left="80"/>
              <w:spacing w:after="0"/>
              <w:rPr>
                <w:sz w:val="20"/>
                <w:szCs w:val="20"/>
                <w:color w:val="auto"/>
              </w:rPr>
            </w:pPr>
            <w:r>
              <w:rPr>
                <w:rFonts w:ascii="Arial" w:cs="Arial" w:eastAsia="Arial" w:hAnsi="Arial"/>
                <w:sz w:val="14"/>
                <w:szCs w:val="14"/>
                <w:color w:val="auto"/>
              </w:rPr>
              <w:t>David M.</w:t>
            </w:r>
          </w:p>
        </w:tc>
        <w:tc>
          <w:tcPr>
            <w:tcW w:w="1080" w:type="dxa"/>
            <w:vAlign w:val="bottom"/>
            <w:shd w:val="clear" w:color="auto" w:fill="CCE2F1"/>
          </w:tcPr>
          <w:p>
            <w:pPr>
              <w:spacing w:after="0"/>
              <w:rPr>
                <w:sz w:val="19"/>
                <w:szCs w:val="19"/>
                <w:color w:val="auto"/>
              </w:rPr>
            </w:pPr>
          </w:p>
        </w:tc>
        <w:tc>
          <w:tcPr>
            <w:tcW w:w="200" w:type="dxa"/>
            <w:vAlign w:val="bottom"/>
            <w:shd w:val="clear" w:color="auto" w:fill="CCE2F1"/>
          </w:tcPr>
          <w:p>
            <w:pPr>
              <w:spacing w:after="0"/>
              <w:rPr>
                <w:sz w:val="19"/>
                <w:szCs w:val="19"/>
                <w:color w:val="auto"/>
              </w:rPr>
            </w:pPr>
          </w:p>
        </w:tc>
        <w:tc>
          <w:tcPr>
            <w:tcW w:w="1120" w:type="dxa"/>
            <w:vAlign w:val="bottom"/>
            <w:shd w:val="clear" w:color="auto" w:fill="CCE2F1"/>
          </w:tcPr>
          <w:p>
            <w:pPr>
              <w:spacing w:after="0"/>
              <w:rPr>
                <w:sz w:val="19"/>
                <w:szCs w:val="19"/>
                <w:color w:val="auto"/>
              </w:rPr>
            </w:pPr>
          </w:p>
        </w:tc>
        <w:tc>
          <w:tcPr>
            <w:tcW w:w="920" w:type="dxa"/>
            <w:vAlign w:val="bottom"/>
            <w:shd w:val="clear" w:color="auto" w:fill="CCE2F1"/>
          </w:tcPr>
          <w:p>
            <w:pPr>
              <w:spacing w:after="0"/>
              <w:rPr>
                <w:sz w:val="19"/>
                <w:szCs w:val="19"/>
                <w:color w:val="auto"/>
              </w:rPr>
            </w:pPr>
          </w:p>
        </w:tc>
        <w:tc>
          <w:tcPr>
            <w:tcW w:w="960" w:type="dxa"/>
            <w:vAlign w:val="bottom"/>
            <w:shd w:val="clear" w:color="auto" w:fill="CCE2F1"/>
          </w:tcPr>
          <w:p>
            <w:pPr>
              <w:spacing w:after="0"/>
              <w:rPr>
                <w:sz w:val="19"/>
                <w:szCs w:val="19"/>
                <w:color w:val="auto"/>
              </w:rPr>
            </w:pPr>
          </w:p>
        </w:tc>
        <w:tc>
          <w:tcPr>
            <w:tcW w:w="1120" w:type="dxa"/>
            <w:vAlign w:val="bottom"/>
            <w:shd w:val="clear" w:color="auto" w:fill="CCE2F1"/>
          </w:tcPr>
          <w:p>
            <w:pPr>
              <w:spacing w:after="0"/>
              <w:rPr>
                <w:sz w:val="19"/>
                <w:szCs w:val="19"/>
                <w:color w:val="auto"/>
              </w:rPr>
            </w:pPr>
          </w:p>
        </w:tc>
        <w:tc>
          <w:tcPr>
            <w:tcW w:w="1460" w:type="dxa"/>
            <w:vAlign w:val="bottom"/>
            <w:shd w:val="clear" w:color="auto" w:fill="CCE2F1"/>
          </w:tcPr>
          <w:p>
            <w:pPr>
              <w:spacing w:after="0"/>
              <w:rPr>
                <w:sz w:val="19"/>
                <w:szCs w:val="19"/>
                <w:color w:val="auto"/>
              </w:rPr>
            </w:pPr>
          </w:p>
        </w:tc>
        <w:tc>
          <w:tcPr>
            <w:tcW w:w="1560" w:type="dxa"/>
            <w:vAlign w:val="bottom"/>
            <w:vMerge w:val="restart"/>
            <w:shd w:val="clear" w:color="auto" w:fill="CCE2F1"/>
          </w:tcPr>
          <w:p>
            <w:pPr>
              <w:jc w:val="right"/>
              <w:ind w:right="10"/>
              <w:spacing w:after="0"/>
              <w:rPr>
                <w:sz w:val="20"/>
                <w:szCs w:val="20"/>
                <w:color w:val="auto"/>
              </w:rPr>
            </w:pPr>
            <w:r>
              <w:rPr>
                <w:rFonts w:ascii="Arial" w:cs="Arial" w:eastAsia="Arial" w:hAnsi="Arial"/>
                <w:sz w:val="14"/>
                <w:szCs w:val="14"/>
                <w:color w:val="auto"/>
              </w:rPr>
              <w:t>18,596</w:t>
            </w:r>
            <w:r>
              <w:rPr>
                <w:rFonts w:ascii="Arial" w:cs="Arial" w:eastAsia="Arial" w:hAnsi="Arial"/>
                <w:sz w:val="21"/>
                <w:szCs w:val="21"/>
                <w:color w:val="auto"/>
                <w:vertAlign w:val="superscript"/>
              </w:rPr>
              <w:t>(4)</w:t>
            </w:r>
          </w:p>
        </w:tc>
        <w:tc>
          <w:tcPr>
            <w:tcW w:w="1460" w:type="dxa"/>
            <w:vAlign w:val="bottom"/>
            <w:shd w:val="clear" w:color="auto" w:fill="CCE2F1"/>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140" w:type="dxa"/>
            <w:vAlign w:val="bottom"/>
            <w:shd w:val="clear" w:color="auto" w:fill="CCE2F1"/>
          </w:tcPr>
          <w:p>
            <w:pPr>
              <w:ind w:left="140"/>
              <w:spacing w:after="0" w:line="154" w:lineRule="exact"/>
              <w:rPr>
                <w:sz w:val="20"/>
                <w:szCs w:val="20"/>
                <w:color w:val="auto"/>
              </w:rPr>
            </w:pPr>
            <w:r>
              <w:rPr>
                <w:rFonts w:ascii="Arial" w:cs="Arial" w:eastAsia="Arial" w:hAnsi="Arial"/>
                <w:sz w:val="14"/>
                <w:szCs w:val="14"/>
                <w:color w:val="auto"/>
              </w:rPr>
              <w:t>Reese</w:t>
            </w:r>
          </w:p>
        </w:tc>
        <w:tc>
          <w:tcPr>
            <w:tcW w:w="1080" w:type="dxa"/>
            <w:vAlign w:val="bottom"/>
            <w:shd w:val="clear" w:color="auto" w:fill="CCE2F1"/>
          </w:tcPr>
          <w:p>
            <w:pPr>
              <w:jc w:val="right"/>
              <w:ind w:right="28"/>
              <w:spacing w:after="0" w:line="154" w:lineRule="exact"/>
              <w:rPr>
                <w:sz w:val="20"/>
                <w:szCs w:val="20"/>
                <w:color w:val="auto"/>
              </w:rPr>
            </w:pPr>
            <w:r>
              <w:rPr>
                <w:rFonts w:ascii="Arial" w:cs="Arial" w:eastAsia="Arial" w:hAnsi="Arial"/>
                <w:sz w:val="14"/>
                <w:szCs w:val="14"/>
                <w:color w:val="auto"/>
              </w:rPr>
              <w:t>0</w:t>
            </w:r>
          </w:p>
        </w:tc>
        <w:tc>
          <w:tcPr>
            <w:tcW w:w="1320" w:type="dxa"/>
            <w:vAlign w:val="bottom"/>
            <w:gridSpan w:val="2"/>
            <w:shd w:val="clear" w:color="auto" w:fill="CCE2F1"/>
          </w:tcPr>
          <w:p>
            <w:pPr>
              <w:jc w:val="right"/>
              <w:ind w:right="48"/>
              <w:spacing w:after="0" w:line="154" w:lineRule="exact"/>
              <w:rPr>
                <w:sz w:val="20"/>
                <w:szCs w:val="20"/>
                <w:color w:val="auto"/>
              </w:rPr>
            </w:pPr>
            <w:r>
              <w:rPr>
                <w:rFonts w:ascii="Arial" w:cs="Arial" w:eastAsia="Arial" w:hAnsi="Arial"/>
                <w:sz w:val="14"/>
                <w:szCs w:val="14"/>
                <w:color w:val="auto"/>
              </w:rPr>
              <w:t>31,817</w:t>
            </w:r>
          </w:p>
        </w:tc>
        <w:tc>
          <w:tcPr>
            <w:tcW w:w="920" w:type="dxa"/>
            <w:vAlign w:val="bottom"/>
            <w:shd w:val="clear" w:color="auto" w:fill="CCE2F1"/>
          </w:tcPr>
          <w:p>
            <w:pPr>
              <w:jc w:val="right"/>
              <w:ind w:right="68"/>
              <w:spacing w:after="0" w:line="154" w:lineRule="exact"/>
              <w:rPr>
                <w:sz w:val="20"/>
                <w:szCs w:val="20"/>
                <w:color w:val="auto"/>
              </w:rPr>
            </w:pPr>
            <w:r>
              <w:rPr>
                <w:rFonts w:ascii="Arial" w:cs="Arial" w:eastAsia="Arial" w:hAnsi="Arial"/>
                <w:sz w:val="14"/>
                <w:szCs w:val="14"/>
                <w:color w:val="auto"/>
              </w:rPr>
              <w:t>230.92</w:t>
            </w:r>
          </w:p>
        </w:tc>
        <w:tc>
          <w:tcPr>
            <w:tcW w:w="960" w:type="dxa"/>
            <w:vAlign w:val="bottom"/>
            <w:shd w:val="clear" w:color="auto" w:fill="CCE2F1"/>
          </w:tcPr>
          <w:p>
            <w:pPr>
              <w:jc w:val="right"/>
              <w:ind w:right="68"/>
              <w:spacing w:after="0" w:line="154" w:lineRule="exact"/>
              <w:rPr>
                <w:sz w:val="20"/>
                <w:szCs w:val="20"/>
                <w:color w:val="auto"/>
              </w:rPr>
            </w:pPr>
            <w:r>
              <w:rPr>
                <w:rFonts w:ascii="Arial" w:cs="Arial" w:eastAsia="Arial" w:hAnsi="Arial"/>
                <w:sz w:val="14"/>
                <w:szCs w:val="14"/>
                <w:color w:val="auto"/>
              </w:rPr>
              <w:t>5/2/2032</w:t>
            </w:r>
          </w:p>
        </w:tc>
        <w:tc>
          <w:tcPr>
            <w:tcW w:w="1120" w:type="dxa"/>
            <w:vAlign w:val="bottom"/>
            <w:shd w:val="clear" w:color="auto" w:fill="CCE2F1"/>
          </w:tcPr>
          <w:p>
            <w:pPr>
              <w:jc w:val="right"/>
              <w:ind w:right="68"/>
              <w:spacing w:after="0" w:line="154" w:lineRule="exact"/>
              <w:rPr>
                <w:sz w:val="20"/>
                <w:szCs w:val="20"/>
                <w:color w:val="auto"/>
              </w:rPr>
            </w:pPr>
            <w:r>
              <w:rPr>
                <w:rFonts w:ascii="Arial" w:cs="Arial" w:eastAsia="Arial" w:hAnsi="Arial"/>
                <w:sz w:val="14"/>
                <w:szCs w:val="14"/>
                <w:color w:val="auto"/>
              </w:rPr>
              <w:t>12,456</w:t>
            </w:r>
          </w:p>
        </w:tc>
        <w:tc>
          <w:tcPr>
            <w:tcW w:w="1460" w:type="dxa"/>
            <w:vAlign w:val="bottom"/>
            <w:shd w:val="clear" w:color="auto" w:fill="CCE2F1"/>
          </w:tcPr>
          <w:p>
            <w:pPr>
              <w:jc w:val="right"/>
              <w:ind w:right="48"/>
              <w:spacing w:after="0" w:line="154" w:lineRule="exact"/>
              <w:rPr>
                <w:sz w:val="20"/>
                <w:szCs w:val="20"/>
                <w:color w:val="auto"/>
              </w:rPr>
            </w:pPr>
            <w:r>
              <w:rPr>
                <w:rFonts w:ascii="Arial" w:cs="Arial" w:eastAsia="Arial" w:hAnsi="Arial"/>
                <w:sz w:val="14"/>
                <w:szCs w:val="14"/>
                <w:color w:val="auto"/>
              </w:rPr>
              <w:t>3,271,444</w:t>
            </w:r>
          </w:p>
        </w:tc>
        <w:tc>
          <w:tcPr>
            <w:tcW w:w="1560" w:type="dxa"/>
            <w:vAlign w:val="bottom"/>
            <w:vMerge w:val="continue"/>
            <w:shd w:val="clear" w:color="auto" w:fill="CCE2F1"/>
          </w:tcPr>
          <w:p>
            <w:pPr>
              <w:spacing w:after="0"/>
              <w:rPr>
                <w:sz w:val="13"/>
                <w:szCs w:val="13"/>
                <w:color w:val="auto"/>
              </w:rPr>
            </w:pPr>
          </w:p>
        </w:tc>
        <w:tc>
          <w:tcPr>
            <w:tcW w:w="1460" w:type="dxa"/>
            <w:vAlign w:val="bottom"/>
            <w:shd w:val="clear" w:color="auto" w:fill="CCE2F1"/>
          </w:tcPr>
          <w:p>
            <w:pPr>
              <w:jc w:val="right"/>
              <w:ind w:right="48"/>
              <w:spacing w:after="0" w:line="154" w:lineRule="exact"/>
              <w:rPr>
                <w:sz w:val="20"/>
                <w:szCs w:val="20"/>
                <w:color w:val="auto"/>
              </w:rPr>
            </w:pPr>
            <w:r>
              <w:rPr>
                <w:rFonts w:ascii="Arial" w:cs="Arial" w:eastAsia="Arial" w:hAnsi="Arial"/>
                <w:sz w:val="14"/>
                <w:szCs w:val="14"/>
                <w:color w:val="auto"/>
              </w:rPr>
              <w:t>4,884,053</w:t>
            </w:r>
          </w:p>
        </w:tc>
        <w:tc>
          <w:tcPr>
            <w:tcW w:w="0" w:type="dxa"/>
            <w:vAlign w:val="bottom"/>
          </w:tcPr>
          <w:p>
            <w:pPr>
              <w:spacing w:after="0"/>
              <w:rPr>
                <w:sz w:val="1"/>
                <w:szCs w:val="1"/>
                <w:color w:val="auto"/>
              </w:rPr>
            </w:pPr>
          </w:p>
        </w:tc>
      </w:tr>
      <w:tr>
        <w:trPr>
          <w:trHeight w:val="162"/>
        </w:trPr>
        <w:tc>
          <w:tcPr>
            <w:tcW w:w="1140" w:type="dxa"/>
            <w:vAlign w:val="bottom"/>
            <w:shd w:val="clear" w:color="auto" w:fill="CCE2F1"/>
          </w:tcPr>
          <w:p>
            <w:pPr>
              <w:spacing w:after="0"/>
              <w:rPr>
                <w:sz w:val="14"/>
                <w:szCs w:val="14"/>
                <w:color w:val="auto"/>
              </w:rPr>
            </w:pPr>
          </w:p>
        </w:tc>
        <w:tc>
          <w:tcPr>
            <w:tcW w:w="1080" w:type="dxa"/>
            <w:vAlign w:val="bottom"/>
            <w:shd w:val="clear" w:color="auto" w:fill="CCE2F1"/>
          </w:tcPr>
          <w:p>
            <w:pPr>
              <w:jc w:val="right"/>
              <w:ind w:right="28"/>
              <w:spacing w:after="0"/>
              <w:rPr>
                <w:sz w:val="20"/>
                <w:szCs w:val="20"/>
                <w:color w:val="auto"/>
              </w:rPr>
            </w:pPr>
            <w:r>
              <w:rPr>
                <w:rFonts w:ascii="Arial" w:cs="Arial" w:eastAsia="Arial" w:hAnsi="Arial"/>
                <w:sz w:val="14"/>
                <w:szCs w:val="14"/>
                <w:color w:val="auto"/>
              </w:rPr>
              <w:t>0</w:t>
            </w:r>
          </w:p>
        </w:tc>
        <w:tc>
          <w:tcPr>
            <w:tcW w:w="1320" w:type="dxa"/>
            <w:vAlign w:val="bottom"/>
            <w:gridSpan w:val="2"/>
            <w:shd w:val="clear" w:color="auto" w:fill="CCE2F1"/>
          </w:tcPr>
          <w:p>
            <w:pPr>
              <w:jc w:val="right"/>
              <w:ind w:right="48"/>
              <w:spacing w:after="0"/>
              <w:rPr>
                <w:sz w:val="20"/>
                <w:szCs w:val="20"/>
                <w:color w:val="auto"/>
              </w:rPr>
            </w:pPr>
            <w:r>
              <w:rPr>
                <w:rFonts w:ascii="Arial" w:cs="Arial" w:eastAsia="Arial" w:hAnsi="Arial"/>
                <w:sz w:val="14"/>
                <w:szCs w:val="14"/>
                <w:color w:val="auto"/>
              </w:rPr>
              <w:t>34,782</w:t>
            </w:r>
          </w:p>
        </w:tc>
        <w:tc>
          <w:tcPr>
            <w:tcW w:w="92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239.64</w:t>
            </w:r>
          </w:p>
        </w:tc>
        <w:tc>
          <w:tcPr>
            <w:tcW w:w="96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4/30/2031</w:t>
            </w:r>
          </w:p>
        </w:tc>
        <w:tc>
          <w:tcPr>
            <w:tcW w:w="112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1560" w:type="dxa"/>
            <w:vAlign w:val="bottom"/>
            <w:shd w:val="clear" w:color="auto" w:fill="CCE2F1"/>
          </w:tcPr>
          <w:p>
            <w:pPr>
              <w:jc w:val="right"/>
              <w:ind w:right="10"/>
              <w:spacing w:after="0" w:line="162" w:lineRule="exact"/>
              <w:rPr>
                <w:sz w:val="20"/>
                <w:szCs w:val="20"/>
                <w:color w:val="auto"/>
              </w:rPr>
            </w:pPr>
            <w:r>
              <w:rPr>
                <w:rFonts w:ascii="Arial" w:cs="Arial" w:eastAsia="Arial" w:hAnsi="Arial"/>
                <w:sz w:val="13"/>
                <w:szCs w:val="13"/>
                <w:color w:val="auto"/>
              </w:rPr>
              <w:t>19,900</w:t>
            </w:r>
            <w:r>
              <w:rPr>
                <w:rFonts w:ascii="Arial" w:cs="Arial" w:eastAsia="Arial" w:hAnsi="Arial"/>
                <w:sz w:val="18"/>
                <w:szCs w:val="18"/>
                <w:color w:val="auto"/>
                <w:vertAlign w:val="superscript"/>
              </w:rPr>
              <w:t>(5)</w:t>
            </w:r>
          </w:p>
        </w:tc>
        <w:tc>
          <w:tcPr>
            <w:tcW w:w="1460" w:type="dxa"/>
            <w:vAlign w:val="bottom"/>
            <w:shd w:val="clear" w:color="auto" w:fill="CCE2F1"/>
          </w:tcPr>
          <w:p>
            <w:pPr>
              <w:jc w:val="right"/>
              <w:ind w:right="48"/>
              <w:spacing w:after="0"/>
              <w:rPr>
                <w:sz w:val="20"/>
                <w:szCs w:val="20"/>
                <w:color w:val="auto"/>
              </w:rPr>
            </w:pPr>
            <w:r>
              <w:rPr>
                <w:rFonts w:ascii="Arial" w:cs="Arial" w:eastAsia="Arial" w:hAnsi="Arial"/>
                <w:sz w:val="14"/>
                <w:szCs w:val="14"/>
                <w:color w:val="auto"/>
              </w:rPr>
              <w:t>5,226,536</w:t>
            </w:r>
          </w:p>
        </w:tc>
        <w:tc>
          <w:tcPr>
            <w:tcW w:w="0" w:type="dxa"/>
            <w:vAlign w:val="bottom"/>
          </w:tcPr>
          <w:p>
            <w:pPr>
              <w:spacing w:after="0"/>
              <w:rPr>
                <w:sz w:val="1"/>
                <w:szCs w:val="1"/>
                <w:color w:val="auto"/>
              </w:rPr>
            </w:pPr>
          </w:p>
        </w:tc>
      </w:tr>
      <w:tr>
        <w:trPr>
          <w:trHeight w:val="165"/>
        </w:trPr>
        <w:tc>
          <w:tcPr>
            <w:tcW w:w="1140" w:type="dxa"/>
            <w:vAlign w:val="bottom"/>
            <w:shd w:val="clear" w:color="auto" w:fill="CCE2F1"/>
          </w:tcPr>
          <w:p>
            <w:pPr>
              <w:spacing w:after="0"/>
              <w:rPr>
                <w:sz w:val="14"/>
                <w:szCs w:val="14"/>
                <w:color w:val="auto"/>
              </w:rPr>
            </w:pPr>
          </w:p>
        </w:tc>
        <w:tc>
          <w:tcPr>
            <w:tcW w:w="1080" w:type="dxa"/>
            <w:vAlign w:val="bottom"/>
            <w:shd w:val="clear" w:color="auto" w:fill="CCE2F1"/>
          </w:tcPr>
          <w:p>
            <w:pPr>
              <w:jc w:val="right"/>
              <w:ind w:right="28"/>
              <w:spacing w:after="0"/>
              <w:rPr>
                <w:sz w:val="20"/>
                <w:szCs w:val="20"/>
                <w:color w:val="auto"/>
              </w:rPr>
            </w:pPr>
            <w:r>
              <w:rPr>
                <w:rFonts w:ascii="Arial" w:cs="Arial" w:eastAsia="Arial" w:hAnsi="Arial"/>
                <w:sz w:val="14"/>
                <w:szCs w:val="14"/>
                <w:color w:val="auto"/>
              </w:rPr>
              <w:t>9,586</w:t>
            </w:r>
          </w:p>
        </w:tc>
        <w:tc>
          <w:tcPr>
            <w:tcW w:w="1320" w:type="dxa"/>
            <w:vAlign w:val="bottom"/>
            <w:gridSpan w:val="2"/>
            <w:shd w:val="clear" w:color="auto" w:fill="CCE2F1"/>
          </w:tcPr>
          <w:p>
            <w:pPr>
              <w:jc w:val="right"/>
              <w:ind w:right="48"/>
              <w:spacing w:after="0"/>
              <w:rPr>
                <w:sz w:val="20"/>
                <w:szCs w:val="20"/>
                <w:color w:val="auto"/>
              </w:rPr>
            </w:pPr>
            <w:r>
              <w:rPr>
                <w:rFonts w:ascii="Arial" w:cs="Arial" w:eastAsia="Arial" w:hAnsi="Arial"/>
                <w:sz w:val="14"/>
                <w:szCs w:val="14"/>
                <w:color w:val="auto"/>
              </w:rPr>
              <w:t>19,464</w:t>
            </w:r>
          </w:p>
        </w:tc>
        <w:tc>
          <w:tcPr>
            <w:tcW w:w="92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236.36</w:t>
            </w:r>
          </w:p>
        </w:tc>
        <w:tc>
          <w:tcPr>
            <w:tcW w:w="96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5/5/2030</w:t>
            </w:r>
          </w:p>
        </w:tc>
        <w:tc>
          <w:tcPr>
            <w:tcW w:w="112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1560" w:type="dxa"/>
            <w:vAlign w:val="bottom"/>
            <w:shd w:val="clear" w:color="auto" w:fill="CCE2F1"/>
          </w:tcPr>
          <w:p>
            <w:pPr>
              <w:jc w:val="right"/>
              <w:ind w:right="10"/>
              <w:spacing w:after="0" w:line="165" w:lineRule="exact"/>
              <w:rPr>
                <w:sz w:val="20"/>
                <w:szCs w:val="20"/>
                <w:color w:val="auto"/>
              </w:rPr>
            </w:pPr>
            <w:r>
              <w:rPr>
                <w:rFonts w:ascii="Arial" w:cs="Arial" w:eastAsia="Arial" w:hAnsi="Arial"/>
                <w:sz w:val="13"/>
                <w:szCs w:val="13"/>
                <w:color w:val="auto"/>
              </w:rPr>
              <w:t>7,947</w:t>
            </w:r>
            <w:r>
              <w:rPr>
                <w:rFonts w:ascii="Arial" w:cs="Arial" w:eastAsia="Arial" w:hAnsi="Arial"/>
                <w:sz w:val="19"/>
                <w:szCs w:val="19"/>
                <w:color w:val="auto"/>
                <w:vertAlign w:val="superscript"/>
              </w:rPr>
              <w:t>(6)</w:t>
            </w:r>
          </w:p>
        </w:tc>
        <w:tc>
          <w:tcPr>
            <w:tcW w:w="1460" w:type="dxa"/>
            <w:vAlign w:val="bottom"/>
            <w:shd w:val="clear" w:color="auto" w:fill="CCE2F1"/>
          </w:tcPr>
          <w:p>
            <w:pPr>
              <w:jc w:val="right"/>
              <w:ind w:right="48"/>
              <w:spacing w:after="0"/>
              <w:rPr>
                <w:sz w:val="20"/>
                <w:szCs w:val="20"/>
                <w:color w:val="auto"/>
              </w:rPr>
            </w:pPr>
            <w:r>
              <w:rPr>
                <w:rFonts w:ascii="Arial" w:cs="Arial" w:eastAsia="Arial" w:hAnsi="Arial"/>
                <w:sz w:val="14"/>
                <w:szCs w:val="14"/>
                <w:color w:val="auto"/>
              </w:rPr>
              <w:t>2,087,200</w:t>
            </w:r>
          </w:p>
        </w:tc>
        <w:tc>
          <w:tcPr>
            <w:tcW w:w="0" w:type="dxa"/>
            <w:vAlign w:val="bottom"/>
          </w:tcPr>
          <w:p>
            <w:pPr>
              <w:spacing w:after="0"/>
              <w:rPr>
                <w:sz w:val="1"/>
                <w:szCs w:val="1"/>
                <w:color w:val="auto"/>
              </w:rPr>
            </w:pPr>
          </w:p>
        </w:tc>
      </w:tr>
      <w:tr>
        <w:trPr>
          <w:trHeight w:val="162"/>
        </w:trPr>
        <w:tc>
          <w:tcPr>
            <w:tcW w:w="1140" w:type="dxa"/>
            <w:vAlign w:val="bottom"/>
            <w:shd w:val="clear" w:color="auto" w:fill="CCE2F1"/>
          </w:tcPr>
          <w:p>
            <w:pPr>
              <w:spacing w:after="0"/>
              <w:rPr>
                <w:sz w:val="14"/>
                <w:szCs w:val="14"/>
                <w:color w:val="auto"/>
              </w:rPr>
            </w:pPr>
          </w:p>
        </w:tc>
        <w:tc>
          <w:tcPr>
            <w:tcW w:w="1080" w:type="dxa"/>
            <w:vAlign w:val="bottom"/>
            <w:shd w:val="clear" w:color="auto" w:fill="CCE2F1"/>
          </w:tcPr>
          <w:p>
            <w:pPr>
              <w:jc w:val="right"/>
              <w:ind w:right="28"/>
              <w:spacing w:after="0"/>
              <w:rPr>
                <w:sz w:val="20"/>
                <w:szCs w:val="20"/>
                <w:color w:val="auto"/>
              </w:rPr>
            </w:pPr>
            <w:r>
              <w:rPr>
                <w:rFonts w:ascii="Arial" w:cs="Arial" w:eastAsia="Arial" w:hAnsi="Arial"/>
                <w:sz w:val="14"/>
                <w:szCs w:val="14"/>
                <w:color w:val="auto"/>
              </w:rPr>
              <w:t>25,992</w:t>
            </w:r>
          </w:p>
        </w:tc>
        <w:tc>
          <w:tcPr>
            <w:tcW w:w="1320" w:type="dxa"/>
            <w:vAlign w:val="bottom"/>
            <w:gridSpan w:val="2"/>
            <w:shd w:val="clear" w:color="auto" w:fill="CCE2F1"/>
          </w:tcPr>
          <w:p>
            <w:pPr>
              <w:jc w:val="right"/>
              <w:ind w:right="48"/>
              <w:spacing w:after="0"/>
              <w:rPr>
                <w:sz w:val="20"/>
                <w:szCs w:val="20"/>
                <w:color w:val="auto"/>
              </w:rPr>
            </w:pPr>
            <w:r>
              <w:rPr>
                <w:rFonts w:ascii="Arial" w:cs="Arial" w:eastAsia="Arial" w:hAnsi="Arial"/>
                <w:sz w:val="14"/>
                <w:szCs w:val="14"/>
                <w:color w:val="auto"/>
              </w:rPr>
              <w:t>13,390</w:t>
            </w:r>
          </w:p>
        </w:tc>
        <w:tc>
          <w:tcPr>
            <w:tcW w:w="92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177.31</w:t>
            </w:r>
          </w:p>
        </w:tc>
        <w:tc>
          <w:tcPr>
            <w:tcW w:w="96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5/3/2029</w:t>
            </w:r>
          </w:p>
        </w:tc>
        <w:tc>
          <w:tcPr>
            <w:tcW w:w="112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156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CCE2F1"/>
          </w:tcPr>
          <w:p>
            <w:pPr>
              <w:spacing w:after="0"/>
              <w:rPr>
                <w:sz w:val="14"/>
                <w:szCs w:val="14"/>
                <w:color w:val="auto"/>
              </w:rPr>
            </w:pPr>
          </w:p>
        </w:tc>
        <w:tc>
          <w:tcPr>
            <w:tcW w:w="1080" w:type="dxa"/>
            <w:vAlign w:val="bottom"/>
            <w:shd w:val="clear" w:color="auto" w:fill="CCE2F1"/>
          </w:tcPr>
          <w:p>
            <w:pPr>
              <w:jc w:val="right"/>
              <w:ind w:right="28"/>
              <w:spacing w:after="0"/>
              <w:rPr>
                <w:sz w:val="20"/>
                <w:szCs w:val="20"/>
                <w:color w:val="auto"/>
              </w:rPr>
            </w:pPr>
            <w:r>
              <w:rPr>
                <w:rFonts w:ascii="Arial" w:cs="Arial" w:eastAsia="Arial" w:hAnsi="Arial"/>
                <w:sz w:val="14"/>
                <w:szCs w:val="14"/>
                <w:color w:val="auto"/>
              </w:rPr>
              <w:t>7,807</w:t>
            </w:r>
          </w:p>
        </w:tc>
        <w:tc>
          <w:tcPr>
            <w:tcW w:w="1320" w:type="dxa"/>
            <w:vAlign w:val="bottom"/>
            <w:gridSpan w:val="2"/>
            <w:shd w:val="clear" w:color="auto" w:fill="CCE2F1"/>
          </w:tcPr>
          <w:p>
            <w:pPr>
              <w:jc w:val="right"/>
              <w:ind w:right="48"/>
              <w:spacing w:after="0"/>
              <w:rPr>
                <w:sz w:val="20"/>
                <w:szCs w:val="20"/>
                <w:color w:val="auto"/>
              </w:rPr>
            </w:pPr>
            <w:r>
              <w:rPr>
                <w:rFonts w:ascii="Arial" w:cs="Arial" w:eastAsia="Arial" w:hAnsi="Arial"/>
                <w:sz w:val="14"/>
                <w:szCs w:val="14"/>
                <w:color w:val="auto"/>
              </w:rPr>
              <w:t>0</w:t>
            </w:r>
          </w:p>
        </w:tc>
        <w:tc>
          <w:tcPr>
            <w:tcW w:w="92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177.46</w:t>
            </w:r>
          </w:p>
        </w:tc>
        <w:tc>
          <w:tcPr>
            <w:tcW w:w="96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4/27/2028</w:t>
            </w:r>
          </w:p>
        </w:tc>
        <w:tc>
          <w:tcPr>
            <w:tcW w:w="112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156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CCE2F1"/>
          </w:tcPr>
          <w:p>
            <w:pPr>
              <w:spacing w:after="0"/>
              <w:rPr>
                <w:sz w:val="14"/>
                <w:szCs w:val="14"/>
                <w:color w:val="auto"/>
              </w:rPr>
            </w:pPr>
          </w:p>
        </w:tc>
        <w:tc>
          <w:tcPr>
            <w:tcW w:w="1080" w:type="dxa"/>
            <w:vAlign w:val="bottom"/>
            <w:shd w:val="clear" w:color="auto" w:fill="CCE2F1"/>
          </w:tcPr>
          <w:p>
            <w:pPr>
              <w:jc w:val="right"/>
              <w:ind w:right="28"/>
              <w:spacing w:after="0"/>
              <w:rPr>
                <w:sz w:val="20"/>
                <w:szCs w:val="20"/>
                <w:color w:val="auto"/>
              </w:rPr>
            </w:pPr>
            <w:r>
              <w:rPr>
                <w:rFonts w:ascii="Arial" w:cs="Arial" w:eastAsia="Arial" w:hAnsi="Arial"/>
                <w:sz w:val="14"/>
                <w:szCs w:val="14"/>
                <w:color w:val="auto"/>
              </w:rPr>
              <w:t>8,714</w:t>
            </w:r>
          </w:p>
        </w:tc>
        <w:tc>
          <w:tcPr>
            <w:tcW w:w="200" w:type="dxa"/>
            <w:vAlign w:val="bottom"/>
            <w:shd w:val="clear" w:color="auto" w:fill="CCE2F1"/>
          </w:tcPr>
          <w:p>
            <w:pPr>
              <w:spacing w:after="0"/>
              <w:rPr>
                <w:sz w:val="14"/>
                <w:szCs w:val="14"/>
                <w:color w:val="auto"/>
              </w:rPr>
            </w:pPr>
          </w:p>
        </w:tc>
        <w:tc>
          <w:tcPr>
            <w:tcW w:w="1120" w:type="dxa"/>
            <w:vAlign w:val="bottom"/>
            <w:shd w:val="clear" w:color="auto" w:fill="CCE2F1"/>
          </w:tcPr>
          <w:p>
            <w:pPr>
              <w:jc w:val="right"/>
              <w:ind w:right="48"/>
              <w:spacing w:after="0"/>
              <w:rPr>
                <w:sz w:val="20"/>
                <w:szCs w:val="20"/>
                <w:color w:val="auto"/>
              </w:rPr>
            </w:pPr>
            <w:r>
              <w:rPr>
                <w:rFonts w:ascii="Arial" w:cs="Arial" w:eastAsia="Arial" w:hAnsi="Arial"/>
                <w:sz w:val="14"/>
                <w:szCs w:val="14"/>
                <w:color w:val="auto"/>
              </w:rPr>
              <w:t>0</w:t>
            </w:r>
          </w:p>
        </w:tc>
        <w:tc>
          <w:tcPr>
            <w:tcW w:w="92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162.60</w:t>
            </w:r>
          </w:p>
        </w:tc>
        <w:tc>
          <w:tcPr>
            <w:tcW w:w="96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5/1/2027</w:t>
            </w:r>
          </w:p>
        </w:tc>
        <w:tc>
          <w:tcPr>
            <w:tcW w:w="112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156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2F1"/>
            </w:tcBorders>
            <w:shd w:val="clear" w:color="auto" w:fill="CCE2F1"/>
          </w:tcPr>
          <w:p>
            <w:pPr>
              <w:spacing w:after="0"/>
              <w:rPr>
                <w:sz w:val="17"/>
                <w:szCs w:val="17"/>
                <w:color w:val="auto"/>
              </w:rPr>
            </w:pPr>
          </w:p>
        </w:tc>
        <w:tc>
          <w:tcPr>
            <w:tcW w:w="1080" w:type="dxa"/>
            <w:vAlign w:val="bottom"/>
            <w:tcBorders>
              <w:bottom w:val="single" w:sz="8" w:color="CCE2F1"/>
            </w:tcBorders>
            <w:shd w:val="clear" w:color="auto" w:fill="CCE2F1"/>
          </w:tcPr>
          <w:p>
            <w:pPr>
              <w:jc w:val="right"/>
              <w:ind w:right="28"/>
              <w:spacing w:after="0"/>
              <w:rPr>
                <w:sz w:val="20"/>
                <w:szCs w:val="20"/>
                <w:color w:val="auto"/>
              </w:rPr>
            </w:pPr>
            <w:r>
              <w:rPr>
                <w:rFonts w:ascii="Arial" w:cs="Arial" w:eastAsia="Arial" w:hAnsi="Arial"/>
                <w:sz w:val="14"/>
                <w:szCs w:val="14"/>
                <w:color w:val="auto"/>
              </w:rPr>
              <w:t>8,711</w:t>
            </w:r>
          </w:p>
        </w:tc>
        <w:tc>
          <w:tcPr>
            <w:tcW w:w="200" w:type="dxa"/>
            <w:vAlign w:val="bottom"/>
            <w:tcBorders>
              <w:bottom w:val="single" w:sz="8" w:color="CCE2F1"/>
            </w:tcBorders>
            <w:shd w:val="clear" w:color="auto" w:fill="CCE2F1"/>
          </w:tcPr>
          <w:p>
            <w:pPr>
              <w:spacing w:after="0"/>
              <w:rPr>
                <w:sz w:val="17"/>
                <w:szCs w:val="17"/>
                <w:color w:val="auto"/>
              </w:rPr>
            </w:pPr>
          </w:p>
        </w:tc>
        <w:tc>
          <w:tcPr>
            <w:tcW w:w="1120" w:type="dxa"/>
            <w:vAlign w:val="bottom"/>
            <w:tcBorders>
              <w:bottom w:val="single" w:sz="8" w:color="CCE2F1"/>
            </w:tcBorders>
            <w:shd w:val="clear" w:color="auto" w:fill="CCE2F1"/>
          </w:tcPr>
          <w:p>
            <w:pPr>
              <w:jc w:val="right"/>
              <w:ind w:right="48"/>
              <w:spacing w:after="0"/>
              <w:rPr>
                <w:sz w:val="20"/>
                <w:szCs w:val="20"/>
                <w:color w:val="auto"/>
              </w:rPr>
            </w:pPr>
            <w:r>
              <w:rPr>
                <w:rFonts w:ascii="Arial" w:cs="Arial" w:eastAsia="Arial" w:hAnsi="Arial"/>
                <w:sz w:val="14"/>
                <w:szCs w:val="14"/>
                <w:color w:val="auto"/>
              </w:rPr>
              <w:t>0</w:t>
            </w:r>
          </w:p>
        </w:tc>
        <w:tc>
          <w:tcPr>
            <w:tcW w:w="920" w:type="dxa"/>
            <w:vAlign w:val="bottom"/>
            <w:tcBorders>
              <w:bottom w:val="single" w:sz="8" w:color="CCE2F1"/>
            </w:tcBorders>
            <w:shd w:val="clear" w:color="auto" w:fill="CCE2F1"/>
          </w:tcPr>
          <w:p>
            <w:pPr>
              <w:jc w:val="right"/>
              <w:ind w:right="68"/>
              <w:spacing w:after="0"/>
              <w:rPr>
                <w:sz w:val="20"/>
                <w:szCs w:val="20"/>
                <w:color w:val="auto"/>
              </w:rPr>
            </w:pPr>
            <w:r>
              <w:rPr>
                <w:rFonts w:ascii="Arial" w:cs="Arial" w:eastAsia="Arial" w:hAnsi="Arial"/>
                <w:sz w:val="14"/>
                <w:szCs w:val="14"/>
                <w:color w:val="auto"/>
              </w:rPr>
              <w:t>156.35</w:t>
            </w:r>
          </w:p>
        </w:tc>
        <w:tc>
          <w:tcPr>
            <w:tcW w:w="960" w:type="dxa"/>
            <w:vAlign w:val="bottom"/>
            <w:tcBorders>
              <w:bottom w:val="single" w:sz="8" w:color="CCE2F1"/>
            </w:tcBorders>
            <w:shd w:val="clear" w:color="auto" w:fill="CCE2F1"/>
          </w:tcPr>
          <w:p>
            <w:pPr>
              <w:jc w:val="right"/>
              <w:ind w:right="68"/>
              <w:spacing w:after="0"/>
              <w:rPr>
                <w:sz w:val="20"/>
                <w:szCs w:val="20"/>
                <w:color w:val="auto"/>
              </w:rPr>
            </w:pPr>
            <w:r>
              <w:rPr>
                <w:rFonts w:ascii="Arial" w:cs="Arial" w:eastAsia="Arial" w:hAnsi="Arial"/>
                <w:sz w:val="14"/>
                <w:szCs w:val="14"/>
                <w:color w:val="auto"/>
              </w:rPr>
              <w:t>5/3/2026</w:t>
            </w:r>
          </w:p>
        </w:tc>
        <w:tc>
          <w:tcPr>
            <w:tcW w:w="1120" w:type="dxa"/>
            <w:vAlign w:val="bottom"/>
            <w:tcBorders>
              <w:bottom w:val="single" w:sz="8" w:color="CCE2F1"/>
            </w:tcBorders>
            <w:shd w:val="clear" w:color="auto" w:fill="CCE2F1"/>
          </w:tcPr>
          <w:p>
            <w:pPr>
              <w:spacing w:after="0"/>
              <w:rPr>
                <w:sz w:val="17"/>
                <w:szCs w:val="17"/>
                <w:color w:val="auto"/>
              </w:rPr>
            </w:pPr>
          </w:p>
        </w:tc>
        <w:tc>
          <w:tcPr>
            <w:tcW w:w="1460" w:type="dxa"/>
            <w:vAlign w:val="bottom"/>
            <w:tcBorders>
              <w:bottom w:val="single" w:sz="8" w:color="CCE2F1"/>
            </w:tcBorders>
            <w:shd w:val="clear" w:color="auto" w:fill="CCE2F1"/>
          </w:tcPr>
          <w:p>
            <w:pPr>
              <w:spacing w:after="0"/>
              <w:rPr>
                <w:sz w:val="17"/>
                <w:szCs w:val="17"/>
                <w:color w:val="auto"/>
              </w:rPr>
            </w:pPr>
          </w:p>
        </w:tc>
        <w:tc>
          <w:tcPr>
            <w:tcW w:w="1560" w:type="dxa"/>
            <w:vAlign w:val="bottom"/>
            <w:tcBorders>
              <w:bottom w:val="single" w:sz="8" w:color="CCE2F1"/>
            </w:tcBorders>
            <w:shd w:val="clear" w:color="auto" w:fill="CCE2F1"/>
          </w:tcPr>
          <w:p>
            <w:pPr>
              <w:spacing w:after="0"/>
              <w:rPr>
                <w:sz w:val="17"/>
                <w:szCs w:val="17"/>
                <w:color w:val="auto"/>
              </w:rPr>
            </w:pPr>
          </w:p>
        </w:tc>
        <w:tc>
          <w:tcPr>
            <w:tcW w:w="1460" w:type="dxa"/>
            <w:vAlign w:val="bottom"/>
            <w:tcBorders>
              <w:bottom w:val="single" w:sz="8" w:color="CCE2F1"/>
            </w:tcBorders>
            <w:shd w:val="clear" w:color="auto" w:fill="CCE2F1"/>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40" w:type="dxa"/>
            <w:vAlign w:val="bottom"/>
          </w:tcPr>
          <w:p>
            <w:pPr>
              <w:ind w:left="80"/>
              <w:spacing w:after="0"/>
              <w:rPr>
                <w:sz w:val="20"/>
                <w:szCs w:val="20"/>
                <w:color w:val="auto"/>
              </w:rPr>
            </w:pPr>
            <w:r>
              <w:rPr>
                <w:rFonts w:ascii="Arial" w:cs="Arial" w:eastAsia="Arial" w:hAnsi="Arial"/>
                <w:sz w:val="14"/>
                <w:szCs w:val="14"/>
                <w:color w:val="auto"/>
              </w:rPr>
              <w:t>Peter H.</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60" w:type="dxa"/>
            <w:vAlign w:val="bottom"/>
            <w:vMerge w:val="restart"/>
          </w:tcPr>
          <w:p>
            <w:pPr>
              <w:jc w:val="right"/>
              <w:ind w:right="10"/>
              <w:spacing w:after="0"/>
              <w:rPr>
                <w:sz w:val="20"/>
                <w:szCs w:val="20"/>
                <w:color w:val="auto"/>
              </w:rPr>
            </w:pPr>
            <w:r>
              <w:rPr>
                <w:rFonts w:ascii="Arial" w:cs="Arial" w:eastAsia="Arial" w:hAnsi="Arial"/>
                <w:sz w:val="14"/>
                <w:szCs w:val="14"/>
                <w:color w:val="auto"/>
              </w:rPr>
              <w:t>18,596</w:t>
            </w:r>
            <w:r>
              <w:rPr>
                <w:rFonts w:ascii="Arial" w:cs="Arial" w:eastAsia="Arial" w:hAnsi="Arial"/>
                <w:sz w:val="21"/>
                <w:szCs w:val="21"/>
                <w:color w:val="auto"/>
                <w:vertAlign w:val="superscript"/>
              </w:rPr>
              <w:t>(4)</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40" w:type="dxa"/>
            <w:vAlign w:val="bottom"/>
          </w:tcPr>
          <w:p>
            <w:pPr>
              <w:ind w:left="140"/>
              <w:spacing w:after="0"/>
              <w:rPr>
                <w:sz w:val="20"/>
                <w:szCs w:val="20"/>
                <w:color w:val="auto"/>
              </w:rPr>
            </w:pPr>
            <w:r>
              <w:rPr>
                <w:rFonts w:ascii="Arial" w:cs="Arial" w:eastAsia="Arial" w:hAnsi="Arial"/>
                <w:sz w:val="14"/>
                <w:szCs w:val="14"/>
                <w:color w:val="auto"/>
              </w:rPr>
              <w:t>Griffith</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320" w:type="dxa"/>
            <w:vAlign w:val="bottom"/>
            <w:gridSpan w:val="2"/>
          </w:tcPr>
          <w:p>
            <w:pPr>
              <w:jc w:val="right"/>
              <w:ind w:right="48"/>
              <w:spacing w:after="0"/>
              <w:rPr>
                <w:sz w:val="20"/>
                <w:szCs w:val="20"/>
                <w:color w:val="auto"/>
              </w:rPr>
            </w:pPr>
            <w:r>
              <w:rPr>
                <w:rFonts w:ascii="Arial" w:cs="Arial" w:eastAsia="Arial" w:hAnsi="Arial"/>
                <w:sz w:val="14"/>
                <w:szCs w:val="14"/>
                <w:color w:val="auto"/>
              </w:rPr>
              <w:t>31,817</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230.92</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5/2/2032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16,844</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4,423,908</w:t>
            </w:r>
          </w:p>
        </w:tc>
        <w:tc>
          <w:tcPr>
            <w:tcW w:w="1560" w:type="dxa"/>
            <w:vAlign w:val="bottom"/>
            <w:vMerge w:val="continue"/>
          </w:tcPr>
          <w:p>
            <w:pPr>
              <w:spacing w:after="0"/>
              <w:rPr>
                <w:sz w:val="18"/>
                <w:szCs w:val="18"/>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4,884,053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320" w:type="dxa"/>
            <w:vAlign w:val="bottom"/>
            <w:gridSpan w:val="2"/>
          </w:tcPr>
          <w:p>
            <w:pPr>
              <w:jc w:val="right"/>
              <w:ind w:right="48"/>
              <w:spacing w:after="0"/>
              <w:rPr>
                <w:sz w:val="20"/>
                <w:szCs w:val="20"/>
                <w:color w:val="auto"/>
              </w:rPr>
            </w:pPr>
            <w:r>
              <w:rPr>
                <w:rFonts w:ascii="Arial" w:cs="Arial" w:eastAsia="Arial" w:hAnsi="Arial"/>
                <w:sz w:val="14"/>
                <w:szCs w:val="14"/>
                <w:color w:val="auto"/>
              </w:rPr>
              <w:t>28,985</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239.64</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4/30/2031</w:t>
            </w: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tcPr>
          <w:p>
            <w:pPr>
              <w:jc w:val="right"/>
              <w:ind w:right="10"/>
              <w:spacing w:after="0" w:line="216" w:lineRule="exact"/>
              <w:rPr>
                <w:sz w:val="20"/>
                <w:szCs w:val="20"/>
                <w:color w:val="auto"/>
              </w:rPr>
            </w:pPr>
            <w:r>
              <w:rPr>
                <w:rFonts w:ascii="Arial" w:cs="Arial" w:eastAsia="Arial" w:hAnsi="Arial"/>
                <w:sz w:val="14"/>
                <w:szCs w:val="14"/>
                <w:color w:val="auto"/>
              </w:rPr>
              <w:t>16,582</w:t>
            </w:r>
            <w:r>
              <w:rPr>
                <w:rFonts w:ascii="Arial" w:cs="Arial" w:eastAsia="Arial" w:hAnsi="Arial"/>
                <w:sz w:val="21"/>
                <w:szCs w:val="21"/>
                <w:color w:val="auto"/>
                <w:vertAlign w:val="superscript"/>
              </w:rPr>
              <w:t>(5)</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4,355,096</w:t>
            </w: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9,352</w:t>
            </w:r>
          </w:p>
        </w:tc>
        <w:tc>
          <w:tcPr>
            <w:tcW w:w="1320" w:type="dxa"/>
            <w:vAlign w:val="bottom"/>
            <w:gridSpan w:val="2"/>
          </w:tcPr>
          <w:p>
            <w:pPr>
              <w:jc w:val="right"/>
              <w:ind w:right="48"/>
              <w:spacing w:after="0"/>
              <w:rPr>
                <w:sz w:val="20"/>
                <w:szCs w:val="20"/>
                <w:color w:val="auto"/>
              </w:rPr>
            </w:pPr>
            <w:r>
              <w:rPr>
                <w:rFonts w:ascii="Arial" w:cs="Arial" w:eastAsia="Arial" w:hAnsi="Arial"/>
                <w:sz w:val="14"/>
                <w:szCs w:val="14"/>
                <w:color w:val="auto"/>
              </w:rPr>
              <w:t>18,989</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236.36</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5/5/2030</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60" w:type="dxa"/>
            <w:vAlign w:val="bottom"/>
          </w:tcPr>
          <w:p>
            <w:pPr>
              <w:jc w:val="right"/>
              <w:ind w:right="10"/>
              <w:spacing w:after="0" w:line="219" w:lineRule="exact"/>
              <w:rPr>
                <w:sz w:val="20"/>
                <w:szCs w:val="20"/>
                <w:color w:val="auto"/>
              </w:rPr>
            </w:pPr>
            <w:r>
              <w:rPr>
                <w:rFonts w:ascii="Arial" w:cs="Arial" w:eastAsia="Arial" w:hAnsi="Arial"/>
                <w:sz w:val="14"/>
                <w:szCs w:val="14"/>
                <w:color w:val="auto"/>
              </w:rPr>
              <w:t>7,753</w:t>
            </w:r>
            <w:r>
              <w:rPr>
                <w:rFonts w:ascii="Arial" w:cs="Arial" w:eastAsia="Arial" w:hAnsi="Arial"/>
                <w:sz w:val="21"/>
                <w:szCs w:val="21"/>
                <w:color w:val="auto"/>
                <w:vertAlign w:val="superscript"/>
              </w:rPr>
              <w:t>(6)</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2,036,248</w:t>
            </w:r>
          </w:p>
        </w:tc>
        <w:tc>
          <w:tcPr>
            <w:tcW w:w="0" w:type="dxa"/>
            <w:vAlign w:val="bottom"/>
          </w:tcPr>
          <w:p>
            <w:pPr>
              <w:spacing w:after="0"/>
              <w:rPr>
                <w:sz w:val="1"/>
                <w:szCs w:val="1"/>
                <w:color w:val="auto"/>
              </w:rPr>
            </w:pPr>
          </w:p>
        </w:tc>
      </w:tr>
      <w:tr>
        <w:trPr>
          <w:trHeight w:val="221"/>
        </w:trPr>
        <w:tc>
          <w:tcPr>
            <w:tcW w:w="1140" w:type="dxa"/>
            <w:vAlign w:val="bottom"/>
            <w:shd w:val="clear" w:color="auto" w:fill="CCE2F1"/>
          </w:tcPr>
          <w:p>
            <w:pPr>
              <w:ind w:left="80"/>
              <w:spacing w:after="0"/>
              <w:rPr>
                <w:sz w:val="20"/>
                <w:szCs w:val="20"/>
                <w:color w:val="auto"/>
              </w:rPr>
            </w:pPr>
            <w:r>
              <w:rPr>
                <w:rFonts w:ascii="Arial" w:cs="Arial" w:eastAsia="Arial" w:hAnsi="Arial"/>
                <w:sz w:val="14"/>
                <w:szCs w:val="14"/>
                <w:color w:val="auto"/>
              </w:rPr>
              <w:t>Esteban</w:t>
            </w:r>
          </w:p>
        </w:tc>
        <w:tc>
          <w:tcPr>
            <w:tcW w:w="1080" w:type="dxa"/>
            <w:vAlign w:val="bottom"/>
            <w:shd w:val="clear" w:color="auto" w:fill="CCE2F1"/>
          </w:tcPr>
          <w:p>
            <w:pPr>
              <w:spacing w:after="0"/>
              <w:rPr>
                <w:sz w:val="19"/>
                <w:szCs w:val="19"/>
                <w:color w:val="auto"/>
              </w:rPr>
            </w:pPr>
          </w:p>
        </w:tc>
        <w:tc>
          <w:tcPr>
            <w:tcW w:w="200" w:type="dxa"/>
            <w:vAlign w:val="bottom"/>
            <w:shd w:val="clear" w:color="auto" w:fill="CCE2F1"/>
          </w:tcPr>
          <w:p>
            <w:pPr>
              <w:spacing w:after="0"/>
              <w:rPr>
                <w:sz w:val="19"/>
                <w:szCs w:val="19"/>
                <w:color w:val="auto"/>
              </w:rPr>
            </w:pPr>
          </w:p>
        </w:tc>
        <w:tc>
          <w:tcPr>
            <w:tcW w:w="1120" w:type="dxa"/>
            <w:vAlign w:val="bottom"/>
            <w:shd w:val="clear" w:color="auto" w:fill="CCE2F1"/>
          </w:tcPr>
          <w:p>
            <w:pPr>
              <w:spacing w:after="0"/>
              <w:rPr>
                <w:sz w:val="19"/>
                <w:szCs w:val="19"/>
                <w:color w:val="auto"/>
              </w:rPr>
            </w:pPr>
          </w:p>
        </w:tc>
        <w:tc>
          <w:tcPr>
            <w:tcW w:w="920" w:type="dxa"/>
            <w:vAlign w:val="bottom"/>
            <w:shd w:val="clear" w:color="auto" w:fill="CCE2F1"/>
          </w:tcPr>
          <w:p>
            <w:pPr>
              <w:spacing w:after="0"/>
              <w:rPr>
                <w:sz w:val="19"/>
                <w:szCs w:val="19"/>
                <w:color w:val="auto"/>
              </w:rPr>
            </w:pPr>
          </w:p>
        </w:tc>
        <w:tc>
          <w:tcPr>
            <w:tcW w:w="960" w:type="dxa"/>
            <w:vAlign w:val="bottom"/>
            <w:shd w:val="clear" w:color="auto" w:fill="CCE2F1"/>
          </w:tcPr>
          <w:p>
            <w:pPr>
              <w:spacing w:after="0"/>
              <w:rPr>
                <w:sz w:val="19"/>
                <w:szCs w:val="19"/>
                <w:color w:val="auto"/>
              </w:rPr>
            </w:pPr>
          </w:p>
        </w:tc>
        <w:tc>
          <w:tcPr>
            <w:tcW w:w="1120" w:type="dxa"/>
            <w:vAlign w:val="bottom"/>
            <w:shd w:val="clear" w:color="auto" w:fill="CCE2F1"/>
          </w:tcPr>
          <w:p>
            <w:pPr>
              <w:spacing w:after="0"/>
              <w:rPr>
                <w:sz w:val="19"/>
                <w:szCs w:val="19"/>
                <w:color w:val="auto"/>
              </w:rPr>
            </w:pPr>
          </w:p>
        </w:tc>
        <w:tc>
          <w:tcPr>
            <w:tcW w:w="1460" w:type="dxa"/>
            <w:vAlign w:val="bottom"/>
            <w:shd w:val="clear" w:color="auto" w:fill="CCE2F1"/>
          </w:tcPr>
          <w:p>
            <w:pPr>
              <w:spacing w:after="0"/>
              <w:rPr>
                <w:sz w:val="19"/>
                <w:szCs w:val="19"/>
                <w:color w:val="auto"/>
              </w:rPr>
            </w:pPr>
          </w:p>
        </w:tc>
        <w:tc>
          <w:tcPr>
            <w:tcW w:w="1560" w:type="dxa"/>
            <w:vAlign w:val="bottom"/>
            <w:vMerge w:val="restart"/>
            <w:shd w:val="clear" w:color="auto" w:fill="CCE2F1"/>
          </w:tcPr>
          <w:p>
            <w:pPr>
              <w:jc w:val="right"/>
              <w:ind w:right="10"/>
              <w:spacing w:after="0"/>
              <w:rPr>
                <w:sz w:val="20"/>
                <w:szCs w:val="20"/>
                <w:color w:val="auto"/>
              </w:rPr>
            </w:pPr>
            <w:r>
              <w:rPr>
                <w:rFonts w:ascii="Arial" w:cs="Arial" w:eastAsia="Arial" w:hAnsi="Arial"/>
                <w:sz w:val="14"/>
                <w:szCs w:val="14"/>
                <w:color w:val="auto"/>
              </w:rPr>
              <w:t>17,356</w:t>
            </w:r>
            <w:r>
              <w:rPr>
                <w:rFonts w:ascii="Arial" w:cs="Arial" w:eastAsia="Arial" w:hAnsi="Arial"/>
                <w:sz w:val="21"/>
                <w:szCs w:val="21"/>
                <w:color w:val="auto"/>
                <w:vertAlign w:val="superscript"/>
              </w:rPr>
              <w:t>(4)</w:t>
            </w:r>
          </w:p>
        </w:tc>
        <w:tc>
          <w:tcPr>
            <w:tcW w:w="1460" w:type="dxa"/>
            <w:vAlign w:val="bottom"/>
            <w:shd w:val="clear" w:color="auto" w:fill="CCE2F1"/>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140" w:type="dxa"/>
            <w:vAlign w:val="bottom"/>
            <w:shd w:val="clear" w:color="auto" w:fill="CCE2F1"/>
          </w:tcPr>
          <w:p>
            <w:pPr>
              <w:ind w:left="140"/>
              <w:spacing w:after="0" w:line="154" w:lineRule="exact"/>
              <w:rPr>
                <w:sz w:val="20"/>
                <w:szCs w:val="20"/>
                <w:color w:val="auto"/>
              </w:rPr>
            </w:pPr>
            <w:r>
              <w:rPr>
                <w:rFonts w:ascii="Arial" w:cs="Arial" w:eastAsia="Arial" w:hAnsi="Arial"/>
                <w:sz w:val="14"/>
                <w:szCs w:val="14"/>
                <w:color w:val="auto"/>
              </w:rPr>
              <w:t>Santos</w:t>
            </w:r>
          </w:p>
        </w:tc>
        <w:tc>
          <w:tcPr>
            <w:tcW w:w="1080" w:type="dxa"/>
            <w:vAlign w:val="bottom"/>
            <w:shd w:val="clear" w:color="auto" w:fill="CCE2F1"/>
          </w:tcPr>
          <w:p>
            <w:pPr>
              <w:jc w:val="right"/>
              <w:ind w:right="28"/>
              <w:spacing w:after="0" w:line="154" w:lineRule="exact"/>
              <w:rPr>
                <w:sz w:val="20"/>
                <w:szCs w:val="20"/>
                <w:color w:val="auto"/>
              </w:rPr>
            </w:pPr>
            <w:r>
              <w:rPr>
                <w:rFonts w:ascii="Arial" w:cs="Arial" w:eastAsia="Arial" w:hAnsi="Arial"/>
                <w:sz w:val="14"/>
                <w:szCs w:val="14"/>
                <w:color w:val="auto"/>
              </w:rPr>
              <w:t>0</w:t>
            </w:r>
          </w:p>
        </w:tc>
        <w:tc>
          <w:tcPr>
            <w:tcW w:w="1320" w:type="dxa"/>
            <w:vAlign w:val="bottom"/>
            <w:gridSpan w:val="2"/>
            <w:shd w:val="clear" w:color="auto" w:fill="CCE2F1"/>
          </w:tcPr>
          <w:p>
            <w:pPr>
              <w:jc w:val="right"/>
              <w:ind w:right="48"/>
              <w:spacing w:after="0" w:line="154" w:lineRule="exact"/>
              <w:rPr>
                <w:sz w:val="20"/>
                <w:szCs w:val="20"/>
                <w:color w:val="auto"/>
              </w:rPr>
            </w:pPr>
            <w:r>
              <w:rPr>
                <w:rFonts w:ascii="Arial" w:cs="Arial" w:eastAsia="Arial" w:hAnsi="Arial"/>
                <w:sz w:val="14"/>
                <w:szCs w:val="14"/>
                <w:color w:val="auto"/>
              </w:rPr>
              <w:t>29,695</w:t>
            </w:r>
          </w:p>
        </w:tc>
        <w:tc>
          <w:tcPr>
            <w:tcW w:w="920" w:type="dxa"/>
            <w:vAlign w:val="bottom"/>
            <w:shd w:val="clear" w:color="auto" w:fill="CCE2F1"/>
          </w:tcPr>
          <w:p>
            <w:pPr>
              <w:jc w:val="right"/>
              <w:ind w:right="68"/>
              <w:spacing w:after="0" w:line="154" w:lineRule="exact"/>
              <w:rPr>
                <w:sz w:val="20"/>
                <w:szCs w:val="20"/>
                <w:color w:val="auto"/>
              </w:rPr>
            </w:pPr>
            <w:r>
              <w:rPr>
                <w:rFonts w:ascii="Arial" w:cs="Arial" w:eastAsia="Arial" w:hAnsi="Arial"/>
                <w:sz w:val="14"/>
                <w:szCs w:val="14"/>
                <w:color w:val="auto"/>
              </w:rPr>
              <w:t>230.92</w:t>
            </w:r>
          </w:p>
        </w:tc>
        <w:tc>
          <w:tcPr>
            <w:tcW w:w="960" w:type="dxa"/>
            <w:vAlign w:val="bottom"/>
            <w:shd w:val="clear" w:color="auto" w:fill="CCE2F1"/>
          </w:tcPr>
          <w:p>
            <w:pPr>
              <w:jc w:val="right"/>
              <w:ind w:right="68"/>
              <w:spacing w:after="0" w:line="154" w:lineRule="exact"/>
              <w:rPr>
                <w:sz w:val="20"/>
                <w:szCs w:val="20"/>
                <w:color w:val="auto"/>
              </w:rPr>
            </w:pPr>
            <w:r>
              <w:rPr>
                <w:rFonts w:ascii="Arial" w:cs="Arial" w:eastAsia="Arial" w:hAnsi="Arial"/>
                <w:sz w:val="14"/>
                <w:szCs w:val="14"/>
                <w:color w:val="auto"/>
              </w:rPr>
              <w:t>5/2/2032</w:t>
            </w:r>
          </w:p>
        </w:tc>
        <w:tc>
          <w:tcPr>
            <w:tcW w:w="1120" w:type="dxa"/>
            <w:vAlign w:val="bottom"/>
            <w:shd w:val="clear" w:color="auto" w:fill="CCE2F1"/>
          </w:tcPr>
          <w:p>
            <w:pPr>
              <w:jc w:val="right"/>
              <w:ind w:right="68"/>
              <w:spacing w:after="0" w:line="154" w:lineRule="exact"/>
              <w:rPr>
                <w:sz w:val="20"/>
                <w:szCs w:val="20"/>
                <w:color w:val="auto"/>
              </w:rPr>
            </w:pPr>
            <w:r>
              <w:rPr>
                <w:rFonts w:ascii="Arial" w:cs="Arial" w:eastAsia="Arial" w:hAnsi="Arial"/>
                <w:sz w:val="14"/>
                <w:szCs w:val="14"/>
                <w:color w:val="auto"/>
              </w:rPr>
              <w:t>11,867</w:t>
            </w:r>
          </w:p>
        </w:tc>
        <w:tc>
          <w:tcPr>
            <w:tcW w:w="1460" w:type="dxa"/>
            <w:vAlign w:val="bottom"/>
            <w:shd w:val="clear" w:color="auto" w:fill="CCE2F1"/>
          </w:tcPr>
          <w:p>
            <w:pPr>
              <w:jc w:val="right"/>
              <w:ind w:right="48"/>
              <w:spacing w:after="0" w:line="154" w:lineRule="exact"/>
              <w:rPr>
                <w:sz w:val="20"/>
                <w:szCs w:val="20"/>
                <w:color w:val="auto"/>
              </w:rPr>
            </w:pPr>
            <w:r>
              <w:rPr>
                <w:rFonts w:ascii="Arial" w:cs="Arial" w:eastAsia="Arial" w:hAnsi="Arial"/>
                <w:sz w:val="14"/>
                <w:szCs w:val="14"/>
                <w:color w:val="auto"/>
              </w:rPr>
              <w:t>3,116,749</w:t>
            </w:r>
          </w:p>
        </w:tc>
        <w:tc>
          <w:tcPr>
            <w:tcW w:w="1560" w:type="dxa"/>
            <w:vAlign w:val="bottom"/>
            <w:vMerge w:val="continue"/>
            <w:shd w:val="clear" w:color="auto" w:fill="CCE2F1"/>
          </w:tcPr>
          <w:p>
            <w:pPr>
              <w:spacing w:after="0"/>
              <w:rPr>
                <w:sz w:val="13"/>
                <w:szCs w:val="13"/>
                <w:color w:val="auto"/>
              </w:rPr>
            </w:pPr>
          </w:p>
        </w:tc>
        <w:tc>
          <w:tcPr>
            <w:tcW w:w="1460" w:type="dxa"/>
            <w:vAlign w:val="bottom"/>
            <w:shd w:val="clear" w:color="auto" w:fill="CCE2F1"/>
          </w:tcPr>
          <w:p>
            <w:pPr>
              <w:jc w:val="right"/>
              <w:ind w:right="48"/>
              <w:spacing w:after="0" w:line="154" w:lineRule="exact"/>
              <w:rPr>
                <w:sz w:val="20"/>
                <w:szCs w:val="20"/>
                <w:color w:val="auto"/>
              </w:rPr>
            </w:pPr>
            <w:r>
              <w:rPr>
                <w:rFonts w:ascii="Arial" w:cs="Arial" w:eastAsia="Arial" w:hAnsi="Arial"/>
                <w:sz w:val="14"/>
                <w:szCs w:val="14"/>
                <w:color w:val="auto"/>
              </w:rPr>
              <w:t>4,558,380</w:t>
            </w:r>
          </w:p>
        </w:tc>
        <w:tc>
          <w:tcPr>
            <w:tcW w:w="0" w:type="dxa"/>
            <w:vAlign w:val="bottom"/>
          </w:tcPr>
          <w:p>
            <w:pPr>
              <w:spacing w:after="0"/>
              <w:rPr>
                <w:sz w:val="1"/>
                <w:szCs w:val="1"/>
                <w:color w:val="auto"/>
              </w:rPr>
            </w:pPr>
          </w:p>
        </w:tc>
      </w:tr>
      <w:tr>
        <w:trPr>
          <w:trHeight w:val="162"/>
        </w:trPr>
        <w:tc>
          <w:tcPr>
            <w:tcW w:w="1140" w:type="dxa"/>
            <w:vAlign w:val="bottom"/>
            <w:shd w:val="clear" w:color="auto" w:fill="CCE2F1"/>
          </w:tcPr>
          <w:p>
            <w:pPr>
              <w:spacing w:after="0"/>
              <w:rPr>
                <w:sz w:val="14"/>
                <w:szCs w:val="14"/>
                <w:color w:val="auto"/>
              </w:rPr>
            </w:pPr>
          </w:p>
        </w:tc>
        <w:tc>
          <w:tcPr>
            <w:tcW w:w="1080" w:type="dxa"/>
            <w:vAlign w:val="bottom"/>
            <w:shd w:val="clear" w:color="auto" w:fill="CCE2F1"/>
          </w:tcPr>
          <w:p>
            <w:pPr>
              <w:jc w:val="right"/>
              <w:ind w:right="28"/>
              <w:spacing w:after="0"/>
              <w:rPr>
                <w:sz w:val="20"/>
                <w:szCs w:val="20"/>
                <w:color w:val="auto"/>
              </w:rPr>
            </w:pPr>
            <w:r>
              <w:rPr>
                <w:rFonts w:ascii="Arial" w:cs="Arial" w:eastAsia="Arial" w:hAnsi="Arial"/>
                <w:sz w:val="14"/>
                <w:szCs w:val="14"/>
                <w:color w:val="auto"/>
              </w:rPr>
              <w:t>0</w:t>
            </w:r>
          </w:p>
        </w:tc>
        <w:tc>
          <w:tcPr>
            <w:tcW w:w="1320" w:type="dxa"/>
            <w:vAlign w:val="bottom"/>
            <w:gridSpan w:val="2"/>
            <w:shd w:val="clear" w:color="auto" w:fill="CCE2F1"/>
          </w:tcPr>
          <w:p>
            <w:pPr>
              <w:jc w:val="right"/>
              <w:ind w:right="48"/>
              <w:spacing w:after="0"/>
              <w:rPr>
                <w:sz w:val="20"/>
                <w:szCs w:val="20"/>
                <w:color w:val="auto"/>
              </w:rPr>
            </w:pPr>
            <w:r>
              <w:rPr>
                <w:rFonts w:ascii="Arial" w:cs="Arial" w:eastAsia="Arial" w:hAnsi="Arial"/>
                <w:sz w:val="14"/>
                <w:szCs w:val="14"/>
                <w:color w:val="auto"/>
              </w:rPr>
              <w:t>34,420</w:t>
            </w:r>
          </w:p>
        </w:tc>
        <w:tc>
          <w:tcPr>
            <w:tcW w:w="92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239.64</w:t>
            </w:r>
          </w:p>
        </w:tc>
        <w:tc>
          <w:tcPr>
            <w:tcW w:w="96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4/30/2031</w:t>
            </w:r>
          </w:p>
        </w:tc>
        <w:tc>
          <w:tcPr>
            <w:tcW w:w="112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1560" w:type="dxa"/>
            <w:vAlign w:val="bottom"/>
            <w:shd w:val="clear" w:color="auto" w:fill="CCE2F1"/>
          </w:tcPr>
          <w:p>
            <w:pPr>
              <w:jc w:val="right"/>
              <w:ind w:right="10"/>
              <w:spacing w:after="0" w:line="162" w:lineRule="exact"/>
              <w:rPr>
                <w:sz w:val="20"/>
                <w:szCs w:val="20"/>
                <w:color w:val="auto"/>
              </w:rPr>
            </w:pPr>
            <w:r>
              <w:rPr>
                <w:rFonts w:ascii="Arial" w:cs="Arial" w:eastAsia="Arial" w:hAnsi="Arial"/>
                <w:sz w:val="13"/>
                <w:szCs w:val="13"/>
                <w:color w:val="auto"/>
              </w:rPr>
              <w:t>19,693</w:t>
            </w:r>
            <w:r>
              <w:rPr>
                <w:rFonts w:ascii="Arial" w:cs="Arial" w:eastAsia="Arial" w:hAnsi="Arial"/>
                <w:sz w:val="18"/>
                <w:szCs w:val="18"/>
                <w:color w:val="auto"/>
                <w:vertAlign w:val="superscript"/>
              </w:rPr>
              <w:t>(5)</w:t>
            </w:r>
          </w:p>
        </w:tc>
        <w:tc>
          <w:tcPr>
            <w:tcW w:w="1460" w:type="dxa"/>
            <w:vAlign w:val="bottom"/>
            <w:shd w:val="clear" w:color="auto" w:fill="CCE2F1"/>
          </w:tcPr>
          <w:p>
            <w:pPr>
              <w:jc w:val="right"/>
              <w:ind w:right="48"/>
              <w:spacing w:after="0"/>
              <w:rPr>
                <w:sz w:val="20"/>
                <w:szCs w:val="20"/>
                <w:color w:val="auto"/>
              </w:rPr>
            </w:pPr>
            <w:r>
              <w:rPr>
                <w:rFonts w:ascii="Arial" w:cs="Arial" w:eastAsia="Arial" w:hAnsi="Arial"/>
                <w:sz w:val="14"/>
                <w:szCs w:val="14"/>
                <w:color w:val="auto"/>
              </w:rPr>
              <w:t>5,172,170</w:t>
            </w:r>
          </w:p>
        </w:tc>
        <w:tc>
          <w:tcPr>
            <w:tcW w:w="0" w:type="dxa"/>
            <w:vAlign w:val="bottom"/>
          </w:tcPr>
          <w:p>
            <w:pPr>
              <w:spacing w:after="0"/>
              <w:rPr>
                <w:sz w:val="1"/>
                <w:szCs w:val="1"/>
                <w:color w:val="auto"/>
              </w:rPr>
            </w:pPr>
          </w:p>
        </w:tc>
      </w:tr>
      <w:tr>
        <w:trPr>
          <w:trHeight w:val="165"/>
        </w:trPr>
        <w:tc>
          <w:tcPr>
            <w:tcW w:w="1140" w:type="dxa"/>
            <w:vAlign w:val="bottom"/>
            <w:shd w:val="clear" w:color="auto" w:fill="CCE2F1"/>
          </w:tcPr>
          <w:p>
            <w:pPr>
              <w:spacing w:after="0"/>
              <w:rPr>
                <w:sz w:val="14"/>
                <w:szCs w:val="14"/>
                <w:color w:val="auto"/>
              </w:rPr>
            </w:pPr>
          </w:p>
        </w:tc>
        <w:tc>
          <w:tcPr>
            <w:tcW w:w="1080" w:type="dxa"/>
            <w:vAlign w:val="bottom"/>
            <w:shd w:val="clear" w:color="auto" w:fill="CCE2F1"/>
          </w:tcPr>
          <w:p>
            <w:pPr>
              <w:jc w:val="right"/>
              <w:ind w:right="28"/>
              <w:spacing w:after="0"/>
              <w:rPr>
                <w:sz w:val="20"/>
                <w:szCs w:val="20"/>
                <w:color w:val="auto"/>
              </w:rPr>
            </w:pPr>
            <w:r>
              <w:rPr>
                <w:rFonts w:ascii="Arial" w:cs="Arial" w:eastAsia="Arial" w:hAnsi="Arial"/>
                <w:sz w:val="14"/>
                <w:szCs w:val="14"/>
                <w:color w:val="auto"/>
              </w:rPr>
              <w:t>9,352</w:t>
            </w:r>
          </w:p>
        </w:tc>
        <w:tc>
          <w:tcPr>
            <w:tcW w:w="1320" w:type="dxa"/>
            <w:vAlign w:val="bottom"/>
            <w:gridSpan w:val="2"/>
            <w:shd w:val="clear" w:color="auto" w:fill="CCE2F1"/>
          </w:tcPr>
          <w:p>
            <w:pPr>
              <w:jc w:val="right"/>
              <w:ind w:right="48"/>
              <w:spacing w:after="0"/>
              <w:rPr>
                <w:sz w:val="20"/>
                <w:szCs w:val="20"/>
                <w:color w:val="auto"/>
              </w:rPr>
            </w:pPr>
            <w:r>
              <w:rPr>
                <w:rFonts w:ascii="Arial" w:cs="Arial" w:eastAsia="Arial" w:hAnsi="Arial"/>
                <w:sz w:val="14"/>
                <w:szCs w:val="14"/>
                <w:color w:val="auto"/>
              </w:rPr>
              <w:t>18,989</w:t>
            </w:r>
          </w:p>
        </w:tc>
        <w:tc>
          <w:tcPr>
            <w:tcW w:w="92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236.36</w:t>
            </w:r>
          </w:p>
        </w:tc>
        <w:tc>
          <w:tcPr>
            <w:tcW w:w="96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5/5/2030</w:t>
            </w:r>
          </w:p>
        </w:tc>
        <w:tc>
          <w:tcPr>
            <w:tcW w:w="112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1560" w:type="dxa"/>
            <w:vAlign w:val="bottom"/>
            <w:shd w:val="clear" w:color="auto" w:fill="CCE2F1"/>
          </w:tcPr>
          <w:p>
            <w:pPr>
              <w:jc w:val="right"/>
              <w:ind w:right="10"/>
              <w:spacing w:after="0" w:line="165" w:lineRule="exact"/>
              <w:rPr>
                <w:sz w:val="20"/>
                <w:szCs w:val="20"/>
                <w:color w:val="auto"/>
              </w:rPr>
            </w:pPr>
            <w:r>
              <w:rPr>
                <w:rFonts w:ascii="Arial" w:cs="Arial" w:eastAsia="Arial" w:hAnsi="Arial"/>
                <w:sz w:val="13"/>
                <w:szCs w:val="13"/>
                <w:color w:val="auto"/>
              </w:rPr>
              <w:t>7,753</w:t>
            </w:r>
            <w:r>
              <w:rPr>
                <w:rFonts w:ascii="Arial" w:cs="Arial" w:eastAsia="Arial" w:hAnsi="Arial"/>
                <w:sz w:val="19"/>
                <w:szCs w:val="19"/>
                <w:color w:val="auto"/>
                <w:vertAlign w:val="superscript"/>
              </w:rPr>
              <w:t>(6)</w:t>
            </w:r>
          </w:p>
        </w:tc>
        <w:tc>
          <w:tcPr>
            <w:tcW w:w="1460" w:type="dxa"/>
            <w:vAlign w:val="bottom"/>
            <w:shd w:val="clear" w:color="auto" w:fill="CCE2F1"/>
          </w:tcPr>
          <w:p>
            <w:pPr>
              <w:jc w:val="right"/>
              <w:ind w:right="48"/>
              <w:spacing w:after="0"/>
              <w:rPr>
                <w:sz w:val="20"/>
                <w:szCs w:val="20"/>
                <w:color w:val="auto"/>
              </w:rPr>
            </w:pPr>
            <w:r>
              <w:rPr>
                <w:rFonts w:ascii="Arial" w:cs="Arial" w:eastAsia="Arial" w:hAnsi="Arial"/>
                <w:sz w:val="14"/>
                <w:szCs w:val="14"/>
                <w:color w:val="auto"/>
              </w:rPr>
              <w:t>2,036,248</w:t>
            </w:r>
          </w:p>
        </w:tc>
        <w:tc>
          <w:tcPr>
            <w:tcW w:w="0" w:type="dxa"/>
            <w:vAlign w:val="bottom"/>
          </w:tcPr>
          <w:p>
            <w:pPr>
              <w:spacing w:after="0"/>
              <w:rPr>
                <w:sz w:val="1"/>
                <w:szCs w:val="1"/>
                <w:color w:val="auto"/>
              </w:rPr>
            </w:pPr>
          </w:p>
        </w:tc>
      </w:tr>
      <w:tr>
        <w:trPr>
          <w:trHeight w:val="162"/>
        </w:trPr>
        <w:tc>
          <w:tcPr>
            <w:tcW w:w="1140" w:type="dxa"/>
            <w:vAlign w:val="bottom"/>
            <w:shd w:val="clear" w:color="auto" w:fill="CCE2F1"/>
          </w:tcPr>
          <w:p>
            <w:pPr>
              <w:spacing w:after="0"/>
              <w:rPr>
                <w:sz w:val="14"/>
                <w:szCs w:val="14"/>
                <w:color w:val="auto"/>
              </w:rPr>
            </w:pPr>
          </w:p>
        </w:tc>
        <w:tc>
          <w:tcPr>
            <w:tcW w:w="1080" w:type="dxa"/>
            <w:vAlign w:val="bottom"/>
            <w:shd w:val="clear" w:color="auto" w:fill="CCE2F1"/>
          </w:tcPr>
          <w:p>
            <w:pPr>
              <w:jc w:val="right"/>
              <w:ind w:right="28"/>
              <w:spacing w:after="0"/>
              <w:rPr>
                <w:sz w:val="20"/>
                <w:szCs w:val="20"/>
                <w:color w:val="auto"/>
              </w:rPr>
            </w:pPr>
            <w:r>
              <w:rPr>
                <w:rFonts w:ascii="Arial" w:cs="Arial" w:eastAsia="Arial" w:hAnsi="Arial"/>
                <w:sz w:val="14"/>
                <w:szCs w:val="14"/>
                <w:color w:val="auto"/>
              </w:rPr>
              <w:t>22,743</w:t>
            </w:r>
          </w:p>
        </w:tc>
        <w:tc>
          <w:tcPr>
            <w:tcW w:w="1320" w:type="dxa"/>
            <w:vAlign w:val="bottom"/>
            <w:gridSpan w:val="2"/>
            <w:shd w:val="clear" w:color="auto" w:fill="CCE2F1"/>
          </w:tcPr>
          <w:p>
            <w:pPr>
              <w:jc w:val="right"/>
              <w:ind w:right="48"/>
              <w:spacing w:after="0"/>
              <w:rPr>
                <w:sz w:val="20"/>
                <w:szCs w:val="20"/>
                <w:color w:val="auto"/>
              </w:rPr>
            </w:pPr>
            <w:r>
              <w:rPr>
                <w:rFonts w:ascii="Arial" w:cs="Arial" w:eastAsia="Arial" w:hAnsi="Arial"/>
                <w:sz w:val="14"/>
                <w:szCs w:val="14"/>
                <w:color w:val="auto"/>
              </w:rPr>
              <w:t>11,717</w:t>
            </w:r>
          </w:p>
        </w:tc>
        <w:tc>
          <w:tcPr>
            <w:tcW w:w="92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177.31</w:t>
            </w:r>
          </w:p>
        </w:tc>
        <w:tc>
          <w:tcPr>
            <w:tcW w:w="96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5/3/2029</w:t>
            </w:r>
          </w:p>
        </w:tc>
        <w:tc>
          <w:tcPr>
            <w:tcW w:w="112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156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CCE2F1"/>
          </w:tcPr>
          <w:p>
            <w:pPr>
              <w:spacing w:after="0"/>
              <w:rPr>
                <w:sz w:val="14"/>
                <w:szCs w:val="14"/>
                <w:color w:val="auto"/>
              </w:rPr>
            </w:pPr>
          </w:p>
        </w:tc>
        <w:tc>
          <w:tcPr>
            <w:tcW w:w="1080" w:type="dxa"/>
            <w:vAlign w:val="bottom"/>
            <w:shd w:val="clear" w:color="auto" w:fill="CCE2F1"/>
          </w:tcPr>
          <w:p>
            <w:pPr>
              <w:jc w:val="right"/>
              <w:ind w:right="28"/>
              <w:spacing w:after="0"/>
              <w:rPr>
                <w:sz w:val="20"/>
                <w:szCs w:val="20"/>
                <w:color w:val="auto"/>
              </w:rPr>
            </w:pPr>
            <w:r>
              <w:rPr>
                <w:rFonts w:ascii="Arial" w:cs="Arial" w:eastAsia="Arial" w:hAnsi="Arial"/>
                <w:sz w:val="14"/>
                <w:szCs w:val="14"/>
                <w:color w:val="auto"/>
              </w:rPr>
              <w:t>24,291</w:t>
            </w:r>
          </w:p>
        </w:tc>
        <w:tc>
          <w:tcPr>
            <w:tcW w:w="1320" w:type="dxa"/>
            <w:vAlign w:val="bottom"/>
            <w:gridSpan w:val="2"/>
            <w:shd w:val="clear" w:color="auto" w:fill="CCE2F1"/>
          </w:tcPr>
          <w:p>
            <w:pPr>
              <w:jc w:val="right"/>
              <w:ind w:right="48"/>
              <w:spacing w:after="0"/>
              <w:rPr>
                <w:sz w:val="20"/>
                <w:szCs w:val="20"/>
                <w:color w:val="auto"/>
              </w:rPr>
            </w:pPr>
            <w:r>
              <w:rPr>
                <w:rFonts w:ascii="Arial" w:cs="Arial" w:eastAsia="Arial" w:hAnsi="Arial"/>
                <w:sz w:val="14"/>
                <w:szCs w:val="14"/>
                <w:color w:val="auto"/>
              </w:rPr>
              <w:t>0</w:t>
            </w:r>
          </w:p>
        </w:tc>
        <w:tc>
          <w:tcPr>
            <w:tcW w:w="92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177.46</w:t>
            </w:r>
          </w:p>
        </w:tc>
        <w:tc>
          <w:tcPr>
            <w:tcW w:w="96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4/27/2028</w:t>
            </w:r>
          </w:p>
        </w:tc>
        <w:tc>
          <w:tcPr>
            <w:tcW w:w="112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156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CCE2F1"/>
          </w:tcPr>
          <w:p>
            <w:pPr>
              <w:spacing w:after="0"/>
              <w:rPr>
                <w:sz w:val="14"/>
                <w:szCs w:val="14"/>
                <w:color w:val="auto"/>
              </w:rPr>
            </w:pPr>
          </w:p>
        </w:tc>
        <w:tc>
          <w:tcPr>
            <w:tcW w:w="1080" w:type="dxa"/>
            <w:vAlign w:val="bottom"/>
            <w:shd w:val="clear" w:color="auto" w:fill="CCE2F1"/>
          </w:tcPr>
          <w:p>
            <w:pPr>
              <w:jc w:val="right"/>
              <w:ind w:right="28"/>
              <w:spacing w:after="0"/>
              <w:rPr>
                <w:sz w:val="20"/>
                <w:szCs w:val="20"/>
                <w:color w:val="auto"/>
              </w:rPr>
            </w:pPr>
            <w:r>
              <w:rPr>
                <w:rFonts w:ascii="Arial" w:cs="Arial" w:eastAsia="Arial" w:hAnsi="Arial"/>
                <w:sz w:val="14"/>
                <w:szCs w:val="14"/>
                <w:color w:val="auto"/>
              </w:rPr>
              <w:t>30,501</w:t>
            </w:r>
          </w:p>
        </w:tc>
        <w:tc>
          <w:tcPr>
            <w:tcW w:w="200" w:type="dxa"/>
            <w:vAlign w:val="bottom"/>
            <w:shd w:val="clear" w:color="auto" w:fill="CCE2F1"/>
          </w:tcPr>
          <w:p>
            <w:pPr>
              <w:spacing w:after="0"/>
              <w:rPr>
                <w:sz w:val="14"/>
                <w:szCs w:val="14"/>
                <w:color w:val="auto"/>
              </w:rPr>
            </w:pPr>
          </w:p>
        </w:tc>
        <w:tc>
          <w:tcPr>
            <w:tcW w:w="1120" w:type="dxa"/>
            <w:vAlign w:val="bottom"/>
            <w:shd w:val="clear" w:color="auto" w:fill="CCE2F1"/>
          </w:tcPr>
          <w:p>
            <w:pPr>
              <w:jc w:val="right"/>
              <w:ind w:right="48"/>
              <w:spacing w:after="0"/>
              <w:rPr>
                <w:sz w:val="20"/>
                <w:szCs w:val="20"/>
                <w:color w:val="auto"/>
              </w:rPr>
            </w:pPr>
            <w:r>
              <w:rPr>
                <w:rFonts w:ascii="Arial" w:cs="Arial" w:eastAsia="Arial" w:hAnsi="Arial"/>
                <w:sz w:val="14"/>
                <w:szCs w:val="14"/>
                <w:color w:val="auto"/>
              </w:rPr>
              <w:t>0</w:t>
            </w:r>
          </w:p>
        </w:tc>
        <w:tc>
          <w:tcPr>
            <w:tcW w:w="92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162.60</w:t>
            </w:r>
          </w:p>
        </w:tc>
        <w:tc>
          <w:tcPr>
            <w:tcW w:w="960" w:type="dxa"/>
            <w:vAlign w:val="bottom"/>
            <w:shd w:val="clear" w:color="auto" w:fill="CCE2F1"/>
          </w:tcPr>
          <w:p>
            <w:pPr>
              <w:jc w:val="right"/>
              <w:ind w:right="68"/>
              <w:spacing w:after="0"/>
              <w:rPr>
                <w:sz w:val="20"/>
                <w:szCs w:val="20"/>
                <w:color w:val="auto"/>
              </w:rPr>
            </w:pPr>
            <w:r>
              <w:rPr>
                <w:rFonts w:ascii="Arial" w:cs="Arial" w:eastAsia="Arial" w:hAnsi="Arial"/>
                <w:sz w:val="14"/>
                <w:szCs w:val="14"/>
                <w:color w:val="auto"/>
              </w:rPr>
              <w:t>5/1/2027</w:t>
            </w:r>
          </w:p>
        </w:tc>
        <w:tc>
          <w:tcPr>
            <w:tcW w:w="112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1560" w:type="dxa"/>
            <w:vAlign w:val="bottom"/>
            <w:shd w:val="clear" w:color="auto" w:fill="CCE2F1"/>
          </w:tcPr>
          <w:p>
            <w:pPr>
              <w:spacing w:after="0"/>
              <w:rPr>
                <w:sz w:val="14"/>
                <w:szCs w:val="14"/>
                <w:color w:val="auto"/>
              </w:rPr>
            </w:pPr>
          </w:p>
        </w:tc>
        <w:tc>
          <w:tcPr>
            <w:tcW w:w="1460" w:type="dxa"/>
            <w:vAlign w:val="bottom"/>
            <w:shd w:val="clear" w:color="auto" w:fill="CCE2F1"/>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Borders>
              <w:bottom w:val="single" w:sz="8" w:color="CCE2F1"/>
            </w:tcBorders>
            <w:shd w:val="clear" w:color="auto" w:fill="CCE2F1"/>
          </w:tcPr>
          <w:p>
            <w:pPr>
              <w:spacing w:after="0"/>
              <w:rPr>
                <w:sz w:val="18"/>
                <w:szCs w:val="18"/>
                <w:color w:val="auto"/>
              </w:rPr>
            </w:pPr>
          </w:p>
        </w:tc>
        <w:tc>
          <w:tcPr>
            <w:tcW w:w="1080" w:type="dxa"/>
            <w:vAlign w:val="bottom"/>
            <w:tcBorders>
              <w:bottom w:val="single" w:sz="8" w:color="CCE2F1"/>
            </w:tcBorders>
            <w:shd w:val="clear" w:color="auto" w:fill="CCE2F1"/>
          </w:tcPr>
          <w:p>
            <w:pPr>
              <w:jc w:val="right"/>
              <w:ind w:right="28"/>
              <w:spacing w:after="0"/>
              <w:rPr>
                <w:sz w:val="20"/>
                <w:szCs w:val="20"/>
                <w:color w:val="auto"/>
              </w:rPr>
            </w:pPr>
            <w:r>
              <w:rPr>
                <w:rFonts w:ascii="Arial" w:cs="Arial" w:eastAsia="Arial" w:hAnsi="Arial"/>
                <w:sz w:val="14"/>
                <w:szCs w:val="14"/>
                <w:color w:val="auto"/>
              </w:rPr>
              <w:t>8,711</w:t>
            </w:r>
          </w:p>
        </w:tc>
        <w:tc>
          <w:tcPr>
            <w:tcW w:w="200" w:type="dxa"/>
            <w:vAlign w:val="bottom"/>
            <w:tcBorders>
              <w:bottom w:val="single" w:sz="8" w:color="CCE2F1"/>
            </w:tcBorders>
            <w:shd w:val="clear" w:color="auto" w:fill="CCE2F1"/>
          </w:tcPr>
          <w:p>
            <w:pPr>
              <w:spacing w:after="0"/>
              <w:rPr>
                <w:sz w:val="18"/>
                <w:szCs w:val="18"/>
                <w:color w:val="auto"/>
              </w:rPr>
            </w:pPr>
          </w:p>
        </w:tc>
        <w:tc>
          <w:tcPr>
            <w:tcW w:w="1120" w:type="dxa"/>
            <w:vAlign w:val="bottom"/>
            <w:tcBorders>
              <w:bottom w:val="single" w:sz="8" w:color="CCE2F1"/>
            </w:tcBorders>
            <w:shd w:val="clear" w:color="auto" w:fill="CCE2F1"/>
          </w:tcPr>
          <w:p>
            <w:pPr>
              <w:jc w:val="right"/>
              <w:ind w:right="48"/>
              <w:spacing w:after="0"/>
              <w:rPr>
                <w:sz w:val="20"/>
                <w:szCs w:val="20"/>
                <w:color w:val="auto"/>
              </w:rPr>
            </w:pPr>
            <w:r>
              <w:rPr>
                <w:rFonts w:ascii="Arial" w:cs="Arial" w:eastAsia="Arial" w:hAnsi="Arial"/>
                <w:sz w:val="14"/>
                <w:szCs w:val="14"/>
                <w:color w:val="auto"/>
              </w:rPr>
              <w:t>0</w:t>
            </w:r>
          </w:p>
        </w:tc>
        <w:tc>
          <w:tcPr>
            <w:tcW w:w="920" w:type="dxa"/>
            <w:vAlign w:val="bottom"/>
            <w:tcBorders>
              <w:bottom w:val="single" w:sz="8" w:color="CCE2F1"/>
            </w:tcBorders>
            <w:shd w:val="clear" w:color="auto" w:fill="CCE2F1"/>
          </w:tcPr>
          <w:p>
            <w:pPr>
              <w:jc w:val="right"/>
              <w:ind w:right="68"/>
              <w:spacing w:after="0"/>
              <w:rPr>
                <w:sz w:val="20"/>
                <w:szCs w:val="20"/>
                <w:color w:val="auto"/>
              </w:rPr>
            </w:pPr>
            <w:r>
              <w:rPr>
                <w:rFonts w:ascii="Arial" w:cs="Arial" w:eastAsia="Arial" w:hAnsi="Arial"/>
                <w:sz w:val="14"/>
                <w:szCs w:val="14"/>
                <w:color w:val="auto"/>
              </w:rPr>
              <w:t>156.35</w:t>
            </w:r>
          </w:p>
        </w:tc>
        <w:tc>
          <w:tcPr>
            <w:tcW w:w="960" w:type="dxa"/>
            <w:vAlign w:val="bottom"/>
            <w:tcBorders>
              <w:bottom w:val="single" w:sz="8" w:color="CCE2F1"/>
            </w:tcBorders>
            <w:shd w:val="clear" w:color="auto" w:fill="CCE2F1"/>
          </w:tcPr>
          <w:p>
            <w:pPr>
              <w:jc w:val="right"/>
              <w:ind w:right="68"/>
              <w:spacing w:after="0"/>
              <w:rPr>
                <w:sz w:val="20"/>
                <w:szCs w:val="20"/>
                <w:color w:val="auto"/>
              </w:rPr>
            </w:pPr>
            <w:r>
              <w:rPr>
                <w:rFonts w:ascii="Arial" w:cs="Arial" w:eastAsia="Arial" w:hAnsi="Arial"/>
                <w:sz w:val="14"/>
                <w:szCs w:val="14"/>
                <w:color w:val="auto"/>
              </w:rPr>
              <w:t>5/3/2026</w:t>
            </w:r>
          </w:p>
        </w:tc>
        <w:tc>
          <w:tcPr>
            <w:tcW w:w="1120" w:type="dxa"/>
            <w:vAlign w:val="bottom"/>
            <w:tcBorders>
              <w:bottom w:val="single" w:sz="8" w:color="CCE2F1"/>
            </w:tcBorders>
            <w:shd w:val="clear" w:color="auto" w:fill="CCE2F1"/>
          </w:tcPr>
          <w:p>
            <w:pPr>
              <w:spacing w:after="0"/>
              <w:rPr>
                <w:sz w:val="18"/>
                <w:szCs w:val="18"/>
                <w:color w:val="auto"/>
              </w:rPr>
            </w:pPr>
          </w:p>
        </w:tc>
        <w:tc>
          <w:tcPr>
            <w:tcW w:w="1460" w:type="dxa"/>
            <w:vAlign w:val="bottom"/>
            <w:tcBorders>
              <w:bottom w:val="single" w:sz="8" w:color="CCE2F1"/>
            </w:tcBorders>
            <w:shd w:val="clear" w:color="auto" w:fill="CCE2F1"/>
          </w:tcPr>
          <w:p>
            <w:pPr>
              <w:spacing w:after="0"/>
              <w:rPr>
                <w:sz w:val="18"/>
                <w:szCs w:val="18"/>
                <w:color w:val="auto"/>
              </w:rPr>
            </w:pPr>
          </w:p>
        </w:tc>
        <w:tc>
          <w:tcPr>
            <w:tcW w:w="1560" w:type="dxa"/>
            <w:vAlign w:val="bottom"/>
            <w:tcBorders>
              <w:bottom w:val="single" w:sz="8" w:color="CCE2F1"/>
            </w:tcBorders>
            <w:shd w:val="clear" w:color="auto" w:fill="CCE2F1"/>
          </w:tcPr>
          <w:p>
            <w:pPr>
              <w:spacing w:after="0"/>
              <w:rPr>
                <w:sz w:val="18"/>
                <w:szCs w:val="18"/>
                <w:color w:val="auto"/>
              </w:rPr>
            </w:pPr>
          </w:p>
        </w:tc>
        <w:tc>
          <w:tcPr>
            <w:tcW w:w="1460" w:type="dxa"/>
            <w:vAlign w:val="bottom"/>
            <w:tcBorders>
              <w:bottom w:val="single" w:sz="8" w:color="CCE2F1"/>
            </w:tcBorders>
            <w:shd w:val="clear" w:color="auto" w:fill="CCE2F1"/>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171B9"/>
          </w:tcPr>
          <w:p>
            <w:pPr>
              <w:spacing w:after="0" w:line="20" w:lineRule="exact"/>
              <w:rPr>
                <w:sz w:val="1"/>
                <w:szCs w:val="1"/>
                <w:color w:val="auto"/>
              </w:rPr>
            </w:pPr>
          </w:p>
        </w:tc>
        <w:tc>
          <w:tcPr>
            <w:tcW w:w="1080" w:type="dxa"/>
            <w:vAlign w:val="bottom"/>
            <w:shd w:val="clear" w:color="auto" w:fill="0171B9"/>
          </w:tcPr>
          <w:p>
            <w:pPr>
              <w:spacing w:after="0" w:line="20" w:lineRule="exact"/>
              <w:rPr>
                <w:sz w:val="1"/>
                <w:szCs w:val="1"/>
                <w:color w:val="auto"/>
              </w:rPr>
            </w:pPr>
          </w:p>
        </w:tc>
        <w:tc>
          <w:tcPr>
            <w:tcW w:w="200" w:type="dxa"/>
            <w:vAlign w:val="bottom"/>
            <w:shd w:val="clear" w:color="auto" w:fill="0171B9"/>
          </w:tcPr>
          <w:p>
            <w:pPr>
              <w:spacing w:after="0" w:line="20" w:lineRule="exact"/>
              <w:rPr>
                <w:sz w:val="1"/>
                <w:szCs w:val="1"/>
                <w:color w:val="auto"/>
              </w:rPr>
            </w:pPr>
          </w:p>
        </w:tc>
        <w:tc>
          <w:tcPr>
            <w:tcW w:w="1120" w:type="dxa"/>
            <w:vAlign w:val="bottom"/>
            <w:shd w:val="clear" w:color="auto" w:fill="0171B9"/>
          </w:tcPr>
          <w:p>
            <w:pPr>
              <w:spacing w:after="0" w:line="20" w:lineRule="exact"/>
              <w:rPr>
                <w:sz w:val="1"/>
                <w:szCs w:val="1"/>
                <w:color w:val="auto"/>
              </w:rPr>
            </w:pPr>
          </w:p>
        </w:tc>
        <w:tc>
          <w:tcPr>
            <w:tcW w:w="920" w:type="dxa"/>
            <w:vAlign w:val="bottom"/>
            <w:shd w:val="clear" w:color="auto" w:fill="0171B9"/>
          </w:tcPr>
          <w:p>
            <w:pPr>
              <w:spacing w:after="0" w:line="20" w:lineRule="exact"/>
              <w:rPr>
                <w:sz w:val="1"/>
                <w:szCs w:val="1"/>
                <w:color w:val="auto"/>
              </w:rPr>
            </w:pPr>
          </w:p>
        </w:tc>
        <w:tc>
          <w:tcPr>
            <w:tcW w:w="960" w:type="dxa"/>
            <w:vAlign w:val="bottom"/>
            <w:shd w:val="clear" w:color="auto" w:fill="0171B9"/>
          </w:tcPr>
          <w:p>
            <w:pPr>
              <w:spacing w:after="0" w:line="20" w:lineRule="exact"/>
              <w:rPr>
                <w:sz w:val="1"/>
                <w:szCs w:val="1"/>
                <w:color w:val="auto"/>
              </w:rPr>
            </w:pPr>
          </w:p>
        </w:tc>
        <w:tc>
          <w:tcPr>
            <w:tcW w:w="1120" w:type="dxa"/>
            <w:vAlign w:val="bottom"/>
            <w:shd w:val="clear" w:color="auto" w:fill="0171B9"/>
          </w:tcPr>
          <w:p>
            <w:pPr>
              <w:spacing w:after="0" w:line="20" w:lineRule="exact"/>
              <w:rPr>
                <w:sz w:val="1"/>
                <w:szCs w:val="1"/>
                <w:color w:val="auto"/>
              </w:rPr>
            </w:pPr>
          </w:p>
        </w:tc>
        <w:tc>
          <w:tcPr>
            <w:tcW w:w="1460" w:type="dxa"/>
            <w:vAlign w:val="bottom"/>
            <w:shd w:val="clear" w:color="auto" w:fill="0171B9"/>
          </w:tcPr>
          <w:p>
            <w:pPr>
              <w:spacing w:after="0" w:line="20" w:lineRule="exact"/>
              <w:rPr>
                <w:sz w:val="1"/>
                <w:szCs w:val="1"/>
                <w:color w:val="auto"/>
              </w:rPr>
            </w:pPr>
          </w:p>
        </w:tc>
        <w:tc>
          <w:tcPr>
            <w:tcW w:w="1560" w:type="dxa"/>
            <w:vAlign w:val="bottom"/>
            <w:shd w:val="clear" w:color="auto" w:fill="0171B9"/>
          </w:tcPr>
          <w:p>
            <w:pPr>
              <w:spacing w:after="0" w:line="20" w:lineRule="exact"/>
              <w:rPr>
                <w:sz w:val="1"/>
                <w:szCs w:val="1"/>
                <w:color w:val="auto"/>
              </w:rPr>
            </w:pPr>
          </w:p>
        </w:tc>
        <w:tc>
          <w:tcPr>
            <w:tcW w:w="1460" w:type="dxa"/>
            <w:vAlign w:val="bottom"/>
            <w:shd w:val="clear" w:color="auto" w:fill="0171B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-4028440</wp:posOffset>
            </wp:positionV>
            <wp:extent cx="699516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-4868545</wp:posOffset>
            </wp:positionV>
            <wp:extent cx="613791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137910" cy="8255"/>
                    </a:xfrm>
                    <a:prstGeom prst="rect">
                      <a:avLst/>
                    </a:prstGeom>
                    <a:noFill/>
                  </pic:spPr>
                </pic:pic>
              </a:graphicData>
            </a:graphic>
          </wp:anchor>
        </w:drawing>
      </w:r>
    </w:p>
    <w:p>
      <w:pPr>
        <w:spacing w:after="0" w:line="106" w:lineRule="exact"/>
        <w:rPr>
          <w:sz w:val="20"/>
          <w:szCs w:val="20"/>
          <w:color w:val="auto"/>
        </w:rPr>
      </w:pPr>
    </w:p>
    <w:p>
      <w:pPr>
        <w:jc w:val="both"/>
        <w:ind w:left="540" w:right="20" w:hanging="424"/>
        <w:spacing w:after="0" w:line="207" w:lineRule="auto"/>
        <w:tabs>
          <w:tab w:leader="none" w:pos="540" w:val="left"/>
        </w:tabs>
        <w:numPr>
          <w:ilvl w:val="0"/>
          <w:numId w:val="112"/>
        </w:numPr>
        <w:rPr>
          <w:rFonts w:ascii="Arial" w:cs="Arial" w:eastAsia="Arial" w:hAnsi="Arial"/>
          <w:sz w:val="22"/>
          <w:szCs w:val="22"/>
          <w:color w:val="auto"/>
          <w:vertAlign w:val="superscript"/>
        </w:rPr>
      </w:pPr>
      <w:r>
        <w:rPr>
          <w:rFonts w:ascii="Arial" w:cs="Arial" w:eastAsia="Arial" w:hAnsi="Arial"/>
          <w:sz w:val="14"/>
          <w:szCs w:val="14"/>
          <w:color w:val="auto"/>
        </w:rPr>
        <w:t>In general, stock options expire on the tenth anniversary of their grant date. If a retirement-eligible staff member retires, their stock options continue to vest and expire on the earlier of: (i) the fifth anniversary of their retirement date; or (ii) the end of the grant term. Stock options vest at a rate of approximately 33%, 33%, and 34% on the second, third, and fourth anniversaries of the grant date, respectively. The grant date is 10 years preceding the expiration date in the table.</w:t>
      </w:r>
    </w:p>
    <w:p>
      <w:pPr>
        <w:spacing w:after="0" w:line="117" w:lineRule="exact"/>
        <w:rPr>
          <w:sz w:val="20"/>
          <w:szCs w:val="20"/>
          <w:color w:val="auto"/>
        </w:r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7760"/>
        <w:spacing w:after="0"/>
        <w:rPr>
          <w:sz w:val="20"/>
          <w:szCs w:val="20"/>
          <w:color w:val="auto"/>
        </w:rPr>
      </w:pPr>
      <w:r>
        <w:rPr>
          <w:rFonts w:ascii="Arial" w:cs="Arial" w:eastAsia="Arial" w:hAnsi="Arial"/>
          <w:sz w:val="22"/>
          <w:szCs w:val="22"/>
          <w:b w:val="1"/>
          <w:bCs w:val="1"/>
          <w:color w:val="FFFFFF"/>
          <w:shd w:val="clear" w:color="auto" w:fill="0171B9"/>
        </w:rPr>
        <w:t>Executive Compensation Tables</w:t>
      </w:r>
    </w:p>
    <w:p>
      <w:pPr>
        <w:spacing w:after="0" w:line="378" w:lineRule="exact"/>
        <w:rPr>
          <w:sz w:val="20"/>
          <w:szCs w:val="20"/>
          <w:color w:val="auto"/>
        </w:rPr>
      </w:pPr>
    </w:p>
    <w:p>
      <w:pPr>
        <w:jc w:val="both"/>
        <w:ind w:left="540" w:hanging="424"/>
        <w:spacing w:after="0" w:line="207" w:lineRule="auto"/>
        <w:tabs>
          <w:tab w:leader="none" w:pos="540" w:val="left"/>
        </w:tabs>
        <w:numPr>
          <w:ilvl w:val="0"/>
          <w:numId w:val="113"/>
        </w:numPr>
        <w:rPr>
          <w:rFonts w:ascii="Arial" w:cs="Arial" w:eastAsia="Arial" w:hAnsi="Arial"/>
          <w:sz w:val="22"/>
          <w:szCs w:val="22"/>
          <w:color w:val="auto"/>
          <w:vertAlign w:val="superscript"/>
        </w:rPr>
      </w:pPr>
      <w:r>
        <w:rPr>
          <w:rFonts w:ascii="Arial" w:cs="Arial" w:eastAsia="Arial" w:hAnsi="Arial"/>
          <w:sz w:val="14"/>
          <w:szCs w:val="14"/>
          <w:color w:val="auto"/>
        </w:rPr>
        <w:t>The following table shows the vesting of RSUs and related accrued dividend equivalents (rounded down to the nearest whole number of units) outstanding as of December 31, 2022. RSUs accrue dividends that are deemed reinvested in shares and payable only when, and to the extent that, the underlying RSUs vest and are issued to the participant.</w:t>
      </w:r>
    </w:p>
    <w:p>
      <w:pPr>
        <w:spacing w:after="0" w:line="228" w:lineRule="exact"/>
        <w:rPr>
          <w:sz w:val="20"/>
          <w:szCs w:val="20"/>
          <w:color w:val="auto"/>
        </w:rPr>
      </w:pPr>
    </w:p>
    <w:tbl>
      <w:tblPr>
        <w:tblLayout w:type="fixed"/>
        <w:tblInd w:w="560" w:type="dxa"/>
        <w:tblCellMar>
          <w:top w:w="0" w:type="dxa"/>
          <w:left w:w="0" w:type="dxa"/>
          <w:bottom w:w="0" w:type="dxa"/>
          <w:right w:w="0" w:type="dxa"/>
        </w:tblCellMar>
      </w:tblPr>
      <w:tr>
        <w:trPr>
          <w:trHeight w:val="264"/>
        </w:trPr>
        <w:tc>
          <w:tcPr>
            <w:tcW w:w="4760" w:type="dxa"/>
            <w:vAlign w:val="bottom"/>
            <w:shd w:val="clear" w:color="auto" w:fill="0171B9"/>
          </w:tcPr>
          <w:p>
            <w:pPr>
              <w:spacing w:after="0"/>
              <w:rPr>
                <w:sz w:val="22"/>
                <w:szCs w:val="22"/>
                <w:color w:val="auto"/>
              </w:rPr>
            </w:pPr>
          </w:p>
        </w:tc>
        <w:tc>
          <w:tcPr>
            <w:tcW w:w="920" w:type="dxa"/>
            <w:vAlign w:val="bottom"/>
            <w:shd w:val="clear" w:color="auto" w:fill="0171B9"/>
          </w:tcPr>
          <w:p>
            <w:pPr>
              <w:spacing w:after="0"/>
              <w:rPr>
                <w:sz w:val="22"/>
                <w:szCs w:val="22"/>
                <w:color w:val="auto"/>
              </w:rPr>
            </w:pPr>
          </w:p>
        </w:tc>
        <w:tc>
          <w:tcPr>
            <w:tcW w:w="1140" w:type="dxa"/>
            <w:vAlign w:val="bottom"/>
            <w:shd w:val="clear" w:color="auto" w:fill="0171B9"/>
          </w:tcPr>
          <w:p>
            <w:pPr>
              <w:spacing w:after="0"/>
              <w:rPr>
                <w:sz w:val="22"/>
                <w:szCs w:val="22"/>
                <w:color w:val="auto"/>
              </w:rPr>
            </w:pPr>
          </w:p>
        </w:tc>
        <w:tc>
          <w:tcPr>
            <w:tcW w:w="1300" w:type="dxa"/>
            <w:vAlign w:val="bottom"/>
            <w:shd w:val="clear" w:color="auto" w:fill="0171B9"/>
          </w:tcPr>
          <w:p>
            <w:pPr>
              <w:jc w:val="right"/>
              <w:ind w:right="36"/>
              <w:spacing w:after="0"/>
              <w:rPr>
                <w:sz w:val="20"/>
                <w:szCs w:val="20"/>
                <w:color w:val="auto"/>
              </w:rPr>
            </w:pPr>
            <w:r>
              <w:rPr>
                <w:rFonts w:ascii="Arial" w:cs="Arial" w:eastAsia="Arial" w:hAnsi="Arial"/>
                <w:sz w:val="16"/>
                <w:szCs w:val="16"/>
                <w:b w:val="1"/>
                <w:bCs w:val="1"/>
                <w:color w:val="FFFFFF"/>
              </w:rPr>
              <w:t>Granted on</w:t>
            </w:r>
          </w:p>
        </w:tc>
        <w:tc>
          <w:tcPr>
            <w:tcW w:w="1360" w:type="dxa"/>
            <w:vAlign w:val="bottom"/>
            <w:shd w:val="clear" w:color="auto" w:fill="0171B9"/>
          </w:tcPr>
          <w:p>
            <w:pPr>
              <w:spacing w:after="0"/>
              <w:rPr>
                <w:sz w:val="22"/>
                <w:szCs w:val="22"/>
                <w:color w:val="auto"/>
              </w:rPr>
            </w:pPr>
          </w:p>
        </w:tc>
        <w:tc>
          <w:tcPr>
            <w:tcW w:w="1100" w:type="dxa"/>
            <w:vAlign w:val="bottom"/>
            <w:shd w:val="clear" w:color="auto" w:fill="0171B9"/>
          </w:tcPr>
          <w:p>
            <w:pPr>
              <w:spacing w:after="0"/>
              <w:rPr>
                <w:sz w:val="22"/>
                <w:szCs w:val="22"/>
                <w:color w:val="auto"/>
              </w:rPr>
            </w:pPr>
          </w:p>
        </w:tc>
      </w:tr>
      <w:tr>
        <w:trPr>
          <w:trHeight w:val="258"/>
        </w:trPr>
        <w:tc>
          <w:tcPr>
            <w:tcW w:w="4760" w:type="dxa"/>
            <w:vAlign w:val="bottom"/>
            <w:shd w:val="clear" w:color="auto" w:fill="0171B9"/>
          </w:tcPr>
          <w:p>
            <w:pPr>
              <w:spacing w:after="0"/>
              <w:rPr>
                <w:sz w:val="22"/>
                <w:szCs w:val="22"/>
                <w:color w:val="auto"/>
              </w:rPr>
            </w:pPr>
          </w:p>
        </w:tc>
        <w:tc>
          <w:tcPr>
            <w:tcW w:w="920" w:type="dxa"/>
            <w:vAlign w:val="bottom"/>
            <w:shd w:val="clear" w:color="auto" w:fill="0171B9"/>
          </w:tcPr>
          <w:p>
            <w:pPr>
              <w:jc w:val="right"/>
              <w:ind w:right="156"/>
              <w:spacing w:after="0"/>
              <w:rPr>
                <w:sz w:val="20"/>
                <w:szCs w:val="20"/>
                <w:color w:val="auto"/>
              </w:rPr>
            </w:pPr>
            <w:r>
              <w:rPr>
                <w:rFonts w:ascii="Arial" w:cs="Arial" w:eastAsia="Arial" w:hAnsi="Arial"/>
                <w:sz w:val="16"/>
                <w:szCs w:val="16"/>
                <w:b w:val="1"/>
                <w:bCs w:val="1"/>
                <w:color w:val="FFFFFF"/>
              </w:rPr>
              <w:t>May 2,</w:t>
            </w:r>
          </w:p>
        </w:tc>
        <w:tc>
          <w:tcPr>
            <w:tcW w:w="1140" w:type="dxa"/>
            <w:vAlign w:val="bottom"/>
            <w:shd w:val="clear" w:color="auto" w:fill="0171B9"/>
          </w:tcPr>
          <w:p>
            <w:pPr>
              <w:jc w:val="right"/>
              <w:ind w:right="216"/>
              <w:spacing w:after="0"/>
              <w:rPr>
                <w:sz w:val="20"/>
                <w:szCs w:val="20"/>
                <w:color w:val="auto"/>
              </w:rPr>
            </w:pPr>
            <w:r>
              <w:rPr>
                <w:rFonts w:ascii="Arial" w:cs="Arial" w:eastAsia="Arial" w:hAnsi="Arial"/>
                <w:sz w:val="16"/>
                <w:szCs w:val="16"/>
                <w:b w:val="1"/>
                <w:bCs w:val="1"/>
                <w:color w:val="FFFFFF"/>
              </w:rPr>
              <w:t>April 30</w:t>
            </w:r>
          </w:p>
        </w:tc>
        <w:tc>
          <w:tcPr>
            <w:tcW w:w="1300" w:type="dxa"/>
            <w:vAlign w:val="bottom"/>
            <w:shd w:val="clear" w:color="auto" w:fill="0171B9"/>
          </w:tcPr>
          <w:p>
            <w:pPr>
              <w:jc w:val="right"/>
              <w:ind w:right="416"/>
              <w:spacing w:after="0"/>
              <w:rPr>
                <w:sz w:val="20"/>
                <w:szCs w:val="20"/>
                <w:color w:val="auto"/>
              </w:rPr>
            </w:pPr>
            <w:r>
              <w:rPr>
                <w:rFonts w:ascii="Arial" w:cs="Arial" w:eastAsia="Arial" w:hAnsi="Arial"/>
                <w:sz w:val="16"/>
                <w:szCs w:val="16"/>
                <w:b w:val="1"/>
                <w:bCs w:val="1"/>
                <w:color w:val="FFFFFF"/>
              </w:rPr>
              <w:t>May 5,</w:t>
            </w:r>
          </w:p>
        </w:tc>
        <w:tc>
          <w:tcPr>
            <w:tcW w:w="1360" w:type="dxa"/>
            <w:vAlign w:val="bottom"/>
            <w:shd w:val="clear" w:color="auto" w:fill="0171B9"/>
          </w:tcPr>
          <w:p>
            <w:pPr>
              <w:jc w:val="right"/>
              <w:ind w:right="196"/>
              <w:spacing w:after="0"/>
              <w:rPr>
                <w:sz w:val="20"/>
                <w:szCs w:val="20"/>
                <w:color w:val="auto"/>
              </w:rPr>
            </w:pPr>
            <w:r>
              <w:rPr>
                <w:rFonts w:ascii="Arial" w:cs="Arial" w:eastAsia="Arial" w:hAnsi="Arial"/>
                <w:sz w:val="16"/>
                <w:szCs w:val="16"/>
                <w:b w:val="1"/>
                <w:bCs w:val="1"/>
                <w:color w:val="FFFFFF"/>
              </w:rPr>
              <w:t>November 1,</w:t>
            </w:r>
          </w:p>
        </w:tc>
        <w:tc>
          <w:tcPr>
            <w:tcW w:w="1100" w:type="dxa"/>
            <w:vAlign w:val="bottom"/>
            <w:shd w:val="clear" w:color="auto" w:fill="0171B9"/>
          </w:tcPr>
          <w:p>
            <w:pPr>
              <w:jc w:val="right"/>
              <w:ind w:right="216"/>
              <w:spacing w:after="0"/>
              <w:rPr>
                <w:sz w:val="20"/>
                <w:szCs w:val="20"/>
                <w:color w:val="auto"/>
              </w:rPr>
            </w:pPr>
            <w:r>
              <w:rPr>
                <w:rFonts w:ascii="Arial" w:cs="Arial" w:eastAsia="Arial" w:hAnsi="Arial"/>
                <w:sz w:val="16"/>
                <w:szCs w:val="16"/>
                <w:b w:val="1"/>
                <w:bCs w:val="1"/>
                <w:color w:val="FFFFFF"/>
              </w:rPr>
              <w:t>May 3,</w:t>
            </w:r>
          </w:p>
        </w:tc>
      </w:tr>
      <w:tr>
        <w:trPr>
          <w:trHeight w:val="207"/>
        </w:trPr>
        <w:tc>
          <w:tcPr>
            <w:tcW w:w="4760" w:type="dxa"/>
            <w:vAlign w:val="bottom"/>
            <w:shd w:val="clear" w:color="auto" w:fill="0171B9"/>
          </w:tcPr>
          <w:p>
            <w:pPr>
              <w:ind w:left="100"/>
              <w:spacing w:after="0"/>
              <w:rPr>
                <w:sz w:val="20"/>
                <w:szCs w:val="20"/>
                <w:color w:val="auto"/>
              </w:rPr>
            </w:pPr>
            <w:r>
              <w:rPr>
                <w:rFonts w:ascii="Arial" w:cs="Arial" w:eastAsia="Arial" w:hAnsi="Arial"/>
                <w:sz w:val="16"/>
                <w:szCs w:val="16"/>
                <w:b w:val="1"/>
                <w:bCs w:val="1"/>
                <w:color w:val="FFFFFF"/>
              </w:rPr>
              <w:t>Name</w:t>
            </w:r>
          </w:p>
        </w:tc>
        <w:tc>
          <w:tcPr>
            <w:tcW w:w="920" w:type="dxa"/>
            <w:vAlign w:val="bottom"/>
            <w:shd w:val="clear" w:color="auto" w:fill="0171B9"/>
          </w:tcPr>
          <w:p>
            <w:pPr>
              <w:jc w:val="right"/>
              <w:ind w:right="156"/>
              <w:spacing w:after="0" w:line="207" w:lineRule="exact"/>
              <w:rPr>
                <w:sz w:val="20"/>
                <w:szCs w:val="20"/>
                <w:color w:val="auto"/>
              </w:rPr>
            </w:pPr>
            <w:r>
              <w:rPr>
                <w:rFonts w:ascii="Arial" w:cs="Arial" w:eastAsia="Arial" w:hAnsi="Arial"/>
                <w:sz w:val="16"/>
                <w:szCs w:val="16"/>
                <w:b w:val="1"/>
                <w:bCs w:val="1"/>
                <w:color w:val="FFFFFF"/>
              </w:rPr>
              <w:t>2022</w:t>
            </w:r>
            <w:r>
              <w:rPr>
                <w:rFonts w:ascii="Arial" w:cs="Arial" w:eastAsia="Arial" w:hAnsi="Arial"/>
                <w:sz w:val="24"/>
                <w:szCs w:val="24"/>
                <w:b w:val="1"/>
                <w:bCs w:val="1"/>
                <w:color w:val="FFFFFF"/>
                <w:vertAlign w:val="superscript"/>
              </w:rPr>
              <w:t>(a)</w:t>
            </w:r>
          </w:p>
        </w:tc>
        <w:tc>
          <w:tcPr>
            <w:tcW w:w="1140" w:type="dxa"/>
            <w:vAlign w:val="bottom"/>
            <w:shd w:val="clear" w:color="auto" w:fill="0171B9"/>
          </w:tcPr>
          <w:p>
            <w:pPr>
              <w:jc w:val="right"/>
              <w:ind w:right="216"/>
              <w:spacing w:after="0" w:line="207" w:lineRule="exact"/>
              <w:rPr>
                <w:sz w:val="20"/>
                <w:szCs w:val="20"/>
                <w:color w:val="auto"/>
              </w:rPr>
            </w:pPr>
            <w:r>
              <w:rPr>
                <w:rFonts w:ascii="Arial" w:cs="Arial" w:eastAsia="Arial" w:hAnsi="Arial"/>
                <w:sz w:val="16"/>
                <w:szCs w:val="16"/>
                <w:b w:val="1"/>
                <w:bCs w:val="1"/>
                <w:color w:val="FFFFFF"/>
              </w:rPr>
              <w:t>2021</w:t>
            </w:r>
            <w:r>
              <w:rPr>
                <w:rFonts w:ascii="Arial" w:cs="Arial" w:eastAsia="Arial" w:hAnsi="Arial"/>
                <w:sz w:val="24"/>
                <w:szCs w:val="24"/>
                <w:b w:val="1"/>
                <w:bCs w:val="1"/>
                <w:color w:val="FFFFFF"/>
                <w:vertAlign w:val="superscript"/>
              </w:rPr>
              <w:t>(a)</w:t>
            </w:r>
          </w:p>
        </w:tc>
        <w:tc>
          <w:tcPr>
            <w:tcW w:w="1300" w:type="dxa"/>
            <w:vAlign w:val="bottom"/>
            <w:shd w:val="clear" w:color="auto" w:fill="0171B9"/>
          </w:tcPr>
          <w:p>
            <w:pPr>
              <w:jc w:val="right"/>
              <w:ind w:right="416"/>
              <w:spacing w:after="0" w:line="207" w:lineRule="exact"/>
              <w:rPr>
                <w:sz w:val="20"/>
                <w:szCs w:val="20"/>
                <w:color w:val="auto"/>
              </w:rPr>
            </w:pPr>
            <w:r>
              <w:rPr>
                <w:rFonts w:ascii="Arial" w:cs="Arial" w:eastAsia="Arial" w:hAnsi="Arial"/>
                <w:sz w:val="16"/>
                <w:szCs w:val="16"/>
                <w:b w:val="1"/>
                <w:bCs w:val="1"/>
                <w:color w:val="FFFFFF"/>
              </w:rPr>
              <w:t>2020</w:t>
            </w:r>
            <w:r>
              <w:rPr>
                <w:rFonts w:ascii="Arial" w:cs="Arial" w:eastAsia="Arial" w:hAnsi="Arial"/>
                <w:sz w:val="24"/>
                <w:szCs w:val="24"/>
                <w:b w:val="1"/>
                <w:bCs w:val="1"/>
                <w:color w:val="FFFFFF"/>
                <w:vertAlign w:val="superscript"/>
              </w:rPr>
              <w:t>(b)</w:t>
            </w:r>
          </w:p>
        </w:tc>
        <w:tc>
          <w:tcPr>
            <w:tcW w:w="1360" w:type="dxa"/>
            <w:vAlign w:val="bottom"/>
            <w:shd w:val="clear" w:color="auto" w:fill="0171B9"/>
          </w:tcPr>
          <w:p>
            <w:pPr>
              <w:jc w:val="right"/>
              <w:ind w:right="196"/>
              <w:spacing w:after="0" w:line="207" w:lineRule="exact"/>
              <w:rPr>
                <w:sz w:val="20"/>
                <w:szCs w:val="20"/>
                <w:color w:val="auto"/>
              </w:rPr>
            </w:pPr>
            <w:r>
              <w:rPr>
                <w:rFonts w:ascii="Arial" w:cs="Arial" w:eastAsia="Arial" w:hAnsi="Arial"/>
                <w:sz w:val="16"/>
                <w:szCs w:val="16"/>
                <w:b w:val="1"/>
                <w:bCs w:val="1"/>
                <w:color w:val="FFFFFF"/>
              </w:rPr>
              <w:t>2019</w:t>
            </w:r>
            <w:r>
              <w:rPr>
                <w:rFonts w:ascii="Arial" w:cs="Arial" w:eastAsia="Arial" w:hAnsi="Arial"/>
                <w:sz w:val="24"/>
                <w:szCs w:val="24"/>
                <w:b w:val="1"/>
                <w:bCs w:val="1"/>
                <w:color w:val="FFFFFF"/>
                <w:vertAlign w:val="superscript"/>
              </w:rPr>
              <w:t>(c)</w:t>
            </w:r>
          </w:p>
        </w:tc>
        <w:tc>
          <w:tcPr>
            <w:tcW w:w="1100" w:type="dxa"/>
            <w:vAlign w:val="bottom"/>
            <w:shd w:val="clear" w:color="auto" w:fill="0171B9"/>
          </w:tcPr>
          <w:p>
            <w:pPr>
              <w:jc w:val="right"/>
              <w:ind w:right="216"/>
              <w:spacing w:after="0" w:line="207" w:lineRule="exact"/>
              <w:rPr>
                <w:sz w:val="20"/>
                <w:szCs w:val="20"/>
                <w:color w:val="auto"/>
              </w:rPr>
            </w:pPr>
            <w:r>
              <w:rPr>
                <w:rFonts w:ascii="Arial" w:cs="Arial" w:eastAsia="Arial" w:hAnsi="Arial"/>
                <w:sz w:val="16"/>
                <w:szCs w:val="16"/>
                <w:b w:val="1"/>
                <w:bCs w:val="1"/>
                <w:color w:val="FFFFFF"/>
              </w:rPr>
              <w:t>2019</w:t>
            </w:r>
            <w:r>
              <w:rPr>
                <w:rFonts w:ascii="Arial" w:cs="Arial" w:eastAsia="Arial" w:hAnsi="Arial"/>
                <w:sz w:val="24"/>
                <w:szCs w:val="24"/>
                <w:b w:val="1"/>
                <w:bCs w:val="1"/>
                <w:color w:val="FFFFFF"/>
                <w:vertAlign w:val="superscript"/>
              </w:rPr>
              <w:t>(c)</w:t>
            </w:r>
          </w:p>
        </w:tc>
      </w:tr>
      <w:tr>
        <w:trPr>
          <w:trHeight w:val="264"/>
        </w:trPr>
        <w:tc>
          <w:tcPr>
            <w:tcW w:w="476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7"/>
                <w:szCs w:val="17"/>
                <w:color w:val="auto"/>
              </w:rPr>
              <w:t>Robert A. Bradway</w:t>
            </w:r>
          </w:p>
        </w:tc>
        <w:tc>
          <w:tcPr>
            <w:tcW w:w="920" w:type="dxa"/>
            <w:vAlign w:val="bottom"/>
            <w:tcBorders>
              <w:bottom w:val="single" w:sz="8" w:color="CCE2F1"/>
            </w:tcBorders>
            <w:shd w:val="clear" w:color="auto" w:fill="CCE2F1"/>
          </w:tcPr>
          <w:p>
            <w:pPr>
              <w:jc w:val="right"/>
              <w:ind w:right="156"/>
              <w:spacing w:after="0"/>
              <w:rPr>
                <w:sz w:val="20"/>
                <w:szCs w:val="20"/>
                <w:color w:val="auto"/>
              </w:rPr>
            </w:pPr>
            <w:r>
              <w:rPr>
                <w:rFonts w:ascii="Arial" w:cs="Arial" w:eastAsia="Arial" w:hAnsi="Arial"/>
                <w:sz w:val="17"/>
                <w:szCs w:val="17"/>
                <w:color w:val="auto"/>
              </w:rPr>
              <w:t>14,094</w:t>
            </w:r>
          </w:p>
        </w:tc>
        <w:tc>
          <w:tcPr>
            <w:tcW w:w="1140" w:type="dxa"/>
            <w:vAlign w:val="bottom"/>
            <w:tcBorders>
              <w:bottom w:val="single" w:sz="8" w:color="CCE2F1"/>
            </w:tcBorders>
            <w:shd w:val="clear" w:color="auto" w:fill="CCE2F1"/>
          </w:tcPr>
          <w:p>
            <w:pPr>
              <w:jc w:val="right"/>
              <w:ind w:right="216"/>
              <w:spacing w:after="0"/>
              <w:rPr>
                <w:sz w:val="20"/>
                <w:szCs w:val="20"/>
                <w:color w:val="auto"/>
              </w:rPr>
            </w:pPr>
            <w:r>
              <w:rPr>
                <w:rFonts w:ascii="Arial" w:cs="Arial" w:eastAsia="Arial" w:hAnsi="Arial"/>
                <w:sz w:val="17"/>
                <w:szCs w:val="17"/>
                <w:color w:val="auto"/>
              </w:rPr>
              <w:t>14,022</w:t>
            </w:r>
          </w:p>
        </w:tc>
        <w:tc>
          <w:tcPr>
            <w:tcW w:w="1300" w:type="dxa"/>
            <w:vAlign w:val="bottom"/>
            <w:tcBorders>
              <w:bottom w:val="single" w:sz="8" w:color="CCE2F1"/>
            </w:tcBorders>
            <w:shd w:val="clear" w:color="auto" w:fill="CCE2F1"/>
          </w:tcPr>
          <w:p>
            <w:pPr>
              <w:jc w:val="right"/>
              <w:ind w:right="416"/>
              <w:spacing w:after="0"/>
              <w:rPr>
                <w:sz w:val="20"/>
                <w:szCs w:val="20"/>
                <w:color w:val="auto"/>
              </w:rPr>
            </w:pPr>
            <w:r>
              <w:rPr>
                <w:rFonts w:ascii="Arial" w:cs="Arial" w:eastAsia="Arial" w:hAnsi="Arial"/>
                <w:sz w:val="17"/>
                <w:szCs w:val="17"/>
                <w:color w:val="auto"/>
              </w:rPr>
              <w:t>8,868</w:t>
            </w:r>
          </w:p>
        </w:tc>
        <w:tc>
          <w:tcPr>
            <w:tcW w:w="1360" w:type="dxa"/>
            <w:vAlign w:val="bottom"/>
            <w:tcBorders>
              <w:bottom w:val="single" w:sz="8" w:color="CCE2F1"/>
            </w:tcBorders>
            <w:shd w:val="clear" w:color="auto" w:fill="CCE2F1"/>
          </w:tcPr>
          <w:p>
            <w:pPr>
              <w:jc w:val="right"/>
              <w:ind w:right="196"/>
              <w:spacing w:after="0"/>
              <w:rPr>
                <w:sz w:val="20"/>
                <w:szCs w:val="20"/>
                <w:color w:val="auto"/>
              </w:rPr>
            </w:pPr>
            <w:r>
              <w:rPr>
                <w:rFonts w:ascii="Arial" w:cs="Arial" w:eastAsia="Arial" w:hAnsi="Arial"/>
                <w:sz w:val="17"/>
                <w:szCs w:val="17"/>
                <w:color w:val="auto"/>
              </w:rPr>
              <w:t>0</w:t>
            </w:r>
          </w:p>
        </w:tc>
        <w:tc>
          <w:tcPr>
            <w:tcW w:w="1100" w:type="dxa"/>
            <w:vAlign w:val="bottom"/>
            <w:tcBorders>
              <w:bottom w:val="single" w:sz="8" w:color="CCE2F1"/>
            </w:tcBorders>
            <w:shd w:val="clear" w:color="auto" w:fill="CCE2F1"/>
          </w:tcPr>
          <w:p>
            <w:pPr>
              <w:jc w:val="right"/>
              <w:ind w:right="216"/>
              <w:spacing w:after="0"/>
              <w:rPr>
                <w:sz w:val="20"/>
                <w:szCs w:val="20"/>
                <w:color w:val="auto"/>
              </w:rPr>
            </w:pPr>
            <w:r>
              <w:rPr>
                <w:rFonts w:ascii="Arial" w:cs="Arial" w:eastAsia="Arial" w:hAnsi="Arial"/>
                <w:sz w:val="17"/>
                <w:szCs w:val="17"/>
                <w:color w:val="auto"/>
              </w:rPr>
              <w:t>6,003</w:t>
            </w:r>
          </w:p>
        </w:tc>
      </w:tr>
      <w:tr>
        <w:trPr>
          <w:trHeight w:val="239"/>
        </w:trPr>
        <w:tc>
          <w:tcPr>
            <w:tcW w:w="4760" w:type="dxa"/>
            <w:vAlign w:val="bottom"/>
          </w:tcPr>
          <w:p>
            <w:pPr>
              <w:ind w:left="80"/>
              <w:spacing w:after="0"/>
              <w:rPr>
                <w:sz w:val="20"/>
                <w:szCs w:val="20"/>
                <w:color w:val="auto"/>
              </w:rPr>
            </w:pPr>
            <w:r>
              <w:rPr>
                <w:rFonts w:ascii="Arial" w:cs="Arial" w:eastAsia="Arial" w:hAnsi="Arial"/>
                <w:sz w:val="17"/>
                <w:szCs w:val="17"/>
                <w:color w:val="auto"/>
              </w:rPr>
              <w:t>Murdo Gordon</w:t>
            </w:r>
          </w:p>
        </w:tc>
        <w:tc>
          <w:tcPr>
            <w:tcW w:w="920" w:type="dxa"/>
            <w:vAlign w:val="bottom"/>
          </w:tcPr>
          <w:p>
            <w:pPr>
              <w:jc w:val="right"/>
              <w:ind w:right="156"/>
              <w:spacing w:after="0"/>
              <w:rPr>
                <w:sz w:val="20"/>
                <w:szCs w:val="20"/>
                <w:color w:val="auto"/>
              </w:rPr>
            </w:pPr>
            <w:r>
              <w:rPr>
                <w:rFonts w:ascii="Arial" w:cs="Arial" w:eastAsia="Arial" w:hAnsi="Arial"/>
                <w:sz w:val="17"/>
                <w:szCs w:val="17"/>
                <w:color w:val="auto"/>
              </w:rPr>
              <w:t>4,428</w:t>
            </w:r>
          </w:p>
        </w:tc>
        <w:tc>
          <w:tcPr>
            <w:tcW w:w="1140" w:type="dxa"/>
            <w:vAlign w:val="bottom"/>
          </w:tcPr>
          <w:p>
            <w:pPr>
              <w:jc w:val="right"/>
              <w:ind w:right="216"/>
              <w:spacing w:after="0"/>
              <w:rPr>
                <w:sz w:val="20"/>
                <w:szCs w:val="20"/>
                <w:color w:val="auto"/>
              </w:rPr>
            </w:pPr>
            <w:r>
              <w:rPr>
                <w:rFonts w:ascii="Arial" w:cs="Arial" w:eastAsia="Arial" w:hAnsi="Arial"/>
                <w:sz w:val="17"/>
                <w:szCs w:val="17"/>
                <w:color w:val="auto"/>
              </w:rPr>
              <w:t>4,405</w:t>
            </w:r>
          </w:p>
        </w:tc>
        <w:tc>
          <w:tcPr>
            <w:tcW w:w="1300" w:type="dxa"/>
            <w:vAlign w:val="bottom"/>
          </w:tcPr>
          <w:p>
            <w:pPr>
              <w:jc w:val="right"/>
              <w:ind w:right="416"/>
              <w:spacing w:after="0"/>
              <w:rPr>
                <w:sz w:val="20"/>
                <w:szCs w:val="20"/>
                <w:color w:val="auto"/>
              </w:rPr>
            </w:pPr>
            <w:r>
              <w:rPr>
                <w:rFonts w:ascii="Arial" w:cs="Arial" w:eastAsia="Arial" w:hAnsi="Arial"/>
                <w:sz w:val="17"/>
                <w:szCs w:val="17"/>
                <w:color w:val="auto"/>
              </w:rPr>
              <w:t>2,526</w:t>
            </w:r>
          </w:p>
        </w:tc>
        <w:tc>
          <w:tcPr>
            <w:tcW w:w="1360" w:type="dxa"/>
            <w:vAlign w:val="bottom"/>
          </w:tcPr>
          <w:p>
            <w:pPr>
              <w:jc w:val="right"/>
              <w:ind w:right="196"/>
              <w:spacing w:after="0"/>
              <w:rPr>
                <w:sz w:val="20"/>
                <w:szCs w:val="20"/>
                <w:color w:val="auto"/>
              </w:rPr>
            </w:pPr>
            <w:r>
              <w:rPr>
                <w:rFonts w:ascii="Arial" w:cs="Arial" w:eastAsia="Arial" w:hAnsi="Arial"/>
                <w:sz w:val="17"/>
                <w:szCs w:val="17"/>
                <w:color w:val="auto"/>
              </w:rPr>
              <w:t>0</w:t>
            </w:r>
          </w:p>
        </w:tc>
        <w:tc>
          <w:tcPr>
            <w:tcW w:w="1100" w:type="dxa"/>
            <w:vAlign w:val="bottom"/>
          </w:tcPr>
          <w:p>
            <w:pPr>
              <w:jc w:val="right"/>
              <w:ind w:right="216"/>
              <w:spacing w:after="0"/>
              <w:rPr>
                <w:sz w:val="20"/>
                <w:szCs w:val="20"/>
                <w:color w:val="auto"/>
              </w:rPr>
            </w:pPr>
            <w:r>
              <w:rPr>
                <w:rFonts w:ascii="Arial" w:cs="Arial" w:eastAsia="Arial" w:hAnsi="Arial"/>
                <w:sz w:val="17"/>
                <w:szCs w:val="17"/>
                <w:color w:val="auto"/>
              </w:rPr>
              <w:t>1,715</w:t>
            </w:r>
          </w:p>
        </w:tc>
      </w:tr>
      <w:tr>
        <w:trPr>
          <w:trHeight w:val="31"/>
        </w:trPr>
        <w:tc>
          <w:tcPr>
            <w:tcW w:w="4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6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7"/>
                <w:szCs w:val="17"/>
                <w:color w:val="auto"/>
              </w:rPr>
              <w:t>David M. Reese</w:t>
            </w:r>
          </w:p>
        </w:tc>
        <w:tc>
          <w:tcPr>
            <w:tcW w:w="920" w:type="dxa"/>
            <w:vAlign w:val="bottom"/>
            <w:tcBorders>
              <w:bottom w:val="single" w:sz="8" w:color="CCE2F1"/>
            </w:tcBorders>
            <w:shd w:val="clear" w:color="auto" w:fill="CCE2F1"/>
          </w:tcPr>
          <w:p>
            <w:pPr>
              <w:jc w:val="right"/>
              <w:ind w:right="156"/>
              <w:spacing w:after="0"/>
              <w:rPr>
                <w:sz w:val="20"/>
                <w:szCs w:val="20"/>
                <w:color w:val="auto"/>
              </w:rPr>
            </w:pPr>
            <w:r>
              <w:rPr>
                <w:rFonts w:ascii="Arial" w:cs="Arial" w:eastAsia="Arial" w:hAnsi="Arial"/>
                <w:sz w:val="17"/>
                <w:szCs w:val="17"/>
                <w:color w:val="auto"/>
              </w:rPr>
              <w:t>3,985</w:t>
            </w:r>
          </w:p>
        </w:tc>
        <w:tc>
          <w:tcPr>
            <w:tcW w:w="1140" w:type="dxa"/>
            <w:vAlign w:val="bottom"/>
            <w:tcBorders>
              <w:bottom w:val="single" w:sz="8" w:color="CCE2F1"/>
            </w:tcBorders>
            <w:shd w:val="clear" w:color="auto" w:fill="CCE2F1"/>
          </w:tcPr>
          <w:p>
            <w:pPr>
              <w:jc w:val="right"/>
              <w:ind w:right="216"/>
              <w:spacing w:after="0"/>
              <w:rPr>
                <w:sz w:val="20"/>
                <w:szCs w:val="20"/>
                <w:color w:val="auto"/>
              </w:rPr>
            </w:pPr>
            <w:r>
              <w:rPr>
                <w:rFonts w:ascii="Arial" w:cs="Arial" w:eastAsia="Arial" w:hAnsi="Arial"/>
                <w:sz w:val="17"/>
                <w:szCs w:val="17"/>
                <w:color w:val="auto"/>
              </w:rPr>
              <w:t>4,230</w:t>
            </w:r>
          </w:p>
        </w:tc>
        <w:tc>
          <w:tcPr>
            <w:tcW w:w="1300" w:type="dxa"/>
            <w:vAlign w:val="bottom"/>
            <w:tcBorders>
              <w:bottom w:val="single" w:sz="8" w:color="CCE2F1"/>
            </w:tcBorders>
            <w:shd w:val="clear" w:color="auto" w:fill="CCE2F1"/>
          </w:tcPr>
          <w:p>
            <w:pPr>
              <w:jc w:val="right"/>
              <w:ind w:right="416"/>
              <w:spacing w:after="0"/>
              <w:rPr>
                <w:sz w:val="20"/>
                <w:szCs w:val="20"/>
                <w:color w:val="auto"/>
              </w:rPr>
            </w:pPr>
            <w:r>
              <w:rPr>
                <w:rFonts w:ascii="Arial" w:cs="Arial" w:eastAsia="Arial" w:hAnsi="Arial"/>
                <w:sz w:val="17"/>
                <w:szCs w:val="17"/>
                <w:color w:val="auto"/>
              </w:rPr>
              <w:t>2,526</w:t>
            </w:r>
          </w:p>
        </w:tc>
        <w:tc>
          <w:tcPr>
            <w:tcW w:w="1360" w:type="dxa"/>
            <w:vAlign w:val="bottom"/>
            <w:tcBorders>
              <w:bottom w:val="single" w:sz="8" w:color="CCE2F1"/>
            </w:tcBorders>
            <w:shd w:val="clear" w:color="auto" w:fill="CCE2F1"/>
          </w:tcPr>
          <w:p>
            <w:pPr>
              <w:jc w:val="right"/>
              <w:ind w:right="196"/>
              <w:spacing w:after="0"/>
              <w:rPr>
                <w:sz w:val="20"/>
                <w:szCs w:val="20"/>
                <w:color w:val="auto"/>
              </w:rPr>
            </w:pPr>
            <w:r>
              <w:rPr>
                <w:rFonts w:ascii="Arial" w:cs="Arial" w:eastAsia="Arial" w:hAnsi="Arial"/>
                <w:sz w:val="17"/>
                <w:szCs w:val="17"/>
                <w:color w:val="auto"/>
              </w:rPr>
              <w:t>0</w:t>
            </w:r>
          </w:p>
        </w:tc>
        <w:tc>
          <w:tcPr>
            <w:tcW w:w="1100" w:type="dxa"/>
            <w:vAlign w:val="bottom"/>
            <w:tcBorders>
              <w:bottom w:val="single" w:sz="8" w:color="CCE2F1"/>
            </w:tcBorders>
            <w:shd w:val="clear" w:color="auto" w:fill="CCE2F1"/>
          </w:tcPr>
          <w:p>
            <w:pPr>
              <w:jc w:val="right"/>
              <w:ind w:right="216"/>
              <w:spacing w:after="0"/>
              <w:rPr>
                <w:sz w:val="20"/>
                <w:szCs w:val="20"/>
                <w:color w:val="auto"/>
              </w:rPr>
            </w:pPr>
            <w:r>
              <w:rPr>
                <w:rFonts w:ascii="Arial" w:cs="Arial" w:eastAsia="Arial" w:hAnsi="Arial"/>
                <w:sz w:val="17"/>
                <w:szCs w:val="17"/>
                <w:color w:val="auto"/>
              </w:rPr>
              <w:t>1,715</w:t>
            </w:r>
          </w:p>
        </w:tc>
      </w:tr>
      <w:tr>
        <w:trPr>
          <w:trHeight w:val="239"/>
        </w:trPr>
        <w:tc>
          <w:tcPr>
            <w:tcW w:w="4760" w:type="dxa"/>
            <w:vAlign w:val="bottom"/>
          </w:tcPr>
          <w:p>
            <w:pPr>
              <w:ind w:left="80"/>
              <w:spacing w:after="0"/>
              <w:rPr>
                <w:sz w:val="20"/>
                <w:szCs w:val="20"/>
                <w:color w:val="auto"/>
              </w:rPr>
            </w:pPr>
            <w:r>
              <w:rPr>
                <w:rFonts w:ascii="Arial" w:cs="Arial" w:eastAsia="Arial" w:hAnsi="Arial"/>
                <w:sz w:val="17"/>
                <w:szCs w:val="17"/>
                <w:color w:val="auto"/>
              </w:rPr>
              <w:t>Peter H. Griffith</w:t>
            </w:r>
          </w:p>
        </w:tc>
        <w:tc>
          <w:tcPr>
            <w:tcW w:w="920" w:type="dxa"/>
            <w:vAlign w:val="bottom"/>
          </w:tcPr>
          <w:p>
            <w:pPr>
              <w:jc w:val="right"/>
              <w:ind w:right="156"/>
              <w:spacing w:after="0"/>
              <w:rPr>
                <w:sz w:val="20"/>
                <w:szCs w:val="20"/>
                <w:color w:val="auto"/>
              </w:rPr>
            </w:pPr>
            <w:r>
              <w:rPr>
                <w:rFonts w:ascii="Arial" w:cs="Arial" w:eastAsia="Arial" w:hAnsi="Arial"/>
                <w:sz w:val="17"/>
                <w:szCs w:val="17"/>
                <w:color w:val="auto"/>
              </w:rPr>
              <w:t>3,985</w:t>
            </w:r>
          </w:p>
        </w:tc>
        <w:tc>
          <w:tcPr>
            <w:tcW w:w="1140" w:type="dxa"/>
            <w:vAlign w:val="bottom"/>
          </w:tcPr>
          <w:p>
            <w:pPr>
              <w:jc w:val="right"/>
              <w:ind w:right="216"/>
              <w:spacing w:after="0"/>
              <w:rPr>
                <w:sz w:val="20"/>
                <w:szCs w:val="20"/>
                <w:color w:val="auto"/>
              </w:rPr>
            </w:pPr>
            <w:r>
              <w:rPr>
                <w:rFonts w:ascii="Arial" w:cs="Arial" w:eastAsia="Arial" w:hAnsi="Arial"/>
                <w:sz w:val="17"/>
                <w:szCs w:val="17"/>
                <w:color w:val="auto"/>
              </w:rPr>
              <w:t>3,524</w:t>
            </w:r>
          </w:p>
        </w:tc>
        <w:tc>
          <w:tcPr>
            <w:tcW w:w="1300" w:type="dxa"/>
            <w:vAlign w:val="bottom"/>
          </w:tcPr>
          <w:p>
            <w:pPr>
              <w:jc w:val="right"/>
              <w:ind w:right="416"/>
              <w:spacing w:after="0"/>
              <w:rPr>
                <w:sz w:val="20"/>
                <w:szCs w:val="20"/>
                <w:color w:val="auto"/>
              </w:rPr>
            </w:pPr>
            <w:r>
              <w:rPr>
                <w:rFonts w:ascii="Arial" w:cs="Arial" w:eastAsia="Arial" w:hAnsi="Arial"/>
                <w:sz w:val="17"/>
                <w:szCs w:val="17"/>
                <w:color w:val="auto"/>
              </w:rPr>
              <w:t>2,463</w:t>
            </w:r>
          </w:p>
        </w:tc>
        <w:tc>
          <w:tcPr>
            <w:tcW w:w="1360" w:type="dxa"/>
            <w:vAlign w:val="bottom"/>
          </w:tcPr>
          <w:p>
            <w:pPr>
              <w:jc w:val="right"/>
              <w:ind w:right="196"/>
              <w:spacing w:after="0"/>
              <w:rPr>
                <w:sz w:val="20"/>
                <w:szCs w:val="20"/>
                <w:color w:val="auto"/>
              </w:rPr>
            </w:pPr>
            <w:r>
              <w:rPr>
                <w:rFonts w:ascii="Arial" w:cs="Arial" w:eastAsia="Arial" w:hAnsi="Arial"/>
                <w:sz w:val="17"/>
                <w:szCs w:val="17"/>
                <w:color w:val="auto"/>
              </w:rPr>
              <w:t>6,872</w:t>
            </w:r>
          </w:p>
        </w:tc>
        <w:tc>
          <w:tcPr>
            <w:tcW w:w="1100" w:type="dxa"/>
            <w:vAlign w:val="bottom"/>
          </w:tcPr>
          <w:p>
            <w:pPr>
              <w:jc w:val="right"/>
              <w:ind w:right="216"/>
              <w:spacing w:after="0"/>
              <w:rPr>
                <w:sz w:val="20"/>
                <w:szCs w:val="20"/>
                <w:color w:val="auto"/>
              </w:rPr>
            </w:pPr>
            <w:r>
              <w:rPr>
                <w:rFonts w:ascii="Arial" w:cs="Arial" w:eastAsia="Arial" w:hAnsi="Arial"/>
                <w:sz w:val="17"/>
                <w:szCs w:val="17"/>
                <w:color w:val="auto"/>
              </w:rPr>
              <w:t>0</w:t>
            </w:r>
          </w:p>
        </w:tc>
      </w:tr>
      <w:tr>
        <w:trPr>
          <w:trHeight w:val="31"/>
        </w:trPr>
        <w:tc>
          <w:tcPr>
            <w:tcW w:w="4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6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7"/>
                <w:szCs w:val="17"/>
                <w:color w:val="auto"/>
              </w:rPr>
              <w:t>Esteban Santos</w:t>
            </w:r>
          </w:p>
        </w:tc>
        <w:tc>
          <w:tcPr>
            <w:tcW w:w="920" w:type="dxa"/>
            <w:vAlign w:val="bottom"/>
            <w:tcBorders>
              <w:bottom w:val="single" w:sz="8" w:color="CCE2F1"/>
            </w:tcBorders>
            <w:shd w:val="clear" w:color="auto" w:fill="CCE2F1"/>
          </w:tcPr>
          <w:p>
            <w:pPr>
              <w:jc w:val="right"/>
              <w:ind w:right="156"/>
              <w:spacing w:after="0"/>
              <w:rPr>
                <w:sz w:val="20"/>
                <w:szCs w:val="20"/>
                <w:color w:val="auto"/>
              </w:rPr>
            </w:pPr>
            <w:r>
              <w:rPr>
                <w:rFonts w:ascii="Arial" w:cs="Arial" w:eastAsia="Arial" w:hAnsi="Arial"/>
                <w:sz w:val="17"/>
                <w:szCs w:val="17"/>
                <w:color w:val="auto"/>
              </w:rPr>
              <w:t>3,719</w:t>
            </w:r>
          </w:p>
        </w:tc>
        <w:tc>
          <w:tcPr>
            <w:tcW w:w="1140" w:type="dxa"/>
            <w:vAlign w:val="bottom"/>
            <w:tcBorders>
              <w:bottom w:val="single" w:sz="8" w:color="CCE2F1"/>
            </w:tcBorders>
            <w:shd w:val="clear" w:color="auto" w:fill="CCE2F1"/>
          </w:tcPr>
          <w:p>
            <w:pPr>
              <w:jc w:val="right"/>
              <w:ind w:right="216"/>
              <w:spacing w:after="0"/>
              <w:rPr>
                <w:sz w:val="20"/>
                <w:szCs w:val="20"/>
                <w:color w:val="auto"/>
              </w:rPr>
            </w:pPr>
            <w:r>
              <w:rPr>
                <w:rFonts w:ascii="Arial" w:cs="Arial" w:eastAsia="Arial" w:hAnsi="Arial"/>
                <w:sz w:val="17"/>
                <w:szCs w:val="17"/>
                <w:color w:val="auto"/>
              </w:rPr>
              <w:t>4,185</w:t>
            </w:r>
          </w:p>
        </w:tc>
        <w:tc>
          <w:tcPr>
            <w:tcW w:w="1300" w:type="dxa"/>
            <w:vAlign w:val="bottom"/>
            <w:tcBorders>
              <w:bottom w:val="single" w:sz="8" w:color="CCE2F1"/>
            </w:tcBorders>
            <w:shd w:val="clear" w:color="auto" w:fill="CCE2F1"/>
          </w:tcPr>
          <w:p>
            <w:pPr>
              <w:jc w:val="right"/>
              <w:ind w:right="416"/>
              <w:spacing w:after="0"/>
              <w:rPr>
                <w:sz w:val="20"/>
                <w:szCs w:val="20"/>
                <w:color w:val="auto"/>
              </w:rPr>
            </w:pPr>
            <w:r>
              <w:rPr>
                <w:rFonts w:ascii="Arial" w:cs="Arial" w:eastAsia="Arial" w:hAnsi="Arial"/>
                <w:sz w:val="17"/>
                <w:szCs w:val="17"/>
                <w:color w:val="auto"/>
              </w:rPr>
              <w:t>2,463</w:t>
            </w:r>
          </w:p>
        </w:tc>
        <w:tc>
          <w:tcPr>
            <w:tcW w:w="1360" w:type="dxa"/>
            <w:vAlign w:val="bottom"/>
            <w:tcBorders>
              <w:bottom w:val="single" w:sz="8" w:color="CCE2F1"/>
            </w:tcBorders>
            <w:shd w:val="clear" w:color="auto" w:fill="CCE2F1"/>
          </w:tcPr>
          <w:p>
            <w:pPr>
              <w:jc w:val="right"/>
              <w:ind w:right="196"/>
              <w:spacing w:after="0"/>
              <w:rPr>
                <w:sz w:val="20"/>
                <w:szCs w:val="20"/>
                <w:color w:val="auto"/>
              </w:rPr>
            </w:pPr>
            <w:r>
              <w:rPr>
                <w:rFonts w:ascii="Arial" w:cs="Arial" w:eastAsia="Arial" w:hAnsi="Arial"/>
                <w:sz w:val="17"/>
                <w:szCs w:val="17"/>
                <w:color w:val="auto"/>
              </w:rPr>
              <w:t>0</w:t>
            </w:r>
          </w:p>
        </w:tc>
        <w:tc>
          <w:tcPr>
            <w:tcW w:w="1100" w:type="dxa"/>
            <w:vAlign w:val="bottom"/>
            <w:tcBorders>
              <w:bottom w:val="single" w:sz="8" w:color="CCE2F1"/>
            </w:tcBorders>
            <w:shd w:val="clear" w:color="auto" w:fill="CCE2F1"/>
          </w:tcPr>
          <w:p>
            <w:pPr>
              <w:jc w:val="right"/>
              <w:ind w:right="216"/>
              <w:spacing w:after="0"/>
              <w:rPr>
                <w:sz w:val="20"/>
                <w:szCs w:val="20"/>
                <w:color w:val="auto"/>
              </w:rPr>
            </w:pPr>
            <w:r>
              <w:rPr>
                <w:rFonts w:ascii="Arial" w:cs="Arial" w:eastAsia="Arial" w:hAnsi="Arial"/>
                <w:sz w:val="17"/>
                <w:szCs w:val="17"/>
                <w:color w:val="auto"/>
              </w:rPr>
              <w:t>1,500</w:t>
            </w:r>
          </w:p>
        </w:tc>
      </w:tr>
      <w:tr>
        <w:trPr>
          <w:trHeight w:val="20"/>
        </w:trPr>
        <w:tc>
          <w:tcPr>
            <w:tcW w:w="4760" w:type="dxa"/>
            <w:vAlign w:val="bottom"/>
            <w:shd w:val="clear" w:color="auto" w:fill="0171B9"/>
          </w:tcPr>
          <w:p>
            <w:pPr>
              <w:spacing w:after="0" w:line="20" w:lineRule="exact"/>
              <w:rPr>
                <w:sz w:val="1"/>
                <w:szCs w:val="1"/>
                <w:color w:val="auto"/>
              </w:rPr>
            </w:pPr>
          </w:p>
        </w:tc>
        <w:tc>
          <w:tcPr>
            <w:tcW w:w="920" w:type="dxa"/>
            <w:vAlign w:val="bottom"/>
            <w:shd w:val="clear" w:color="auto" w:fill="0171B9"/>
          </w:tcPr>
          <w:p>
            <w:pPr>
              <w:spacing w:after="0" w:line="20" w:lineRule="exact"/>
              <w:rPr>
                <w:sz w:val="1"/>
                <w:szCs w:val="1"/>
                <w:color w:val="auto"/>
              </w:rPr>
            </w:pPr>
          </w:p>
        </w:tc>
        <w:tc>
          <w:tcPr>
            <w:tcW w:w="1140" w:type="dxa"/>
            <w:vAlign w:val="bottom"/>
            <w:shd w:val="clear" w:color="auto" w:fill="0171B9"/>
          </w:tcPr>
          <w:p>
            <w:pPr>
              <w:spacing w:after="0" w:line="20" w:lineRule="exact"/>
              <w:rPr>
                <w:sz w:val="1"/>
                <w:szCs w:val="1"/>
                <w:color w:val="auto"/>
              </w:rPr>
            </w:pPr>
          </w:p>
        </w:tc>
        <w:tc>
          <w:tcPr>
            <w:tcW w:w="1300" w:type="dxa"/>
            <w:vAlign w:val="bottom"/>
            <w:shd w:val="clear" w:color="auto" w:fill="0171B9"/>
          </w:tcPr>
          <w:p>
            <w:pPr>
              <w:spacing w:after="0" w:line="20" w:lineRule="exact"/>
              <w:rPr>
                <w:sz w:val="1"/>
                <w:szCs w:val="1"/>
                <w:color w:val="auto"/>
              </w:rPr>
            </w:pPr>
          </w:p>
        </w:tc>
        <w:tc>
          <w:tcPr>
            <w:tcW w:w="1360" w:type="dxa"/>
            <w:vAlign w:val="bottom"/>
            <w:shd w:val="clear" w:color="auto" w:fill="0171B9"/>
          </w:tcPr>
          <w:p>
            <w:pPr>
              <w:spacing w:after="0" w:line="20" w:lineRule="exact"/>
              <w:rPr>
                <w:sz w:val="1"/>
                <w:szCs w:val="1"/>
                <w:color w:val="auto"/>
              </w:rPr>
            </w:pPr>
          </w:p>
        </w:tc>
        <w:tc>
          <w:tcPr>
            <w:tcW w:w="1100" w:type="dxa"/>
            <w:vAlign w:val="bottom"/>
            <w:shd w:val="clear" w:color="auto" w:fill="0171B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-873760</wp:posOffset>
            </wp:positionV>
            <wp:extent cx="671195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71195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-1156970</wp:posOffset>
            </wp:positionV>
            <wp:extent cx="369443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15" w:lineRule="exact"/>
        <w:rPr>
          <w:sz w:val="20"/>
          <w:szCs w:val="20"/>
          <w:color w:val="auto"/>
        </w:rPr>
      </w:pPr>
    </w:p>
    <w:p>
      <w:pPr>
        <w:ind w:left="980" w:hanging="432"/>
        <w:spacing w:after="0"/>
        <w:tabs>
          <w:tab w:leader="none" w:pos="980" w:val="left"/>
        </w:tabs>
        <w:numPr>
          <w:ilvl w:val="1"/>
          <w:numId w:val="114"/>
        </w:numPr>
        <w:rPr>
          <w:rFonts w:ascii="Arial" w:cs="Arial" w:eastAsia="Arial" w:hAnsi="Arial"/>
          <w:sz w:val="22"/>
          <w:szCs w:val="22"/>
          <w:color w:val="auto"/>
          <w:vertAlign w:val="superscript"/>
        </w:rPr>
      </w:pPr>
      <w:r>
        <w:rPr>
          <w:rFonts w:ascii="Arial" w:cs="Arial" w:eastAsia="Arial" w:hAnsi="Arial"/>
          <w:sz w:val="14"/>
          <w:szCs w:val="14"/>
          <w:color w:val="auto"/>
        </w:rPr>
        <w:t>Scheduled to vest at a rate of approximately 33%, 33%, and 34% on the second, third, and fourth anniversaries of the grant date, respectively.</w:t>
      </w:r>
    </w:p>
    <w:p>
      <w:pPr>
        <w:ind w:left="980" w:hanging="432"/>
        <w:spacing w:after="0" w:line="187" w:lineRule="auto"/>
        <w:tabs>
          <w:tab w:leader="none" w:pos="980" w:val="left"/>
        </w:tabs>
        <w:numPr>
          <w:ilvl w:val="1"/>
          <w:numId w:val="114"/>
        </w:numPr>
        <w:rPr>
          <w:rFonts w:ascii="Arial" w:cs="Arial" w:eastAsia="Arial" w:hAnsi="Arial"/>
          <w:sz w:val="18"/>
          <w:szCs w:val="18"/>
          <w:color w:val="auto"/>
          <w:vertAlign w:val="superscript"/>
        </w:rPr>
      </w:pPr>
      <w:r>
        <w:rPr>
          <w:rFonts w:ascii="Arial" w:cs="Arial" w:eastAsia="Arial" w:hAnsi="Arial"/>
          <w:sz w:val="12"/>
          <w:szCs w:val="12"/>
          <w:color w:val="auto"/>
        </w:rPr>
        <w:t>Scheduled to vest in approximately equal amounts on each of the third and fourth anniversaries of the grant date.</w:t>
      </w:r>
    </w:p>
    <w:p>
      <w:pPr>
        <w:ind w:left="980" w:hanging="432"/>
        <w:spacing w:after="0" w:line="187" w:lineRule="auto"/>
        <w:tabs>
          <w:tab w:leader="none" w:pos="980" w:val="left"/>
        </w:tabs>
        <w:numPr>
          <w:ilvl w:val="1"/>
          <w:numId w:val="114"/>
        </w:numPr>
        <w:rPr>
          <w:rFonts w:ascii="Arial" w:cs="Arial" w:eastAsia="Arial" w:hAnsi="Arial"/>
          <w:sz w:val="18"/>
          <w:szCs w:val="18"/>
          <w:color w:val="auto"/>
          <w:vertAlign w:val="superscript"/>
        </w:rPr>
      </w:pPr>
      <w:r>
        <w:rPr>
          <w:rFonts w:ascii="Arial" w:cs="Arial" w:eastAsia="Arial" w:hAnsi="Arial"/>
          <w:sz w:val="12"/>
          <w:szCs w:val="12"/>
          <w:color w:val="auto"/>
        </w:rPr>
        <w:t>Scheduled to vest on the fourth anniversary of the grant date.</w:t>
      </w:r>
    </w:p>
    <w:p>
      <w:pPr>
        <w:jc w:val="both"/>
        <w:ind w:left="540" w:right="20" w:hanging="424"/>
        <w:spacing w:after="0" w:line="202" w:lineRule="auto"/>
        <w:tabs>
          <w:tab w:leader="none" w:pos="540" w:val="left"/>
        </w:tabs>
        <w:numPr>
          <w:ilvl w:val="0"/>
          <w:numId w:val="115"/>
        </w:numPr>
        <w:rPr>
          <w:rFonts w:ascii="Arial" w:cs="Arial" w:eastAsia="Arial" w:hAnsi="Arial"/>
          <w:sz w:val="22"/>
          <w:szCs w:val="22"/>
          <w:color w:val="auto"/>
          <w:vertAlign w:val="superscript"/>
        </w:rPr>
      </w:pPr>
      <w:r>
        <w:rPr>
          <w:rFonts w:ascii="Arial" w:cs="Arial" w:eastAsia="Arial" w:hAnsi="Arial"/>
          <w:sz w:val="14"/>
          <w:szCs w:val="14"/>
          <w:color w:val="auto"/>
        </w:rPr>
        <w:t>The market values of RSUs and performance units (and related dividend equivalents) were calculated by multiplying the number of RSUs outstanding or the number of performance units as determined in accordance with the SEC, rules and footnotes 4 through 6 below, as applicable, by the closing price of our Common Stock on December 31, 2022 ($262.64).</w:t>
      </w:r>
    </w:p>
    <w:p>
      <w:pPr>
        <w:spacing w:after="0" w:line="2" w:lineRule="exact"/>
        <w:rPr>
          <w:rFonts w:ascii="Arial" w:cs="Arial" w:eastAsia="Arial" w:hAnsi="Arial"/>
          <w:sz w:val="22"/>
          <w:szCs w:val="22"/>
          <w:color w:val="auto"/>
          <w:vertAlign w:val="superscript"/>
        </w:rPr>
      </w:pPr>
    </w:p>
    <w:p>
      <w:pPr>
        <w:jc w:val="both"/>
        <w:ind w:left="540" w:right="20" w:hanging="424"/>
        <w:spacing w:after="0" w:line="225" w:lineRule="auto"/>
        <w:tabs>
          <w:tab w:leader="none" w:pos="540" w:val="left"/>
        </w:tabs>
        <w:numPr>
          <w:ilvl w:val="0"/>
          <w:numId w:val="115"/>
        </w:numPr>
        <w:rPr>
          <w:rFonts w:ascii="Arial" w:cs="Arial" w:eastAsia="Arial" w:hAnsi="Arial"/>
          <w:sz w:val="22"/>
          <w:szCs w:val="22"/>
          <w:color w:val="auto"/>
          <w:vertAlign w:val="superscript"/>
        </w:rPr>
      </w:pPr>
      <w:r>
        <w:rPr>
          <w:rFonts w:ascii="Arial" w:cs="Arial" w:eastAsia="Arial" w:hAnsi="Arial"/>
          <w:sz w:val="14"/>
          <w:szCs w:val="14"/>
          <w:color w:val="auto"/>
        </w:rPr>
        <w:t>Reflects the sum of the number of performance units granted for the 2022–2024 performance period (January 1, 2022 to December 31, 2024) and the related dividend equivalents accrued through December 31, 2022, multiplied by the maximum payout percentage of 200%. As required by SEC rules, the maximum payout percentage is disclosed in the table because the estimated payout percentage as of December 31, 2022 is greater than a target level of performance of the performance units granted (based on the sum of: (1) the estimated outcomes of our operating measures to be achieved; and (2) the TSR modifier based on our TSR percentile rank relative to the TSRs of the companies in the Reference Group for the period from the May 2, 2022 grant date to December 31, 2022). The number of dividend equivalents multiplied by the 200% payout percentage (rounded down to the nearest whole number of units) included in the table above are as follows: 1,464 units for Mr. Bradway; 460 units for Mr. Gordon; 414 units for Dr. Reese and Mr. Griffith; and 386 units for Mr. Santos. Dividend equivalents are only paid when and to the extent the underlying performance units are earned.</w:t>
      </w:r>
    </w:p>
    <w:p>
      <w:pPr>
        <w:spacing w:after="0" w:line="2" w:lineRule="exact"/>
        <w:rPr>
          <w:rFonts w:ascii="Arial" w:cs="Arial" w:eastAsia="Arial" w:hAnsi="Arial"/>
          <w:sz w:val="22"/>
          <w:szCs w:val="22"/>
          <w:color w:val="auto"/>
          <w:vertAlign w:val="superscript"/>
        </w:rPr>
      </w:pPr>
    </w:p>
    <w:p>
      <w:pPr>
        <w:jc w:val="both"/>
        <w:ind w:left="540" w:right="20" w:hanging="424"/>
        <w:spacing w:after="0" w:line="225" w:lineRule="auto"/>
        <w:tabs>
          <w:tab w:leader="none" w:pos="540" w:val="left"/>
        </w:tabs>
        <w:numPr>
          <w:ilvl w:val="0"/>
          <w:numId w:val="115"/>
        </w:numPr>
        <w:rPr>
          <w:rFonts w:ascii="Arial" w:cs="Arial" w:eastAsia="Arial" w:hAnsi="Arial"/>
          <w:sz w:val="22"/>
          <w:szCs w:val="22"/>
          <w:color w:val="auto"/>
          <w:vertAlign w:val="superscript"/>
        </w:rPr>
      </w:pPr>
      <w:r>
        <w:rPr>
          <w:rFonts w:ascii="Arial" w:cs="Arial" w:eastAsia="Arial" w:hAnsi="Arial"/>
          <w:sz w:val="14"/>
          <w:szCs w:val="14"/>
          <w:color w:val="auto"/>
        </w:rPr>
        <w:t>Reflects the sum of the number of performance units granted for the 2021–2023 performance period (January 1, 2021 to December 31, 2023) and the related dividend equivalents accrued through December 31, 2022, multiplied by the maximum payout percentage of 200%. As required by SEC rules, the maximum payout percentage is disclosed in the table because the estimated payout percentage as of December 31, 2022 is greater than the target level of performance of the performance units granted (based on the sum of: (1) the estimated outcomes of our operating measures to be achieved; and (2) the TSR modifier based on our TSR percentile rank relative to the TSRs of the companies in the Reference Group for the period from the April 30, 2021 grant date to December 31, 2022). The number of dividend equivalents multiplied by the 200% payout percentage (rounded down to the nearest whole number of units) included in the table above are as follows: 3,494 units for Mr. Bradway; 1,098 units for Mr. Gordon, 1,054 units for Dr. Reese; 878 units for Mr. Griffith, and 1,043 units for Mr. Santos. Dividend equivalents are only paid when and to the extent the underlying performance units are earned.</w:t>
      </w:r>
    </w:p>
    <w:p>
      <w:pPr>
        <w:spacing w:after="0" w:line="2" w:lineRule="exact"/>
        <w:rPr>
          <w:rFonts w:ascii="Arial" w:cs="Arial" w:eastAsia="Arial" w:hAnsi="Arial"/>
          <w:sz w:val="22"/>
          <w:szCs w:val="22"/>
          <w:color w:val="auto"/>
          <w:vertAlign w:val="superscript"/>
        </w:rPr>
      </w:pPr>
    </w:p>
    <w:p>
      <w:pPr>
        <w:jc w:val="both"/>
        <w:ind w:left="540" w:hanging="424"/>
        <w:spacing w:after="0" w:line="225" w:lineRule="auto"/>
        <w:tabs>
          <w:tab w:leader="none" w:pos="540" w:val="left"/>
        </w:tabs>
        <w:numPr>
          <w:ilvl w:val="0"/>
          <w:numId w:val="115"/>
        </w:numPr>
        <w:rPr>
          <w:rFonts w:ascii="Arial" w:cs="Arial" w:eastAsia="Arial" w:hAnsi="Arial"/>
          <w:sz w:val="22"/>
          <w:szCs w:val="22"/>
          <w:color w:val="auto"/>
          <w:vertAlign w:val="superscript"/>
        </w:rPr>
      </w:pPr>
      <w:r>
        <w:rPr>
          <w:rFonts w:ascii="Arial" w:cs="Arial" w:eastAsia="Arial" w:hAnsi="Arial"/>
          <w:sz w:val="14"/>
          <w:szCs w:val="14"/>
          <w:color w:val="auto"/>
        </w:rPr>
        <w:t>Reflects the number of performance units granted for the 2020-2022 performance period (January 1, 2020 to December 31, 2022), and related dividend equivalents accrued through December 31, 2022, multiplied by the actual payout percentage of 88.9%, which is based on our actual performance under our operating measures of 110.4% and the relative TSR percentage modifier of -21.5% percentage points based on our actual TSR percentile rank relative to the TSRs of the companies in the Reference Group for the period from the May 5, 2020 grant date to December 31, 2022. The number of dividend equivalents multiplied by the 88.9% payout percentage noted above (rounded down to the nearest whole number of units) included in the table above are as follows: 2,217 units for Mr. Bradway; 631 units for Mr. Gordon and Dr. Reese; and 615 units for Messrs. Griffith and Santos. Since these performance units were paid in 2023, they will be reflected in the “Option Exercises and Stock Vested” table as vested shares in next year’s proxy statement.</w:t>
      </w:r>
    </w:p>
    <w:p>
      <w:pPr>
        <w:spacing w:after="0" w:line="70" w:lineRule="exact"/>
        <w:rPr>
          <w:sz w:val="20"/>
          <w:szCs w:val="20"/>
          <w:color w:val="auto"/>
        </w:rPr>
      </w:pPr>
    </w:p>
    <w:p>
      <w:pPr>
        <w:jc w:val="both"/>
        <w:ind w:left="120"/>
        <w:spacing w:after="0" w:line="248" w:lineRule="auto"/>
        <w:rPr>
          <w:sz w:val="20"/>
          <w:szCs w:val="20"/>
          <w:color w:val="auto"/>
        </w:rPr>
      </w:pPr>
      <w:r>
        <w:rPr>
          <w:rFonts w:ascii="Arial" w:cs="Arial" w:eastAsia="Arial" w:hAnsi="Arial"/>
          <w:sz w:val="17"/>
          <w:szCs w:val="17"/>
          <w:i w:val="1"/>
          <w:iCs w:val="1"/>
          <w:color w:val="auto"/>
        </w:rPr>
        <w:t>The estimated payouts of the performance units described above are disclosed in the limited context of our executive compensation program and should not be understood to be statements of our expectations of our stock price or estimates of results or other guidance. We specifically caution investors not to apply these statements to other contexts.</w:t>
      </w:r>
    </w:p>
    <w:p>
      <w:pPr>
        <w:spacing w:after="0" w:line="117"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80</w:t>
      </w:r>
      <w:r>
        <w:rPr>
          <w:sz w:val="20"/>
          <w:szCs w:val="20"/>
          <w:color w:val="auto"/>
        </w:rPr>
        <w:tab/>
      </w:r>
      <w:r>
        <w:rPr>
          <w:sz w:val="1"/>
          <w:szCs w:val="1"/>
          <w:color w:val="auto"/>
        </w:rPr>
        <w:drawing>
          <wp:inline distT="0" distB="0" distL="0" distR="0">
            <wp:extent cx="582930" cy="137160"/>
            <wp:effectExtent l="0" t="0" r="0" b="0"/>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7760"/>
        <w:spacing w:after="0"/>
        <w:rPr>
          <w:sz w:val="20"/>
          <w:szCs w:val="20"/>
          <w:color w:val="auto"/>
        </w:rPr>
      </w:pPr>
      <w:r>
        <w:rPr>
          <w:rFonts w:ascii="Arial" w:cs="Arial" w:eastAsia="Arial" w:hAnsi="Arial"/>
          <w:sz w:val="22"/>
          <w:szCs w:val="22"/>
          <w:b w:val="1"/>
          <w:bCs w:val="1"/>
          <w:color w:val="FFFFFF"/>
          <w:shd w:val="clear" w:color="auto" w:fill="0171B9"/>
        </w:rPr>
        <w:t>Executive Compensation Tables</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The following table summarizes the exercise of options, the vesting of RSUs, and the payment of performance units earned for the 2019-2021 performance period (and related dividend equivalents, as applicable) for each of our NEOs during the year ended December 31, 2022. The RSUs and performance units vested and converted to one share of our Common Stock for each vested RSU and performance unit. The 2019-2021 performance units had a performance period from January 1, 2019 through December 31, 2021 and became payable as shares upon certification by our Compensation Committee in March 2022.</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640" w:type="dxa"/>
            <w:vAlign w:val="bottom"/>
            <w:shd w:val="clear" w:color="auto" w:fill="0171B9"/>
          </w:tcPr>
          <w:p>
            <w:pPr>
              <w:spacing w:after="0"/>
              <w:rPr>
                <w:sz w:val="16"/>
                <w:szCs w:val="16"/>
                <w:color w:val="auto"/>
              </w:rPr>
            </w:pPr>
          </w:p>
        </w:tc>
        <w:tc>
          <w:tcPr>
            <w:tcW w:w="2640" w:type="dxa"/>
            <w:vAlign w:val="bottom"/>
            <w:shd w:val="clear" w:color="auto" w:fill="0171B9"/>
          </w:tcPr>
          <w:p>
            <w:pPr>
              <w:jc w:val="right"/>
              <w:spacing w:after="0"/>
              <w:rPr>
                <w:sz w:val="20"/>
                <w:szCs w:val="20"/>
                <w:color w:val="auto"/>
              </w:rPr>
            </w:pPr>
            <w:r>
              <w:rPr>
                <w:rFonts w:ascii="Arial" w:cs="Arial" w:eastAsia="Arial" w:hAnsi="Arial"/>
                <w:sz w:val="16"/>
                <w:szCs w:val="16"/>
                <w:b w:val="1"/>
                <w:bCs w:val="1"/>
                <w:color w:val="FFFFFF"/>
              </w:rPr>
              <w:t>Option Awards</w:t>
            </w:r>
          </w:p>
        </w:tc>
        <w:tc>
          <w:tcPr>
            <w:tcW w:w="1660" w:type="dxa"/>
            <w:vAlign w:val="bottom"/>
            <w:shd w:val="clear" w:color="auto" w:fill="0171B9"/>
          </w:tcPr>
          <w:p>
            <w:pPr>
              <w:spacing w:after="0"/>
              <w:rPr>
                <w:sz w:val="16"/>
                <w:szCs w:val="16"/>
                <w:color w:val="auto"/>
              </w:rPr>
            </w:pPr>
          </w:p>
        </w:tc>
        <w:tc>
          <w:tcPr>
            <w:tcW w:w="2680" w:type="dxa"/>
            <w:vAlign w:val="bottom"/>
            <w:shd w:val="clear" w:color="auto" w:fill="0171B9"/>
          </w:tcPr>
          <w:p>
            <w:pPr>
              <w:jc w:val="right"/>
              <w:spacing w:after="0"/>
              <w:rPr>
                <w:sz w:val="20"/>
                <w:szCs w:val="20"/>
                <w:color w:val="auto"/>
              </w:rPr>
            </w:pPr>
            <w:r>
              <w:rPr>
                <w:rFonts w:ascii="Arial" w:cs="Arial" w:eastAsia="Arial" w:hAnsi="Arial"/>
                <w:sz w:val="16"/>
                <w:szCs w:val="16"/>
                <w:b w:val="1"/>
                <w:bCs w:val="1"/>
                <w:color w:val="FFFFFF"/>
              </w:rPr>
              <w:t>Stock Awards</w:t>
            </w:r>
          </w:p>
        </w:tc>
        <w:tc>
          <w:tcPr>
            <w:tcW w:w="1400" w:type="dxa"/>
            <w:vAlign w:val="bottom"/>
            <w:shd w:val="clear" w:color="auto" w:fill="0171B9"/>
          </w:tcPr>
          <w:p>
            <w:pPr>
              <w:spacing w:after="0"/>
              <w:rPr>
                <w:sz w:val="16"/>
                <w:szCs w:val="16"/>
                <w:color w:val="auto"/>
              </w:rPr>
            </w:pPr>
          </w:p>
        </w:tc>
      </w:tr>
      <w:tr>
        <w:trPr>
          <w:trHeight w:val="184"/>
        </w:trPr>
        <w:tc>
          <w:tcPr>
            <w:tcW w:w="2640" w:type="dxa"/>
            <w:vAlign w:val="bottom"/>
            <w:shd w:val="clear" w:color="auto" w:fill="0171B9"/>
          </w:tcPr>
          <w:p>
            <w:pPr>
              <w:spacing w:after="0"/>
              <w:rPr>
                <w:sz w:val="16"/>
                <w:szCs w:val="16"/>
                <w:color w:val="auto"/>
              </w:rPr>
            </w:pPr>
          </w:p>
        </w:tc>
        <w:tc>
          <w:tcPr>
            <w:tcW w:w="2640" w:type="dxa"/>
            <w:vAlign w:val="bottom"/>
            <w:shd w:val="clear" w:color="auto" w:fill="0171B9"/>
          </w:tcPr>
          <w:p>
            <w:pPr>
              <w:jc w:val="right"/>
              <w:ind w:right="456"/>
              <w:spacing w:after="0"/>
              <w:rPr>
                <w:sz w:val="20"/>
                <w:szCs w:val="20"/>
                <w:color w:val="auto"/>
              </w:rPr>
            </w:pPr>
            <w:r>
              <w:rPr>
                <w:rFonts w:ascii="Arial" w:cs="Arial" w:eastAsia="Arial" w:hAnsi="Arial"/>
                <w:sz w:val="16"/>
                <w:szCs w:val="16"/>
                <w:b w:val="1"/>
                <w:bCs w:val="1"/>
                <w:color w:val="FFFFFF"/>
              </w:rPr>
              <w:t>Number of Securities</w:t>
            </w:r>
          </w:p>
        </w:tc>
        <w:tc>
          <w:tcPr>
            <w:tcW w:w="1660" w:type="dxa"/>
            <w:vAlign w:val="bottom"/>
            <w:shd w:val="clear" w:color="auto" w:fill="0171B9"/>
          </w:tcPr>
          <w:p>
            <w:pPr>
              <w:jc w:val="right"/>
              <w:ind w:right="196"/>
              <w:spacing w:after="0"/>
              <w:rPr>
                <w:sz w:val="20"/>
                <w:szCs w:val="20"/>
                <w:color w:val="auto"/>
              </w:rPr>
            </w:pPr>
            <w:r>
              <w:rPr>
                <w:rFonts w:ascii="Arial" w:cs="Arial" w:eastAsia="Arial" w:hAnsi="Arial"/>
                <w:sz w:val="16"/>
                <w:szCs w:val="16"/>
                <w:b w:val="1"/>
                <w:bCs w:val="1"/>
                <w:color w:val="FFFFFF"/>
                <w:w w:val="99"/>
              </w:rPr>
              <w:t>Value Realized on</w:t>
            </w:r>
          </w:p>
        </w:tc>
        <w:tc>
          <w:tcPr>
            <w:tcW w:w="2680" w:type="dxa"/>
            <w:vAlign w:val="bottom"/>
            <w:shd w:val="clear" w:color="auto" w:fill="0171B9"/>
          </w:tcPr>
          <w:p>
            <w:pPr>
              <w:jc w:val="right"/>
              <w:ind w:right="516"/>
              <w:spacing w:after="0"/>
              <w:rPr>
                <w:sz w:val="20"/>
                <w:szCs w:val="20"/>
                <w:color w:val="auto"/>
              </w:rPr>
            </w:pPr>
            <w:r>
              <w:rPr>
                <w:rFonts w:ascii="Arial" w:cs="Arial" w:eastAsia="Arial" w:hAnsi="Arial"/>
                <w:sz w:val="16"/>
                <w:szCs w:val="16"/>
                <w:b w:val="1"/>
                <w:bCs w:val="1"/>
                <w:color w:val="FFFFFF"/>
              </w:rPr>
              <w:t>Number of Shares</w:t>
            </w:r>
          </w:p>
        </w:tc>
        <w:tc>
          <w:tcPr>
            <w:tcW w:w="1400" w:type="dxa"/>
            <w:vAlign w:val="bottom"/>
            <w:shd w:val="clear" w:color="auto" w:fill="0171B9"/>
          </w:tcPr>
          <w:p>
            <w:pPr>
              <w:jc w:val="right"/>
              <w:ind w:right="56"/>
              <w:spacing w:after="0"/>
              <w:rPr>
                <w:sz w:val="20"/>
                <w:szCs w:val="20"/>
                <w:color w:val="auto"/>
              </w:rPr>
            </w:pPr>
            <w:r>
              <w:rPr>
                <w:rFonts w:ascii="Arial" w:cs="Arial" w:eastAsia="Arial" w:hAnsi="Arial"/>
                <w:sz w:val="16"/>
                <w:szCs w:val="16"/>
                <w:b w:val="1"/>
                <w:bCs w:val="1"/>
                <w:color w:val="FFFFFF"/>
              </w:rPr>
              <w:t>Value Realized</w:t>
            </w:r>
          </w:p>
        </w:tc>
      </w:tr>
      <w:tr>
        <w:trPr>
          <w:trHeight w:val="207"/>
        </w:trPr>
        <w:tc>
          <w:tcPr>
            <w:tcW w:w="2640" w:type="dxa"/>
            <w:vAlign w:val="bottom"/>
            <w:shd w:val="clear" w:color="auto" w:fill="0171B9"/>
          </w:tcPr>
          <w:p>
            <w:pPr>
              <w:ind w:left="80"/>
              <w:spacing w:after="0"/>
              <w:rPr>
                <w:sz w:val="20"/>
                <w:szCs w:val="20"/>
                <w:color w:val="auto"/>
              </w:rPr>
            </w:pPr>
            <w:r>
              <w:rPr>
                <w:rFonts w:ascii="Arial" w:cs="Arial" w:eastAsia="Arial" w:hAnsi="Arial"/>
                <w:sz w:val="16"/>
                <w:szCs w:val="16"/>
                <w:b w:val="1"/>
                <w:bCs w:val="1"/>
                <w:color w:val="FFFFFF"/>
              </w:rPr>
              <w:t>Name</w:t>
            </w:r>
          </w:p>
        </w:tc>
        <w:tc>
          <w:tcPr>
            <w:tcW w:w="2640" w:type="dxa"/>
            <w:vAlign w:val="bottom"/>
            <w:shd w:val="clear" w:color="auto" w:fill="0171B9"/>
          </w:tcPr>
          <w:p>
            <w:pPr>
              <w:jc w:val="right"/>
              <w:ind w:right="456"/>
              <w:spacing w:after="0" w:line="207" w:lineRule="exact"/>
              <w:rPr>
                <w:sz w:val="20"/>
                <w:szCs w:val="20"/>
                <w:color w:val="auto"/>
              </w:rPr>
            </w:pPr>
            <w:r>
              <w:rPr>
                <w:rFonts w:ascii="Arial" w:cs="Arial" w:eastAsia="Arial" w:hAnsi="Arial"/>
                <w:sz w:val="16"/>
                <w:szCs w:val="16"/>
                <w:b w:val="1"/>
                <w:bCs w:val="1"/>
                <w:color w:val="FFFFFF"/>
              </w:rPr>
              <w:t>Acquired on Exercise (#)</w:t>
            </w:r>
            <w:r>
              <w:rPr>
                <w:rFonts w:ascii="Arial" w:cs="Arial" w:eastAsia="Arial" w:hAnsi="Arial"/>
                <w:sz w:val="24"/>
                <w:szCs w:val="24"/>
                <w:b w:val="1"/>
                <w:bCs w:val="1"/>
                <w:color w:val="FFFFFF"/>
                <w:vertAlign w:val="superscript"/>
              </w:rPr>
              <w:t>(1)</w:t>
            </w:r>
          </w:p>
        </w:tc>
        <w:tc>
          <w:tcPr>
            <w:tcW w:w="1660" w:type="dxa"/>
            <w:vAlign w:val="bottom"/>
            <w:shd w:val="clear" w:color="auto" w:fill="0171B9"/>
          </w:tcPr>
          <w:p>
            <w:pPr>
              <w:jc w:val="right"/>
              <w:ind w:right="196"/>
              <w:spacing w:after="0" w:line="207" w:lineRule="exact"/>
              <w:rPr>
                <w:sz w:val="20"/>
                <w:szCs w:val="20"/>
                <w:color w:val="auto"/>
              </w:rPr>
            </w:pPr>
            <w:r>
              <w:rPr>
                <w:rFonts w:ascii="Arial" w:cs="Arial" w:eastAsia="Arial" w:hAnsi="Arial"/>
                <w:sz w:val="16"/>
                <w:szCs w:val="16"/>
                <w:b w:val="1"/>
                <w:bCs w:val="1"/>
                <w:color w:val="FFFFFF"/>
              </w:rPr>
              <w:t>Exercise ($)</w:t>
            </w:r>
            <w:r>
              <w:rPr>
                <w:rFonts w:ascii="Arial" w:cs="Arial" w:eastAsia="Arial" w:hAnsi="Arial"/>
                <w:sz w:val="24"/>
                <w:szCs w:val="24"/>
                <w:b w:val="1"/>
                <w:bCs w:val="1"/>
                <w:color w:val="FFFFFF"/>
                <w:vertAlign w:val="superscript"/>
              </w:rPr>
              <w:t>(1)</w:t>
            </w:r>
          </w:p>
        </w:tc>
        <w:tc>
          <w:tcPr>
            <w:tcW w:w="2680" w:type="dxa"/>
            <w:vAlign w:val="bottom"/>
            <w:shd w:val="clear" w:color="auto" w:fill="0171B9"/>
          </w:tcPr>
          <w:p>
            <w:pPr>
              <w:jc w:val="right"/>
              <w:ind w:right="516"/>
              <w:spacing w:after="0"/>
              <w:rPr>
                <w:sz w:val="20"/>
                <w:szCs w:val="20"/>
                <w:color w:val="auto"/>
              </w:rPr>
            </w:pPr>
            <w:r>
              <w:rPr>
                <w:rFonts w:ascii="Arial" w:cs="Arial" w:eastAsia="Arial" w:hAnsi="Arial"/>
                <w:sz w:val="16"/>
                <w:szCs w:val="16"/>
                <w:b w:val="1"/>
                <w:bCs w:val="1"/>
                <w:color w:val="FFFFFF"/>
              </w:rPr>
              <w:t>Acquired on Vesting (#)</w:t>
            </w:r>
          </w:p>
        </w:tc>
        <w:tc>
          <w:tcPr>
            <w:tcW w:w="1400" w:type="dxa"/>
            <w:vAlign w:val="bottom"/>
            <w:shd w:val="clear" w:color="auto" w:fill="0171B9"/>
          </w:tcPr>
          <w:p>
            <w:pPr>
              <w:jc w:val="right"/>
              <w:ind w:right="56"/>
              <w:spacing w:after="0" w:line="207" w:lineRule="exact"/>
              <w:rPr>
                <w:sz w:val="20"/>
                <w:szCs w:val="20"/>
                <w:color w:val="auto"/>
              </w:rPr>
            </w:pPr>
            <w:r>
              <w:rPr>
                <w:rFonts w:ascii="Arial" w:cs="Arial" w:eastAsia="Arial" w:hAnsi="Arial"/>
                <w:sz w:val="16"/>
                <w:szCs w:val="16"/>
                <w:b w:val="1"/>
                <w:bCs w:val="1"/>
                <w:color w:val="FFFFFF"/>
                <w:w w:val="98"/>
              </w:rPr>
              <w:t>on Vesting ($)</w:t>
            </w:r>
            <w:r>
              <w:rPr>
                <w:rFonts w:ascii="Arial" w:cs="Arial" w:eastAsia="Arial" w:hAnsi="Arial"/>
                <w:sz w:val="24"/>
                <w:szCs w:val="24"/>
                <w:b w:val="1"/>
                <w:bCs w:val="1"/>
                <w:color w:val="FFFFFF"/>
                <w:w w:val="98"/>
                <w:vertAlign w:val="superscript"/>
              </w:rPr>
              <w:t>(2)</w:t>
            </w:r>
          </w:p>
        </w:tc>
      </w:tr>
      <w:tr>
        <w:trPr>
          <w:trHeight w:val="263"/>
        </w:trPr>
        <w:tc>
          <w:tcPr>
            <w:tcW w:w="2640" w:type="dxa"/>
            <w:vAlign w:val="bottom"/>
            <w:tcBorders>
              <w:bottom w:val="single" w:sz="8" w:color="CCE2F1"/>
            </w:tcBorders>
            <w:shd w:val="clear" w:color="auto" w:fill="CCE2F1"/>
          </w:tcPr>
          <w:p>
            <w:pPr>
              <w:ind w:left="60"/>
              <w:spacing w:after="0"/>
              <w:rPr>
                <w:sz w:val="20"/>
                <w:szCs w:val="20"/>
                <w:color w:val="auto"/>
              </w:rPr>
            </w:pPr>
            <w:r>
              <w:rPr>
                <w:rFonts w:ascii="Arial" w:cs="Arial" w:eastAsia="Arial" w:hAnsi="Arial"/>
                <w:sz w:val="17"/>
                <w:szCs w:val="17"/>
                <w:color w:val="auto"/>
              </w:rPr>
              <w:t>Robert A. Bradway</w:t>
            </w:r>
          </w:p>
        </w:tc>
        <w:tc>
          <w:tcPr>
            <w:tcW w:w="2640" w:type="dxa"/>
            <w:vAlign w:val="bottom"/>
            <w:tcBorders>
              <w:bottom w:val="single" w:sz="8" w:color="CCE2F1"/>
            </w:tcBorders>
            <w:shd w:val="clear" w:color="auto" w:fill="CCE2F1"/>
          </w:tcPr>
          <w:p>
            <w:pPr>
              <w:jc w:val="right"/>
              <w:ind w:right="456"/>
              <w:spacing w:after="0"/>
              <w:rPr>
                <w:sz w:val="20"/>
                <w:szCs w:val="20"/>
                <w:color w:val="auto"/>
              </w:rPr>
            </w:pPr>
            <w:r>
              <w:rPr>
                <w:rFonts w:ascii="Arial" w:cs="Arial" w:eastAsia="Arial" w:hAnsi="Arial"/>
                <w:sz w:val="17"/>
                <w:szCs w:val="17"/>
                <w:color w:val="auto"/>
              </w:rPr>
              <w:t>0</w:t>
            </w:r>
          </w:p>
        </w:tc>
        <w:tc>
          <w:tcPr>
            <w:tcW w:w="1660" w:type="dxa"/>
            <w:vAlign w:val="bottom"/>
            <w:tcBorders>
              <w:bottom w:val="single" w:sz="8" w:color="CCE2F1"/>
            </w:tcBorders>
            <w:shd w:val="clear" w:color="auto" w:fill="CCE2F1"/>
          </w:tcPr>
          <w:p>
            <w:pPr>
              <w:jc w:val="right"/>
              <w:ind w:right="196"/>
              <w:spacing w:after="0"/>
              <w:rPr>
                <w:sz w:val="20"/>
                <w:szCs w:val="20"/>
                <w:color w:val="auto"/>
              </w:rPr>
            </w:pPr>
            <w:r>
              <w:rPr>
                <w:rFonts w:ascii="Arial" w:cs="Arial" w:eastAsia="Arial" w:hAnsi="Arial"/>
                <w:sz w:val="17"/>
                <w:szCs w:val="17"/>
                <w:color w:val="auto"/>
              </w:rPr>
              <w:t>0</w:t>
            </w:r>
          </w:p>
        </w:tc>
        <w:tc>
          <w:tcPr>
            <w:tcW w:w="2680" w:type="dxa"/>
            <w:vAlign w:val="bottom"/>
            <w:tcBorders>
              <w:bottom w:val="single" w:sz="8" w:color="CCE2F1"/>
            </w:tcBorders>
            <w:shd w:val="clear" w:color="auto" w:fill="CCE2F1"/>
          </w:tcPr>
          <w:p>
            <w:pPr>
              <w:jc w:val="right"/>
              <w:ind w:right="516"/>
              <w:spacing w:after="0"/>
              <w:rPr>
                <w:sz w:val="20"/>
                <w:szCs w:val="20"/>
                <w:color w:val="auto"/>
              </w:rPr>
            </w:pPr>
            <w:r>
              <w:rPr>
                <w:rFonts w:ascii="Arial" w:cs="Arial" w:eastAsia="Arial" w:hAnsi="Arial"/>
                <w:sz w:val="17"/>
                <w:szCs w:val="17"/>
                <w:color w:val="auto"/>
              </w:rPr>
              <w:t>50,612</w:t>
            </w:r>
          </w:p>
        </w:tc>
        <w:tc>
          <w:tcPr>
            <w:tcW w:w="1400" w:type="dxa"/>
            <w:vAlign w:val="bottom"/>
            <w:tcBorders>
              <w:bottom w:val="single" w:sz="8" w:color="CCE2F1"/>
            </w:tcBorders>
            <w:shd w:val="clear" w:color="auto" w:fill="CCE2F1"/>
          </w:tcPr>
          <w:p>
            <w:pPr>
              <w:jc w:val="right"/>
              <w:ind w:right="56"/>
              <w:spacing w:after="0"/>
              <w:rPr>
                <w:sz w:val="20"/>
                <w:szCs w:val="20"/>
                <w:color w:val="auto"/>
              </w:rPr>
            </w:pPr>
            <w:r>
              <w:rPr>
                <w:rFonts w:ascii="Arial" w:cs="Arial" w:eastAsia="Arial" w:hAnsi="Arial"/>
                <w:sz w:val="17"/>
                <w:szCs w:val="17"/>
                <w:color w:val="auto"/>
              </w:rPr>
              <w:t>11,986,206</w:t>
            </w:r>
          </w:p>
        </w:tc>
      </w:tr>
      <w:tr>
        <w:trPr>
          <w:trHeight w:val="239"/>
        </w:trPr>
        <w:tc>
          <w:tcPr>
            <w:tcW w:w="2640" w:type="dxa"/>
            <w:vAlign w:val="bottom"/>
          </w:tcPr>
          <w:p>
            <w:pPr>
              <w:ind w:left="60"/>
              <w:spacing w:after="0"/>
              <w:rPr>
                <w:sz w:val="20"/>
                <w:szCs w:val="20"/>
                <w:color w:val="auto"/>
              </w:rPr>
            </w:pPr>
            <w:r>
              <w:rPr>
                <w:rFonts w:ascii="Arial" w:cs="Arial" w:eastAsia="Arial" w:hAnsi="Arial"/>
                <w:sz w:val="17"/>
                <w:szCs w:val="17"/>
                <w:color w:val="auto"/>
              </w:rPr>
              <w:t>Murdo Gordon</w:t>
            </w:r>
          </w:p>
        </w:tc>
        <w:tc>
          <w:tcPr>
            <w:tcW w:w="2640" w:type="dxa"/>
            <w:vAlign w:val="bottom"/>
          </w:tcPr>
          <w:p>
            <w:pPr>
              <w:jc w:val="right"/>
              <w:ind w:right="456"/>
              <w:spacing w:after="0"/>
              <w:rPr>
                <w:sz w:val="20"/>
                <w:szCs w:val="20"/>
                <w:color w:val="auto"/>
              </w:rPr>
            </w:pPr>
            <w:r>
              <w:rPr>
                <w:rFonts w:ascii="Arial" w:cs="Arial" w:eastAsia="Arial" w:hAnsi="Arial"/>
                <w:sz w:val="17"/>
                <w:szCs w:val="17"/>
                <w:color w:val="auto"/>
              </w:rPr>
              <w:t>0</w:t>
            </w:r>
          </w:p>
        </w:tc>
        <w:tc>
          <w:tcPr>
            <w:tcW w:w="1660" w:type="dxa"/>
            <w:vAlign w:val="bottom"/>
          </w:tcPr>
          <w:p>
            <w:pPr>
              <w:jc w:val="right"/>
              <w:ind w:right="196"/>
              <w:spacing w:after="0"/>
              <w:rPr>
                <w:sz w:val="20"/>
                <w:szCs w:val="20"/>
                <w:color w:val="auto"/>
              </w:rPr>
            </w:pPr>
            <w:r>
              <w:rPr>
                <w:rFonts w:ascii="Arial" w:cs="Arial" w:eastAsia="Arial" w:hAnsi="Arial"/>
                <w:sz w:val="17"/>
                <w:szCs w:val="17"/>
                <w:color w:val="auto"/>
              </w:rPr>
              <w:t>0</w:t>
            </w:r>
          </w:p>
        </w:tc>
        <w:tc>
          <w:tcPr>
            <w:tcW w:w="2680" w:type="dxa"/>
            <w:vAlign w:val="bottom"/>
          </w:tcPr>
          <w:p>
            <w:pPr>
              <w:jc w:val="right"/>
              <w:ind w:right="516"/>
              <w:spacing w:after="0"/>
              <w:rPr>
                <w:sz w:val="20"/>
                <w:szCs w:val="20"/>
                <w:color w:val="auto"/>
              </w:rPr>
            </w:pPr>
            <w:r>
              <w:rPr>
                <w:rFonts w:ascii="Arial" w:cs="Arial" w:eastAsia="Arial" w:hAnsi="Arial"/>
                <w:sz w:val="17"/>
                <w:szCs w:val="17"/>
                <w:color w:val="auto"/>
              </w:rPr>
              <w:t>12,914</w:t>
            </w:r>
          </w:p>
        </w:tc>
        <w:tc>
          <w:tcPr>
            <w:tcW w:w="1400" w:type="dxa"/>
            <w:vAlign w:val="bottom"/>
          </w:tcPr>
          <w:p>
            <w:pPr>
              <w:jc w:val="right"/>
              <w:ind w:right="56"/>
              <w:spacing w:after="0"/>
              <w:rPr>
                <w:sz w:val="20"/>
                <w:szCs w:val="20"/>
                <w:color w:val="auto"/>
              </w:rPr>
            </w:pPr>
            <w:r>
              <w:rPr>
                <w:rFonts w:ascii="Arial" w:cs="Arial" w:eastAsia="Arial" w:hAnsi="Arial"/>
                <w:sz w:val="17"/>
                <w:szCs w:val="17"/>
                <w:color w:val="auto"/>
              </w:rPr>
              <w:t>3,038,496</w:t>
            </w:r>
          </w:p>
        </w:tc>
      </w:tr>
      <w:tr>
        <w:trPr>
          <w:trHeight w:val="31"/>
        </w:trPr>
        <w:tc>
          <w:tcPr>
            <w:tcW w:w="26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640" w:type="dxa"/>
            <w:vAlign w:val="bottom"/>
            <w:tcBorders>
              <w:bottom w:val="single" w:sz="8" w:color="CCE2F1"/>
            </w:tcBorders>
            <w:shd w:val="clear" w:color="auto" w:fill="CCE2F1"/>
          </w:tcPr>
          <w:p>
            <w:pPr>
              <w:ind w:left="60"/>
              <w:spacing w:after="0"/>
              <w:rPr>
                <w:sz w:val="20"/>
                <w:szCs w:val="20"/>
                <w:color w:val="auto"/>
              </w:rPr>
            </w:pPr>
            <w:r>
              <w:rPr>
                <w:rFonts w:ascii="Arial" w:cs="Arial" w:eastAsia="Arial" w:hAnsi="Arial"/>
                <w:sz w:val="17"/>
                <w:szCs w:val="17"/>
                <w:color w:val="auto"/>
              </w:rPr>
              <w:t>David M. Reese</w:t>
            </w:r>
          </w:p>
        </w:tc>
        <w:tc>
          <w:tcPr>
            <w:tcW w:w="2640" w:type="dxa"/>
            <w:vAlign w:val="bottom"/>
            <w:tcBorders>
              <w:bottom w:val="single" w:sz="8" w:color="CCE2F1"/>
            </w:tcBorders>
            <w:shd w:val="clear" w:color="auto" w:fill="CCE2F1"/>
          </w:tcPr>
          <w:p>
            <w:pPr>
              <w:jc w:val="right"/>
              <w:ind w:right="456"/>
              <w:spacing w:after="0"/>
              <w:rPr>
                <w:sz w:val="20"/>
                <w:szCs w:val="20"/>
                <w:color w:val="auto"/>
              </w:rPr>
            </w:pPr>
            <w:r>
              <w:rPr>
                <w:rFonts w:ascii="Arial" w:cs="Arial" w:eastAsia="Arial" w:hAnsi="Arial"/>
                <w:sz w:val="17"/>
                <w:szCs w:val="17"/>
                <w:color w:val="auto"/>
              </w:rPr>
              <w:t>0</w:t>
            </w:r>
          </w:p>
        </w:tc>
        <w:tc>
          <w:tcPr>
            <w:tcW w:w="1660" w:type="dxa"/>
            <w:vAlign w:val="bottom"/>
            <w:tcBorders>
              <w:bottom w:val="single" w:sz="8" w:color="CCE2F1"/>
            </w:tcBorders>
            <w:shd w:val="clear" w:color="auto" w:fill="CCE2F1"/>
          </w:tcPr>
          <w:p>
            <w:pPr>
              <w:jc w:val="right"/>
              <w:ind w:right="196"/>
              <w:spacing w:after="0"/>
              <w:rPr>
                <w:sz w:val="20"/>
                <w:szCs w:val="20"/>
                <w:color w:val="auto"/>
              </w:rPr>
            </w:pPr>
            <w:r>
              <w:rPr>
                <w:rFonts w:ascii="Arial" w:cs="Arial" w:eastAsia="Arial" w:hAnsi="Arial"/>
                <w:sz w:val="17"/>
                <w:szCs w:val="17"/>
                <w:color w:val="auto"/>
              </w:rPr>
              <w:t>0</w:t>
            </w:r>
          </w:p>
        </w:tc>
        <w:tc>
          <w:tcPr>
            <w:tcW w:w="2680" w:type="dxa"/>
            <w:vAlign w:val="bottom"/>
            <w:tcBorders>
              <w:bottom w:val="single" w:sz="8" w:color="CCE2F1"/>
            </w:tcBorders>
            <w:shd w:val="clear" w:color="auto" w:fill="CCE2F1"/>
          </w:tcPr>
          <w:p>
            <w:pPr>
              <w:jc w:val="right"/>
              <w:ind w:right="516"/>
              <w:spacing w:after="0"/>
              <w:rPr>
                <w:sz w:val="20"/>
                <w:szCs w:val="20"/>
                <w:color w:val="auto"/>
              </w:rPr>
            </w:pPr>
            <w:r>
              <w:rPr>
                <w:rFonts w:ascii="Arial" w:cs="Arial" w:eastAsia="Arial" w:hAnsi="Arial"/>
                <w:sz w:val="17"/>
                <w:szCs w:val="17"/>
                <w:color w:val="auto"/>
              </w:rPr>
              <w:t>18,220</w:t>
            </w:r>
          </w:p>
        </w:tc>
        <w:tc>
          <w:tcPr>
            <w:tcW w:w="1400" w:type="dxa"/>
            <w:vAlign w:val="bottom"/>
            <w:tcBorders>
              <w:bottom w:val="single" w:sz="8" w:color="CCE2F1"/>
            </w:tcBorders>
            <w:shd w:val="clear" w:color="auto" w:fill="CCE2F1"/>
          </w:tcPr>
          <w:p>
            <w:pPr>
              <w:jc w:val="right"/>
              <w:ind w:right="56"/>
              <w:spacing w:after="0"/>
              <w:rPr>
                <w:sz w:val="20"/>
                <w:szCs w:val="20"/>
                <w:color w:val="auto"/>
              </w:rPr>
            </w:pPr>
            <w:r>
              <w:rPr>
                <w:rFonts w:ascii="Arial" w:cs="Arial" w:eastAsia="Arial" w:hAnsi="Arial"/>
                <w:sz w:val="17"/>
                <w:szCs w:val="17"/>
                <w:color w:val="auto"/>
              </w:rPr>
              <w:t>4,473,590</w:t>
            </w:r>
          </w:p>
        </w:tc>
      </w:tr>
      <w:tr>
        <w:trPr>
          <w:trHeight w:val="239"/>
        </w:trPr>
        <w:tc>
          <w:tcPr>
            <w:tcW w:w="2640" w:type="dxa"/>
            <w:vAlign w:val="bottom"/>
          </w:tcPr>
          <w:p>
            <w:pPr>
              <w:ind w:left="60"/>
              <w:spacing w:after="0"/>
              <w:rPr>
                <w:sz w:val="20"/>
                <w:szCs w:val="20"/>
                <w:color w:val="auto"/>
              </w:rPr>
            </w:pPr>
            <w:r>
              <w:rPr>
                <w:rFonts w:ascii="Arial" w:cs="Arial" w:eastAsia="Arial" w:hAnsi="Arial"/>
                <w:sz w:val="17"/>
                <w:szCs w:val="17"/>
                <w:color w:val="auto"/>
              </w:rPr>
              <w:t>Peter H. Griffith</w:t>
            </w:r>
          </w:p>
        </w:tc>
        <w:tc>
          <w:tcPr>
            <w:tcW w:w="2640" w:type="dxa"/>
            <w:vAlign w:val="bottom"/>
          </w:tcPr>
          <w:p>
            <w:pPr>
              <w:jc w:val="right"/>
              <w:ind w:right="456"/>
              <w:spacing w:after="0"/>
              <w:rPr>
                <w:sz w:val="20"/>
                <w:szCs w:val="20"/>
                <w:color w:val="auto"/>
              </w:rPr>
            </w:pPr>
            <w:r>
              <w:rPr>
                <w:rFonts w:ascii="Arial" w:cs="Arial" w:eastAsia="Arial" w:hAnsi="Arial"/>
                <w:sz w:val="17"/>
                <w:szCs w:val="17"/>
                <w:color w:val="auto"/>
              </w:rPr>
              <w:t>0</w:t>
            </w:r>
          </w:p>
        </w:tc>
        <w:tc>
          <w:tcPr>
            <w:tcW w:w="1660" w:type="dxa"/>
            <w:vAlign w:val="bottom"/>
          </w:tcPr>
          <w:p>
            <w:pPr>
              <w:jc w:val="right"/>
              <w:ind w:right="196"/>
              <w:spacing w:after="0"/>
              <w:rPr>
                <w:sz w:val="20"/>
                <w:szCs w:val="20"/>
                <w:color w:val="auto"/>
              </w:rPr>
            </w:pPr>
            <w:r>
              <w:rPr>
                <w:rFonts w:ascii="Arial" w:cs="Arial" w:eastAsia="Arial" w:hAnsi="Arial"/>
                <w:sz w:val="17"/>
                <w:szCs w:val="17"/>
                <w:color w:val="auto"/>
              </w:rPr>
              <w:t>0</w:t>
            </w:r>
          </w:p>
        </w:tc>
        <w:tc>
          <w:tcPr>
            <w:tcW w:w="2680" w:type="dxa"/>
            <w:vAlign w:val="bottom"/>
          </w:tcPr>
          <w:p>
            <w:pPr>
              <w:jc w:val="right"/>
              <w:ind w:right="516"/>
              <w:spacing w:after="0"/>
              <w:rPr>
                <w:sz w:val="20"/>
                <w:szCs w:val="20"/>
                <w:color w:val="auto"/>
              </w:rPr>
            </w:pPr>
            <w:r>
              <w:rPr>
                <w:rFonts w:ascii="Arial" w:cs="Arial" w:eastAsia="Arial" w:hAnsi="Arial"/>
                <w:sz w:val="17"/>
                <w:szCs w:val="17"/>
                <w:color w:val="auto"/>
              </w:rPr>
              <w:t>7,809</w:t>
            </w:r>
          </w:p>
        </w:tc>
        <w:tc>
          <w:tcPr>
            <w:tcW w:w="1400" w:type="dxa"/>
            <w:vAlign w:val="bottom"/>
          </w:tcPr>
          <w:p>
            <w:pPr>
              <w:jc w:val="right"/>
              <w:ind w:right="56"/>
              <w:spacing w:after="0"/>
              <w:rPr>
                <w:sz w:val="20"/>
                <w:szCs w:val="20"/>
                <w:color w:val="auto"/>
              </w:rPr>
            </w:pPr>
            <w:r>
              <w:rPr>
                <w:rFonts w:ascii="Arial" w:cs="Arial" w:eastAsia="Arial" w:hAnsi="Arial"/>
                <w:sz w:val="17"/>
                <w:szCs w:val="17"/>
                <w:color w:val="auto"/>
              </w:rPr>
              <w:t>2,070,795</w:t>
            </w:r>
          </w:p>
        </w:tc>
      </w:tr>
      <w:tr>
        <w:trPr>
          <w:trHeight w:val="31"/>
        </w:trPr>
        <w:tc>
          <w:tcPr>
            <w:tcW w:w="26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640" w:type="dxa"/>
            <w:vAlign w:val="bottom"/>
            <w:tcBorders>
              <w:bottom w:val="single" w:sz="8" w:color="CCE2F1"/>
            </w:tcBorders>
            <w:shd w:val="clear" w:color="auto" w:fill="CCE2F1"/>
          </w:tcPr>
          <w:p>
            <w:pPr>
              <w:ind w:left="60"/>
              <w:spacing w:after="0"/>
              <w:rPr>
                <w:sz w:val="20"/>
                <w:szCs w:val="20"/>
                <w:color w:val="auto"/>
              </w:rPr>
            </w:pPr>
            <w:r>
              <w:rPr>
                <w:rFonts w:ascii="Arial" w:cs="Arial" w:eastAsia="Arial" w:hAnsi="Arial"/>
                <w:sz w:val="17"/>
                <w:szCs w:val="17"/>
                <w:color w:val="auto"/>
              </w:rPr>
              <w:t>Esteban Santos</w:t>
            </w:r>
          </w:p>
        </w:tc>
        <w:tc>
          <w:tcPr>
            <w:tcW w:w="2640" w:type="dxa"/>
            <w:vAlign w:val="bottom"/>
            <w:tcBorders>
              <w:bottom w:val="single" w:sz="8" w:color="CCE2F1"/>
            </w:tcBorders>
            <w:shd w:val="clear" w:color="auto" w:fill="CCE2F1"/>
          </w:tcPr>
          <w:p>
            <w:pPr>
              <w:jc w:val="right"/>
              <w:ind w:right="456"/>
              <w:spacing w:after="0"/>
              <w:rPr>
                <w:sz w:val="20"/>
                <w:szCs w:val="20"/>
                <w:color w:val="auto"/>
              </w:rPr>
            </w:pPr>
            <w:r>
              <w:rPr>
                <w:rFonts w:ascii="Arial" w:cs="Arial" w:eastAsia="Arial" w:hAnsi="Arial"/>
                <w:sz w:val="17"/>
                <w:szCs w:val="17"/>
                <w:color w:val="auto"/>
              </w:rPr>
              <w:t>0</w:t>
            </w:r>
          </w:p>
        </w:tc>
        <w:tc>
          <w:tcPr>
            <w:tcW w:w="1660" w:type="dxa"/>
            <w:vAlign w:val="bottom"/>
            <w:tcBorders>
              <w:bottom w:val="single" w:sz="8" w:color="CCE2F1"/>
            </w:tcBorders>
            <w:shd w:val="clear" w:color="auto" w:fill="CCE2F1"/>
          </w:tcPr>
          <w:p>
            <w:pPr>
              <w:jc w:val="right"/>
              <w:ind w:right="196"/>
              <w:spacing w:after="0"/>
              <w:rPr>
                <w:sz w:val="20"/>
                <w:szCs w:val="20"/>
                <w:color w:val="auto"/>
              </w:rPr>
            </w:pPr>
            <w:r>
              <w:rPr>
                <w:rFonts w:ascii="Arial" w:cs="Arial" w:eastAsia="Arial" w:hAnsi="Arial"/>
                <w:sz w:val="17"/>
                <w:szCs w:val="17"/>
                <w:color w:val="auto"/>
              </w:rPr>
              <w:t>0</w:t>
            </w:r>
          </w:p>
        </w:tc>
        <w:tc>
          <w:tcPr>
            <w:tcW w:w="2680" w:type="dxa"/>
            <w:vAlign w:val="bottom"/>
            <w:tcBorders>
              <w:bottom w:val="single" w:sz="8" w:color="CCE2F1"/>
            </w:tcBorders>
            <w:shd w:val="clear" w:color="auto" w:fill="CCE2F1"/>
          </w:tcPr>
          <w:p>
            <w:pPr>
              <w:jc w:val="right"/>
              <w:ind w:right="516"/>
              <w:spacing w:after="0"/>
              <w:rPr>
                <w:sz w:val="20"/>
                <w:szCs w:val="20"/>
                <w:color w:val="auto"/>
              </w:rPr>
            </w:pPr>
            <w:r>
              <w:rPr>
                <w:rFonts w:ascii="Arial" w:cs="Arial" w:eastAsia="Arial" w:hAnsi="Arial"/>
                <w:sz w:val="17"/>
                <w:szCs w:val="17"/>
                <w:color w:val="auto"/>
              </w:rPr>
              <w:t>12,629</w:t>
            </w:r>
          </w:p>
        </w:tc>
        <w:tc>
          <w:tcPr>
            <w:tcW w:w="1400" w:type="dxa"/>
            <w:vAlign w:val="bottom"/>
            <w:tcBorders>
              <w:bottom w:val="single" w:sz="8" w:color="CCE2F1"/>
            </w:tcBorders>
            <w:shd w:val="clear" w:color="auto" w:fill="CCE2F1"/>
          </w:tcPr>
          <w:p>
            <w:pPr>
              <w:jc w:val="right"/>
              <w:ind w:right="56"/>
              <w:spacing w:after="0"/>
              <w:rPr>
                <w:sz w:val="20"/>
                <w:szCs w:val="20"/>
                <w:color w:val="auto"/>
              </w:rPr>
            </w:pPr>
            <w:r>
              <w:rPr>
                <w:rFonts w:ascii="Arial" w:cs="Arial" w:eastAsia="Arial" w:hAnsi="Arial"/>
                <w:sz w:val="17"/>
                <w:szCs w:val="17"/>
                <w:color w:val="auto"/>
              </w:rPr>
              <w:t>2,989,527</w:t>
            </w:r>
          </w:p>
        </w:tc>
      </w:tr>
      <w:tr>
        <w:trPr>
          <w:trHeight w:val="20"/>
        </w:trPr>
        <w:tc>
          <w:tcPr>
            <w:tcW w:w="2640" w:type="dxa"/>
            <w:vAlign w:val="bottom"/>
            <w:shd w:val="clear" w:color="auto" w:fill="0171B9"/>
          </w:tcPr>
          <w:p>
            <w:pPr>
              <w:spacing w:after="0" w:line="20" w:lineRule="exact"/>
              <w:rPr>
                <w:sz w:val="1"/>
                <w:szCs w:val="1"/>
                <w:color w:val="auto"/>
              </w:rPr>
            </w:pPr>
          </w:p>
        </w:tc>
        <w:tc>
          <w:tcPr>
            <w:tcW w:w="2640" w:type="dxa"/>
            <w:vAlign w:val="bottom"/>
            <w:shd w:val="clear" w:color="auto" w:fill="0171B9"/>
          </w:tcPr>
          <w:p>
            <w:pPr>
              <w:spacing w:after="0" w:line="20" w:lineRule="exact"/>
              <w:rPr>
                <w:sz w:val="1"/>
                <w:szCs w:val="1"/>
                <w:color w:val="auto"/>
              </w:rPr>
            </w:pPr>
          </w:p>
        </w:tc>
        <w:tc>
          <w:tcPr>
            <w:tcW w:w="1660" w:type="dxa"/>
            <w:vAlign w:val="bottom"/>
            <w:shd w:val="clear" w:color="auto" w:fill="0171B9"/>
          </w:tcPr>
          <w:p>
            <w:pPr>
              <w:spacing w:after="0" w:line="20" w:lineRule="exact"/>
              <w:rPr>
                <w:sz w:val="1"/>
                <w:szCs w:val="1"/>
                <w:color w:val="auto"/>
              </w:rPr>
            </w:pPr>
          </w:p>
        </w:tc>
        <w:tc>
          <w:tcPr>
            <w:tcW w:w="2680" w:type="dxa"/>
            <w:vAlign w:val="bottom"/>
            <w:shd w:val="clear" w:color="auto" w:fill="0171B9"/>
          </w:tcPr>
          <w:p>
            <w:pPr>
              <w:spacing w:after="0" w:line="20" w:lineRule="exact"/>
              <w:rPr>
                <w:sz w:val="1"/>
                <w:szCs w:val="1"/>
                <w:color w:val="auto"/>
              </w:rPr>
            </w:pPr>
          </w:p>
        </w:tc>
        <w:tc>
          <w:tcPr>
            <w:tcW w:w="1400" w:type="dxa"/>
            <w:vAlign w:val="bottom"/>
            <w:shd w:val="clear" w:color="auto" w:fill="0171B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-873760</wp:posOffset>
            </wp:positionV>
            <wp:extent cx="699516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-1122045</wp:posOffset>
            </wp:positionV>
            <wp:extent cx="519493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15"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22"/>
          <w:szCs w:val="22"/>
          <w:color w:val="auto"/>
          <w:vertAlign w:val="superscript"/>
        </w:rPr>
      </w:pPr>
      <w:r>
        <w:rPr>
          <w:rFonts w:ascii="Arial" w:cs="Arial" w:eastAsia="Arial" w:hAnsi="Arial"/>
          <w:sz w:val="14"/>
          <w:szCs w:val="14"/>
          <w:color w:val="auto"/>
        </w:rPr>
        <w:t>There were no option exercises during the year ended December 31, 2022.</w:t>
      </w:r>
    </w:p>
    <w:p>
      <w:pPr>
        <w:ind w:left="540" w:right="20" w:hanging="424"/>
        <w:spacing w:after="0" w:line="193" w:lineRule="auto"/>
        <w:tabs>
          <w:tab w:leader="none" w:pos="540" w:val="left"/>
        </w:tabs>
        <w:numPr>
          <w:ilvl w:val="0"/>
          <w:numId w:val="116"/>
        </w:numPr>
        <w:rPr>
          <w:rFonts w:ascii="Arial" w:cs="Arial" w:eastAsia="Arial" w:hAnsi="Arial"/>
          <w:sz w:val="22"/>
          <w:szCs w:val="22"/>
          <w:color w:val="auto"/>
          <w:vertAlign w:val="superscript"/>
        </w:rPr>
      </w:pPr>
      <w:r>
        <w:rPr>
          <w:rFonts w:ascii="Arial" w:cs="Arial" w:eastAsia="Arial" w:hAnsi="Arial"/>
          <w:sz w:val="14"/>
          <w:szCs w:val="14"/>
          <w:color w:val="auto"/>
        </w:rPr>
        <w:t>The value shown is the closing price of a share of our Common Stock on the business days immediately prior to the vesting dates of RSUs and to the payment date for the performance units, as applicable, multiplied by the number of units vested/paid, including cash received in lieu of fractional dividend equivalents.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The following table sets forth summary information regarding aggregate contributions to and account balances under our SRP and NDCP for, and as of, the year ended December 31, 2022. There were no withdrawals by any of the NEOs in 2022.</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2660" w:type="dxa"/>
            <w:vAlign w:val="bottom"/>
            <w:shd w:val="clear" w:color="auto" w:fill="0171B9"/>
          </w:tcPr>
          <w:p>
            <w:pPr>
              <w:spacing w:after="0"/>
              <w:rPr>
                <w:sz w:val="18"/>
                <w:szCs w:val="18"/>
                <w:color w:val="auto"/>
              </w:rPr>
            </w:pPr>
          </w:p>
        </w:tc>
        <w:tc>
          <w:tcPr>
            <w:tcW w:w="2640" w:type="dxa"/>
            <w:vAlign w:val="bottom"/>
            <w:shd w:val="clear" w:color="auto" w:fill="0171B9"/>
          </w:tcPr>
          <w:p>
            <w:pPr>
              <w:jc w:val="right"/>
              <w:ind w:right="240"/>
              <w:spacing w:after="0"/>
              <w:rPr>
                <w:sz w:val="20"/>
                <w:szCs w:val="20"/>
                <w:color w:val="auto"/>
              </w:rPr>
            </w:pPr>
            <w:r>
              <w:rPr>
                <w:rFonts w:ascii="Arial" w:cs="Arial" w:eastAsia="Arial" w:hAnsi="Arial"/>
                <w:sz w:val="16"/>
                <w:szCs w:val="16"/>
                <w:b w:val="1"/>
                <w:bCs w:val="1"/>
                <w:color w:val="FFFFFF"/>
              </w:rPr>
              <w:t>2022 Employee</w:t>
            </w:r>
          </w:p>
        </w:tc>
        <w:tc>
          <w:tcPr>
            <w:tcW w:w="1880" w:type="dxa"/>
            <w:vAlign w:val="bottom"/>
            <w:shd w:val="clear" w:color="auto" w:fill="0171B9"/>
          </w:tcPr>
          <w:p>
            <w:pPr>
              <w:jc w:val="right"/>
              <w:ind w:right="320"/>
              <w:spacing w:after="0"/>
              <w:rPr>
                <w:sz w:val="20"/>
                <w:szCs w:val="20"/>
                <w:color w:val="auto"/>
              </w:rPr>
            </w:pPr>
            <w:r>
              <w:rPr>
                <w:rFonts w:ascii="Arial" w:cs="Arial" w:eastAsia="Arial" w:hAnsi="Arial"/>
                <w:sz w:val="16"/>
                <w:szCs w:val="16"/>
                <w:b w:val="1"/>
                <w:bCs w:val="1"/>
                <w:color w:val="FFFFFF"/>
              </w:rPr>
              <w:t>2022 Company</w:t>
            </w:r>
          </w:p>
        </w:tc>
        <w:tc>
          <w:tcPr>
            <w:tcW w:w="2100" w:type="dxa"/>
            <w:vAlign w:val="bottom"/>
            <w:shd w:val="clear" w:color="auto" w:fill="0171B9"/>
          </w:tcPr>
          <w:p>
            <w:pPr>
              <w:jc w:val="right"/>
              <w:ind w:right="520"/>
              <w:spacing w:after="0"/>
              <w:rPr>
                <w:sz w:val="20"/>
                <w:szCs w:val="20"/>
                <w:color w:val="auto"/>
              </w:rPr>
            </w:pPr>
            <w:r>
              <w:rPr>
                <w:rFonts w:ascii="Arial" w:cs="Arial" w:eastAsia="Arial" w:hAnsi="Arial"/>
                <w:sz w:val="16"/>
                <w:szCs w:val="16"/>
                <w:b w:val="1"/>
                <w:bCs w:val="1"/>
                <w:color w:val="FFFFFF"/>
              </w:rPr>
              <w:t>2022 Earnings</w:t>
            </w:r>
          </w:p>
        </w:tc>
        <w:tc>
          <w:tcPr>
            <w:tcW w:w="1740" w:type="dxa"/>
            <w:vAlign w:val="bottom"/>
            <w:shd w:val="clear" w:color="auto" w:fill="0171B9"/>
          </w:tcPr>
          <w:p>
            <w:pPr>
              <w:jc w:val="right"/>
              <w:ind w:right="80"/>
              <w:spacing w:after="0"/>
              <w:rPr>
                <w:sz w:val="20"/>
                <w:szCs w:val="20"/>
                <w:color w:val="auto"/>
              </w:rPr>
            </w:pPr>
            <w:r>
              <w:rPr>
                <w:rFonts w:ascii="Arial" w:cs="Arial" w:eastAsia="Arial" w:hAnsi="Arial"/>
                <w:sz w:val="16"/>
                <w:szCs w:val="16"/>
                <w:b w:val="1"/>
                <w:bCs w:val="1"/>
                <w:color w:val="FFFFFF"/>
              </w:rPr>
              <w:t>Balance as of</w:t>
            </w:r>
          </w:p>
        </w:tc>
      </w:tr>
      <w:tr>
        <w:trPr>
          <w:trHeight w:val="189"/>
        </w:trPr>
        <w:tc>
          <w:tcPr>
            <w:tcW w:w="2660" w:type="dxa"/>
            <w:vAlign w:val="bottom"/>
            <w:shd w:val="clear" w:color="auto" w:fill="0171B9"/>
          </w:tcPr>
          <w:p>
            <w:pPr>
              <w:spacing w:after="0"/>
              <w:rPr>
                <w:sz w:val="16"/>
                <w:szCs w:val="16"/>
                <w:color w:val="auto"/>
              </w:rPr>
            </w:pPr>
          </w:p>
        </w:tc>
        <w:tc>
          <w:tcPr>
            <w:tcW w:w="2640" w:type="dxa"/>
            <w:vAlign w:val="bottom"/>
            <w:shd w:val="clear" w:color="auto" w:fill="0171B9"/>
          </w:tcPr>
          <w:p>
            <w:pPr>
              <w:jc w:val="right"/>
              <w:ind w:right="220"/>
              <w:spacing w:after="0"/>
              <w:rPr>
                <w:sz w:val="20"/>
                <w:szCs w:val="20"/>
                <w:color w:val="auto"/>
              </w:rPr>
            </w:pPr>
            <w:r>
              <w:rPr>
                <w:rFonts w:ascii="Arial" w:cs="Arial" w:eastAsia="Arial" w:hAnsi="Arial"/>
                <w:sz w:val="16"/>
                <w:szCs w:val="16"/>
                <w:b w:val="1"/>
                <w:bCs w:val="1"/>
                <w:color w:val="FFFFFF"/>
              </w:rPr>
              <w:t>Contributions</w:t>
            </w:r>
          </w:p>
        </w:tc>
        <w:tc>
          <w:tcPr>
            <w:tcW w:w="1880" w:type="dxa"/>
            <w:vAlign w:val="bottom"/>
            <w:shd w:val="clear" w:color="auto" w:fill="0171B9"/>
          </w:tcPr>
          <w:p>
            <w:pPr>
              <w:jc w:val="right"/>
              <w:ind w:right="320"/>
              <w:spacing w:after="0"/>
              <w:rPr>
                <w:sz w:val="20"/>
                <w:szCs w:val="20"/>
                <w:color w:val="auto"/>
              </w:rPr>
            </w:pPr>
            <w:r>
              <w:rPr>
                <w:rFonts w:ascii="Arial" w:cs="Arial" w:eastAsia="Arial" w:hAnsi="Arial"/>
                <w:sz w:val="16"/>
                <w:szCs w:val="16"/>
                <w:b w:val="1"/>
                <w:bCs w:val="1"/>
                <w:color w:val="FFFFFF"/>
              </w:rPr>
              <w:t>Contributions</w:t>
            </w:r>
          </w:p>
        </w:tc>
        <w:tc>
          <w:tcPr>
            <w:tcW w:w="2100" w:type="dxa"/>
            <w:vAlign w:val="bottom"/>
            <w:shd w:val="clear" w:color="auto" w:fill="0171B9"/>
          </w:tcPr>
          <w:p>
            <w:pPr>
              <w:jc w:val="right"/>
              <w:ind w:right="520"/>
              <w:spacing w:after="0"/>
              <w:rPr>
                <w:sz w:val="20"/>
                <w:szCs w:val="20"/>
                <w:color w:val="auto"/>
              </w:rPr>
            </w:pPr>
            <w:r>
              <w:rPr>
                <w:rFonts w:ascii="Arial" w:cs="Arial" w:eastAsia="Arial" w:hAnsi="Arial"/>
                <w:sz w:val="16"/>
                <w:szCs w:val="16"/>
                <w:b w:val="1"/>
                <w:bCs w:val="1"/>
                <w:color w:val="FFFFFF"/>
              </w:rPr>
              <w:t>(Losses)</w:t>
            </w:r>
          </w:p>
        </w:tc>
        <w:tc>
          <w:tcPr>
            <w:tcW w:w="1740" w:type="dxa"/>
            <w:vAlign w:val="bottom"/>
            <w:shd w:val="clear" w:color="auto" w:fill="0171B9"/>
          </w:tcPr>
          <w:p>
            <w:pPr>
              <w:jc w:val="right"/>
              <w:ind w:right="80"/>
              <w:spacing w:after="0"/>
              <w:rPr>
                <w:sz w:val="20"/>
                <w:szCs w:val="20"/>
                <w:color w:val="auto"/>
              </w:rPr>
            </w:pPr>
            <w:r>
              <w:rPr>
                <w:rFonts w:ascii="Arial" w:cs="Arial" w:eastAsia="Arial" w:hAnsi="Arial"/>
                <w:sz w:val="16"/>
                <w:szCs w:val="16"/>
                <w:b w:val="1"/>
                <w:bCs w:val="1"/>
                <w:color w:val="FFFFFF"/>
              </w:rPr>
              <w:t>12/31/2022</w:t>
            </w:r>
          </w:p>
        </w:tc>
      </w:tr>
      <w:tr>
        <w:trPr>
          <w:trHeight w:val="221"/>
        </w:trPr>
        <w:tc>
          <w:tcPr>
            <w:tcW w:w="2660" w:type="dxa"/>
            <w:vAlign w:val="bottom"/>
            <w:shd w:val="clear" w:color="auto" w:fill="0171B9"/>
          </w:tcPr>
          <w:p>
            <w:pPr>
              <w:ind w:left="80"/>
              <w:spacing w:after="0"/>
              <w:rPr>
                <w:sz w:val="20"/>
                <w:szCs w:val="20"/>
                <w:color w:val="auto"/>
              </w:rPr>
            </w:pPr>
            <w:r>
              <w:rPr>
                <w:rFonts w:ascii="Arial" w:cs="Arial" w:eastAsia="Arial" w:hAnsi="Arial"/>
                <w:sz w:val="16"/>
                <w:szCs w:val="16"/>
                <w:b w:val="1"/>
                <w:bCs w:val="1"/>
                <w:color w:val="FFFFFF"/>
              </w:rPr>
              <w:t>Name</w:t>
            </w:r>
          </w:p>
        </w:tc>
        <w:tc>
          <w:tcPr>
            <w:tcW w:w="2640" w:type="dxa"/>
            <w:vAlign w:val="bottom"/>
            <w:shd w:val="clear" w:color="auto" w:fill="0171B9"/>
          </w:tcPr>
          <w:p>
            <w:pPr>
              <w:jc w:val="right"/>
              <w:ind w:right="220"/>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1"/>
                <w:szCs w:val="11"/>
                <w:b w:val="1"/>
                <w:bCs w:val="1"/>
                <w:color w:val="FFFFFF"/>
              </w:rPr>
              <w:t>(1)</w:t>
            </w:r>
          </w:p>
        </w:tc>
        <w:tc>
          <w:tcPr>
            <w:tcW w:w="1880" w:type="dxa"/>
            <w:vAlign w:val="bottom"/>
            <w:shd w:val="clear" w:color="auto" w:fill="0171B9"/>
          </w:tcPr>
          <w:p>
            <w:pPr>
              <w:jc w:val="right"/>
              <w:ind w:right="320"/>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1"/>
                <w:szCs w:val="11"/>
                <w:b w:val="1"/>
                <w:bCs w:val="1"/>
                <w:color w:val="FFFFFF"/>
              </w:rPr>
              <w:t>(2)</w:t>
            </w:r>
          </w:p>
        </w:tc>
        <w:tc>
          <w:tcPr>
            <w:tcW w:w="2100" w:type="dxa"/>
            <w:vAlign w:val="bottom"/>
            <w:shd w:val="clear" w:color="auto" w:fill="0171B9"/>
          </w:tcPr>
          <w:p>
            <w:pPr>
              <w:jc w:val="right"/>
              <w:ind w:right="520"/>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1"/>
                <w:szCs w:val="11"/>
                <w:b w:val="1"/>
                <w:bCs w:val="1"/>
                <w:color w:val="FFFFFF"/>
              </w:rPr>
              <w:t>(3)</w:t>
            </w:r>
          </w:p>
        </w:tc>
        <w:tc>
          <w:tcPr>
            <w:tcW w:w="1740" w:type="dxa"/>
            <w:vAlign w:val="bottom"/>
            <w:shd w:val="clear" w:color="auto" w:fill="0171B9"/>
          </w:tcPr>
          <w:p>
            <w:pPr>
              <w:jc w:val="right"/>
              <w:ind w:right="40"/>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1"/>
                <w:szCs w:val="11"/>
                <w:b w:val="1"/>
                <w:bCs w:val="1"/>
                <w:color w:val="FFFFFF"/>
              </w:rPr>
              <w:t>(4)</w:t>
            </w:r>
          </w:p>
        </w:tc>
      </w:tr>
      <w:tr>
        <w:trPr>
          <w:trHeight w:val="264"/>
        </w:trPr>
        <w:tc>
          <w:tcPr>
            <w:tcW w:w="2660" w:type="dxa"/>
            <w:vAlign w:val="bottom"/>
            <w:tcBorders>
              <w:bottom w:val="single" w:sz="8" w:color="CCE2F1"/>
            </w:tcBorders>
            <w:shd w:val="clear" w:color="auto" w:fill="CCE2F1"/>
          </w:tcPr>
          <w:p>
            <w:pPr>
              <w:ind w:left="60"/>
              <w:spacing w:after="0"/>
              <w:rPr>
                <w:sz w:val="20"/>
                <w:szCs w:val="20"/>
                <w:color w:val="auto"/>
              </w:rPr>
            </w:pPr>
            <w:r>
              <w:rPr>
                <w:rFonts w:ascii="Arial" w:cs="Arial" w:eastAsia="Arial" w:hAnsi="Arial"/>
                <w:sz w:val="17"/>
                <w:szCs w:val="17"/>
                <w:color w:val="auto"/>
              </w:rPr>
              <w:t>Robert A. Bradway</w:t>
            </w:r>
          </w:p>
        </w:tc>
        <w:tc>
          <w:tcPr>
            <w:tcW w:w="2640" w:type="dxa"/>
            <w:vAlign w:val="bottom"/>
            <w:tcBorders>
              <w:bottom w:val="single" w:sz="8" w:color="CCE2F1"/>
            </w:tcBorders>
            <w:shd w:val="clear" w:color="auto" w:fill="CCE2F1"/>
          </w:tcPr>
          <w:p>
            <w:pPr>
              <w:jc w:val="right"/>
              <w:ind w:right="220"/>
              <w:spacing w:after="0"/>
              <w:rPr>
                <w:sz w:val="20"/>
                <w:szCs w:val="20"/>
                <w:color w:val="auto"/>
              </w:rPr>
            </w:pPr>
            <w:r>
              <w:rPr>
                <w:rFonts w:ascii="Arial" w:cs="Arial" w:eastAsia="Arial" w:hAnsi="Arial"/>
                <w:sz w:val="17"/>
                <w:szCs w:val="17"/>
                <w:color w:val="auto"/>
              </w:rPr>
              <w:t>0</w:t>
            </w:r>
          </w:p>
        </w:tc>
        <w:tc>
          <w:tcPr>
            <w:tcW w:w="1880" w:type="dxa"/>
            <w:vAlign w:val="bottom"/>
            <w:tcBorders>
              <w:bottom w:val="single" w:sz="8" w:color="CCE2F1"/>
            </w:tcBorders>
            <w:shd w:val="clear" w:color="auto" w:fill="CCE2F1"/>
          </w:tcPr>
          <w:p>
            <w:pPr>
              <w:jc w:val="right"/>
              <w:ind w:right="320"/>
              <w:spacing w:after="0"/>
              <w:rPr>
                <w:sz w:val="20"/>
                <w:szCs w:val="20"/>
                <w:color w:val="auto"/>
              </w:rPr>
            </w:pPr>
            <w:r>
              <w:rPr>
                <w:rFonts w:ascii="Arial" w:cs="Arial" w:eastAsia="Arial" w:hAnsi="Arial"/>
                <w:sz w:val="17"/>
                <w:szCs w:val="17"/>
                <w:color w:val="auto"/>
              </w:rPr>
              <w:t>483,505</w:t>
            </w:r>
          </w:p>
        </w:tc>
        <w:tc>
          <w:tcPr>
            <w:tcW w:w="2100" w:type="dxa"/>
            <w:vAlign w:val="bottom"/>
            <w:tcBorders>
              <w:bottom w:val="single" w:sz="8" w:color="CCE2F1"/>
            </w:tcBorders>
            <w:shd w:val="clear" w:color="auto" w:fill="CCE2F1"/>
          </w:tcPr>
          <w:p>
            <w:pPr>
              <w:jc w:val="right"/>
              <w:ind w:right="460"/>
              <w:spacing w:after="0"/>
              <w:rPr>
                <w:sz w:val="20"/>
                <w:szCs w:val="20"/>
                <w:color w:val="auto"/>
              </w:rPr>
            </w:pPr>
            <w:r>
              <w:rPr>
                <w:rFonts w:ascii="Arial" w:cs="Arial" w:eastAsia="Arial" w:hAnsi="Arial"/>
                <w:sz w:val="17"/>
                <w:szCs w:val="17"/>
                <w:color w:val="auto"/>
              </w:rPr>
              <w:t>(3,247,939)</w:t>
            </w:r>
          </w:p>
        </w:tc>
        <w:tc>
          <w:tcPr>
            <w:tcW w:w="1740" w:type="dxa"/>
            <w:vAlign w:val="bottom"/>
            <w:tcBorders>
              <w:bottom w:val="single" w:sz="8" w:color="CCE2F1"/>
            </w:tcBorders>
            <w:shd w:val="clear" w:color="auto" w:fill="CCE2F1"/>
          </w:tcPr>
          <w:p>
            <w:pPr>
              <w:jc w:val="right"/>
              <w:spacing w:after="0"/>
              <w:rPr>
                <w:sz w:val="20"/>
                <w:szCs w:val="20"/>
                <w:color w:val="auto"/>
              </w:rPr>
            </w:pPr>
            <w:r>
              <w:rPr>
                <w:rFonts w:ascii="Arial" w:cs="Arial" w:eastAsia="Arial" w:hAnsi="Arial"/>
                <w:sz w:val="17"/>
                <w:szCs w:val="17"/>
                <w:color w:val="auto"/>
              </w:rPr>
              <w:t>18,527,957</w:t>
            </w:r>
          </w:p>
        </w:tc>
      </w:tr>
      <w:tr>
        <w:trPr>
          <w:trHeight w:val="239"/>
        </w:trPr>
        <w:tc>
          <w:tcPr>
            <w:tcW w:w="2660" w:type="dxa"/>
            <w:vAlign w:val="bottom"/>
          </w:tcPr>
          <w:p>
            <w:pPr>
              <w:ind w:left="60"/>
              <w:spacing w:after="0"/>
              <w:rPr>
                <w:sz w:val="20"/>
                <w:szCs w:val="20"/>
                <w:color w:val="auto"/>
              </w:rPr>
            </w:pPr>
            <w:r>
              <w:rPr>
                <w:rFonts w:ascii="Arial" w:cs="Arial" w:eastAsia="Arial" w:hAnsi="Arial"/>
                <w:sz w:val="17"/>
                <w:szCs w:val="17"/>
                <w:color w:val="auto"/>
              </w:rPr>
              <w:t>Murdo Gordon</w:t>
            </w:r>
          </w:p>
        </w:tc>
        <w:tc>
          <w:tcPr>
            <w:tcW w:w="2640" w:type="dxa"/>
            <w:vAlign w:val="bottom"/>
          </w:tcPr>
          <w:p>
            <w:pPr>
              <w:jc w:val="right"/>
              <w:ind w:right="220"/>
              <w:spacing w:after="0"/>
              <w:rPr>
                <w:sz w:val="20"/>
                <w:szCs w:val="20"/>
                <w:color w:val="auto"/>
              </w:rPr>
            </w:pPr>
            <w:r>
              <w:rPr>
                <w:rFonts w:ascii="Arial" w:cs="Arial" w:eastAsia="Arial" w:hAnsi="Arial"/>
                <w:sz w:val="17"/>
                <w:szCs w:val="17"/>
                <w:color w:val="auto"/>
              </w:rPr>
              <w:t>0</w:t>
            </w:r>
          </w:p>
        </w:tc>
        <w:tc>
          <w:tcPr>
            <w:tcW w:w="1880" w:type="dxa"/>
            <w:vAlign w:val="bottom"/>
          </w:tcPr>
          <w:p>
            <w:pPr>
              <w:jc w:val="right"/>
              <w:ind w:right="320"/>
              <w:spacing w:after="0"/>
              <w:rPr>
                <w:sz w:val="20"/>
                <w:szCs w:val="20"/>
                <w:color w:val="auto"/>
              </w:rPr>
            </w:pPr>
            <w:r>
              <w:rPr>
                <w:rFonts w:ascii="Arial" w:cs="Arial" w:eastAsia="Arial" w:hAnsi="Arial"/>
                <w:sz w:val="17"/>
                <w:szCs w:val="17"/>
                <w:color w:val="auto"/>
              </w:rPr>
              <w:t>225,785</w:t>
            </w:r>
          </w:p>
        </w:tc>
        <w:tc>
          <w:tcPr>
            <w:tcW w:w="2100" w:type="dxa"/>
            <w:vAlign w:val="bottom"/>
          </w:tcPr>
          <w:p>
            <w:pPr>
              <w:jc w:val="right"/>
              <w:ind w:right="460"/>
              <w:spacing w:after="0"/>
              <w:rPr>
                <w:sz w:val="20"/>
                <w:szCs w:val="20"/>
                <w:color w:val="auto"/>
              </w:rPr>
            </w:pPr>
            <w:r>
              <w:rPr>
                <w:rFonts w:ascii="Arial" w:cs="Arial" w:eastAsia="Arial" w:hAnsi="Arial"/>
                <w:sz w:val="17"/>
                <w:szCs w:val="17"/>
                <w:color w:val="auto"/>
              </w:rPr>
              <w:t>(483,426)</w:t>
            </w:r>
          </w:p>
        </w:tc>
        <w:tc>
          <w:tcPr>
            <w:tcW w:w="1740" w:type="dxa"/>
            <w:vAlign w:val="bottom"/>
          </w:tcPr>
          <w:p>
            <w:pPr>
              <w:jc w:val="right"/>
              <w:spacing w:after="0"/>
              <w:rPr>
                <w:sz w:val="20"/>
                <w:szCs w:val="20"/>
                <w:color w:val="auto"/>
              </w:rPr>
            </w:pPr>
            <w:r>
              <w:rPr>
                <w:rFonts w:ascii="Arial" w:cs="Arial" w:eastAsia="Arial" w:hAnsi="Arial"/>
                <w:sz w:val="17"/>
                <w:szCs w:val="17"/>
                <w:color w:val="auto"/>
              </w:rPr>
              <w:t>2,667,619</w:t>
            </w:r>
          </w:p>
        </w:tc>
      </w:tr>
      <w:tr>
        <w:trPr>
          <w:trHeight w:val="31"/>
        </w:trPr>
        <w:tc>
          <w:tcPr>
            <w:tcW w:w="2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660" w:type="dxa"/>
            <w:vAlign w:val="bottom"/>
            <w:tcBorders>
              <w:bottom w:val="single" w:sz="8" w:color="CCE2F1"/>
            </w:tcBorders>
            <w:shd w:val="clear" w:color="auto" w:fill="CCE2F1"/>
          </w:tcPr>
          <w:p>
            <w:pPr>
              <w:ind w:left="60"/>
              <w:spacing w:after="0"/>
              <w:rPr>
                <w:sz w:val="20"/>
                <w:szCs w:val="20"/>
                <w:color w:val="auto"/>
              </w:rPr>
            </w:pPr>
            <w:r>
              <w:rPr>
                <w:rFonts w:ascii="Arial" w:cs="Arial" w:eastAsia="Arial" w:hAnsi="Arial"/>
                <w:sz w:val="17"/>
                <w:szCs w:val="17"/>
                <w:color w:val="auto"/>
              </w:rPr>
              <w:t>David M. Reese</w:t>
            </w:r>
          </w:p>
        </w:tc>
        <w:tc>
          <w:tcPr>
            <w:tcW w:w="2640" w:type="dxa"/>
            <w:vAlign w:val="bottom"/>
            <w:tcBorders>
              <w:bottom w:val="single" w:sz="8" w:color="CCE2F1"/>
            </w:tcBorders>
            <w:shd w:val="clear" w:color="auto" w:fill="CCE2F1"/>
          </w:tcPr>
          <w:p>
            <w:pPr>
              <w:jc w:val="right"/>
              <w:ind w:right="220"/>
              <w:spacing w:after="0"/>
              <w:rPr>
                <w:sz w:val="20"/>
                <w:szCs w:val="20"/>
                <w:color w:val="auto"/>
              </w:rPr>
            </w:pPr>
            <w:r>
              <w:rPr>
                <w:rFonts w:ascii="Arial" w:cs="Arial" w:eastAsia="Arial" w:hAnsi="Arial"/>
                <w:sz w:val="17"/>
                <w:szCs w:val="17"/>
                <w:color w:val="auto"/>
              </w:rPr>
              <w:t>0</w:t>
            </w:r>
          </w:p>
        </w:tc>
        <w:tc>
          <w:tcPr>
            <w:tcW w:w="1880" w:type="dxa"/>
            <w:vAlign w:val="bottom"/>
            <w:tcBorders>
              <w:bottom w:val="single" w:sz="8" w:color="CCE2F1"/>
            </w:tcBorders>
            <w:shd w:val="clear" w:color="auto" w:fill="CCE2F1"/>
          </w:tcPr>
          <w:p>
            <w:pPr>
              <w:jc w:val="right"/>
              <w:ind w:right="320"/>
              <w:spacing w:after="0"/>
              <w:rPr>
                <w:sz w:val="20"/>
                <w:szCs w:val="20"/>
                <w:color w:val="auto"/>
              </w:rPr>
            </w:pPr>
            <w:r>
              <w:rPr>
                <w:rFonts w:ascii="Arial" w:cs="Arial" w:eastAsia="Arial" w:hAnsi="Arial"/>
                <w:sz w:val="17"/>
                <w:szCs w:val="17"/>
                <w:color w:val="auto"/>
              </w:rPr>
              <w:t>229,881</w:t>
            </w:r>
          </w:p>
        </w:tc>
        <w:tc>
          <w:tcPr>
            <w:tcW w:w="2100" w:type="dxa"/>
            <w:vAlign w:val="bottom"/>
            <w:tcBorders>
              <w:bottom w:val="single" w:sz="8" w:color="CCE2F1"/>
            </w:tcBorders>
            <w:shd w:val="clear" w:color="auto" w:fill="CCE2F1"/>
          </w:tcPr>
          <w:p>
            <w:pPr>
              <w:jc w:val="right"/>
              <w:ind w:right="460"/>
              <w:spacing w:after="0"/>
              <w:rPr>
                <w:sz w:val="20"/>
                <w:szCs w:val="20"/>
                <w:color w:val="auto"/>
              </w:rPr>
            </w:pPr>
            <w:r>
              <w:rPr>
                <w:rFonts w:ascii="Arial" w:cs="Arial" w:eastAsia="Arial" w:hAnsi="Arial"/>
                <w:sz w:val="17"/>
                <w:szCs w:val="17"/>
                <w:color w:val="auto"/>
              </w:rPr>
              <w:t>(260,253)</w:t>
            </w:r>
          </w:p>
        </w:tc>
        <w:tc>
          <w:tcPr>
            <w:tcW w:w="1740" w:type="dxa"/>
            <w:vAlign w:val="bottom"/>
            <w:tcBorders>
              <w:bottom w:val="single" w:sz="8" w:color="CCE2F1"/>
            </w:tcBorders>
            <w:shd w:val="clear" w:color="auto" w:fill="CCE2F1"/>
          </w:tcPr>
          <w:p>
            <w:pPr>
              <w:jc w:val="right"/>
              <w:spacing w:after="0"/>
              <w:rPr>
                <w:sz w:val="20"/>
                <w:szCs w:val="20"/>
                <w:color w:val="auto"/>
              </w:rPr>
            </w:pPr>
            <w:r>
              <w:rPr>
                <w:rFonts w:ascii="Arial" w:cs="Arial" w:eastAsia="Arial" w:hAnsi="Arial"/>
                <w:sz w:val="17"/>
                <w:szCs w:val="17"/>
                <w:color w:val="auto"/>
              </w:rPr>
              <w:t>1,738,316</w:t>
            </w:r>
          </w:p>
        </w:tc>
      </w:tr>
      <w:tr>
        <w:trPr>
          <w:trHeight w:val="239"/>
        </w:trPr>
        <w:tc>
          <w:tcPr>
            <w:tcW w:w="2660" w:type="dxa"/>
            <w:vAlign w:val="bottom"/>
          </w:tcPr>
          <w:p>
            <w:pPr>
              <w:ind w:left="60"/>
              <w:spacing w:after="0"/>
              <w:rPr>
                <w:sz w:val="20"/>
                <w:szCs w:val="20"/>
                <w:color w:val="auto"/>
              </w:rPr>
            </w:pPr>
            <w:r>
              <w:rPr>
                <w:rFonts w:ascii="Arial" w:cs="Arial" w:eastAsia="Arial" w:hAnsi="Arial"/>
                <w:sz w:val="17"/>
                <w:szCs w:val="17"/>
                <w:color w:val="auto"/>
              </w:rPr>
              <w:t>Peter H. Griffith</w:t>
            </w:r>
          </w:p>
        </w:tc>
        <w:tc>
          <w:tcPr>
            <w:tcW w:w="2640" w:type="dxa"/>
            <w:vAlign w:val="bottom"/>
          </w:tcPr>
          <w:p>
            <w:pPr>
              <w:jc w:val="right"/>
              <w:ind w:right="220"/>
              <w:spacing w:after="0"/>
              <w:rPr>
                <w:sz w:val="20"/>
                <w:szCs w:val="20"/>
                <w:color w:val="auto"/>
              </w:rPr>
            </w:pPr>
            <w:r>
              <w:rPr>
                <w:rFonts w:ascii="Arial" w:cs="Arial" w:eastAsia="Arial" w:hAnsi="Arial"/>
                <w:sz w:val="17"/>
                <w:szCs w:val="17"/>
                <w:color w:val="auto"/>
              </w:rPr>
              <w:t>1,115,641</w:t>
            </w:r>
          </w:p>
        </w:tc>
        <w:tc>
          <w:tcPr>
            <w:tcW w:w="1880" w:type="dxa"/>
            <w:vAlign w:val="bottom"/>
          </w:tcPr>
          <w:p>
            <w:pPr>
              <w:jc w:val="right"/>
              <w:ind w:right="320"/>
              <w:spacing w:after="0"/>
              <w:rPr>
                <w:sz w:val="20"/>
                <w:szCs w:val="20"/>
                <w:color w:val="auto"/>
              </w:rPr>
            </w:pPr>
            <w:r>
              <w:rPr>
                <w:rFonts w:ascii="Arial" w:cs="Arial" w:eastAsia="Arial" w:hAnsi="Arial"/>
                <w:sz w:val="17"/>
                <w:szCs w:val="17"/>
                <w:color w:val="auto"/>
              </w:rPr>
              <w:t>212,012</w:t>
            </w:r>
          </w:p>
        </w:tc>
        <w:tc>
          <w:tcPr>
            <w:tcW w:w="2100" w:type="dxa"/>
            <w:vAlign w:val="bottom"/>
          </w:tcPr>
          <w:p>
            <w:pPr>
              <w:jc w:val="right"/>
              <w:ind w:right="520"/>
              <w:spacing w:after="0"/>
              <w:rPr>
                <w:sz w:val="20"/>
                <w:szCs w:val="20"/>
                <w:color w:val="auto"/>
              </w:rPr>
            </w:pPr>
            <w:r>
              <w:rPr>
                <w:rFonts w:ascii="Arial" w:cs="Arial" w:eastAsia="Arial" w:hAnsi="Arial"/>
                <w:sz w:val="17"/>
                <w:szCs w:val="17"/>
                <w:color w:val="auto"/>
              </w:rPr>
              <w:t>41,359</w:t>
            </w:r>
          </w:p>
        </w:tc>
        <w:tc>
          <w:tcPr>
            <w:tcW w:w="1740" w:type="dxa"/>
            <w:vAlign w:val="bottom"/>
          </w:tcPr>
          <w:p>
            <w:pPr>
              <w:jc w:val="right"/>
              <w:spacing w:after="0"/>
              <w:rPr>
                <w:sz w:val="20"/>
                <w:szCs w:val="20"/>
                <w:color w:val="auto"/>
              </w:rPr>
            </w:pPr>
            <w:r>
              <w:rPr>
                <w:rFonts w:ascii="Arial" w:cs="Arial" w:eastAsia="Arial" w:hAnsi="Arial"/>
                <w:sz w:val="17"/>
                <w:szCs w:val="17"/>
                <w:color w:val="auto"/>
              </w:rPr>
              <w:t>3,660,018</w:t>
            </w:r>
          </w:p>
        </w:tc>
      </w:tr>
      <w:tr>
        <w:trPr>
          <w:trHeight w:val="31"/>
        </w:trPr>
        <w:tc>
          <w:tcPr>
            <w:tcW w:w="2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660" w:type="dxa"/>
            <w:vAlign w:val="bottom"/>
            <w:tcBorders>
              <w:bottom w:val="single" w:sz="8" w:color="CCE2F1"/>
            </w:tcBorders>
            <w:shd w:val="clear" w:color="auto" w:fill="CCE2F1"/>
          </w:tcPr>
          <w:p>
            <w:pPr>
              <w:ind w:left="60"/>
              <w:spacing w:after="0"/>
              <w:rPr>
                <w:sz w:val="20"/>
                <w:szCs w:val="20"/>
                <w:color w:val="auto"/>
              </w:rPr>
            </w:pPr>
            <w:r>
              <w:rPr>
                <w:rFonts w:ascii="Arial" w:cs="Arial" w:eastAsia="Arial" w:hAnsi="Arial"/>
                <w:sz w:val="17"/>
                <w:szCs w:val="17"/>
                <w:color w:val="auto"/>
              </w:rPr>
              <w:t>Esteban Santos</w:t>
            </w:r>
          </w:p>
        </w:tc>
        <w:tc>
          <w:tcPr>
            <w:tcW w:w="2640" w:type="dxa"/>
            <w:vAlign w:val="bottom"/>
            <w:tcBorders>
              <w:bottom w:val="single" w:sz="8" w:color="CCE2F1"/>
            </w:tcBorders>
            <w:shd w:val="clear" w:color="auto" w:fill="CCE2F1"/>
          </w:tcPr>
          <w:p>
            <w:pPr>
              <w:jc w:val="right"/>
              <w:ind w:right="220"/>
              <w:spacing w:after="0"/>
              <w:rPr>
                <w:sz w:val="20"/>
                <w:szCs w:val="20"/>
                <w:color w:val="auto"/>
              </w:rPr>
            </w:pPr>
            <w:r>
              <w:rPr>
                <w:rFonts w:ascii="Arial" w:cs="Arial" w:eastAsia="Arial" w:hAnsi="Arial"/>
                <w:sz w:val="17"/>
                <w:szCs w:val="17"/>
                <w:color w:val="auto"/>
              </w:rPr>
              <w:t>0</w:t>
            </w:r>
          </w:p>
        </w:tc>
        <w:tc>
          <w:tcPr>
            <w:tcW w:w="1880" w:type="dxa"/>
            <w:vAlign w:val="bottom"/>
            <w:tcBorders>
              <w:bottom w:val="single" w:sz="8" w:color="CCE2F1"/>
            </w:tcBorders>
            <w:shd w:val="clear" w:color="auto" w:fill="CCE2F1"/>
          </w:tcPr>
          <w:p>
            <w:pPr>
              <w:jc w:val="right"/>
              <w:ind w:right="320"/>
              <w:spacing w:after="0"/>
              <w:rPr>
                <w:sz w:val="20"/>
                <w:szCs w:val="20"/>
                <w:color w:val="auto"/>
              </w:rPr>
            </w:pPr>
            <w:r>
              <w:rPr>
                <w:rFonts w:ascii="Arial" w:cs="Arial" w:eastAsia="Arial" w:hAnsi="Arial"/>
                <w:sz w:val="17"/>
                <w:szCs w:val="17"/>
                <w:color w:val="auto"/>
              </w:rPr>
              <w:t>207,061</w:t>
            </w:r>
          </w:p>
        </w:tc>
        <w:tc>
          <w:tcPr>
            <w:tcW w:w="2100" w:type="dxa"/>
            <w:vAlign w:val="bottom"/>
            <w:tcBorders>
              <w:bottom w:val="single" w:sz="8" w:color="CCE2F1"/>
            </w:tcBorders>
            <w:shd w:val="clear" w:color="auto" w:fill="CCE2F1"/>
          </w:tcPr>
          <w:p>
            <w:pPr>
              <w:jc w:val="right"/>
              <w:ind w:right="460"/>
              <w:spacing w:after="0"/>
              <w:rPr>
                <w:sz w:val="20"/>
                <w:szCs w:val="20"/>
                <w:color w:val="auto"/>
              </w:rPr>
            </w:pPr>
            <w:r>
              <w:rPr>
                <w:rFonts w:ascii="Arial" w:cs="Arial" w:eastAsia="Arial" w:hAnsi="Arial"/>
                <w:sz w:val="17"/>
                <w:szCs w:val="17"/>
                <w:color w:val="auto"/>
              </w:rPr>
              <w:t>(671,384)</w:t>
            </w:r>
          </w:p>
        </w:tc>
        <w:tc>
          <w:tcPr>
            <w:tcW w:w="1740" w:type="dxa"/>
            <w:vAlign w:val="bottom"/>
            <w:tcBorders>
              <w:bottom w:val="single" w:sz="8" w:color="CCE2F1"/>
            </w:tcBorders>
            <w:shd w:val="clear" w:color="auto" w:fill="CCE2F1"/>
          </w:tcPr>
          <w:p>
            <w:pPr>
              <w:jc w:val="right"/>
              <w:spacing w:after="0"/>
              <w:rPr>
                <w:sz w:val="20"/>
                <w:szCs w:val="20"/>
                <w:color w:val="auto"/>
              </w:rPr>
            </w:pPr>
            <w:r>
              <w:rPr>
                <w:rFonts w:ascii="Arial" w:cs="Arial" w:eastAsia="Arial" w:hAnsi="Arial"/>
                <w:sz w:val="17"/>
                <w:szCs w:val="17"/>
                <w:color w:val="auto"/>
              </w:rPr>
              <w:t>3,791,515</w:t>
            </w:r>
          </w:p>
        </w:tc>
      </w:tr>
      <w:tr>
        <w:trPr>
          <w:trHeight w:val="20"/>
        </w:trPr>
        <w:tc>
          <w:tcPr>
            <w:tcW w:w="2660" w:type="dxa"/>
            <w:vAlign w:val="bottom"/>
            <w:shd w:val="clear" w:color="auto" w:fill="0171B9"/>
          </w:tcPr>
          <w:p>
            <w:pPr>
              <w:spacing w:after="0" w:line="20" w:lineRule="exact"/>
              <w:rPr>
                <w:sz w:val="1"/>
                <w:szCs w:val="1"/>
                <w:color w:val="auto"/>
              </w:rPr>
            </w:pPr>
          </w:p>
        </w:tc>
        <w:tc>
          <w:tcPr>
            <w:tcW w:w="2640" w:type="dxa"/>
            <w:vAlign w:val="bottom"/>
            <w:shd w:val="clear" w:color="auto" w:fill="0171B9"/>
          </w:tcPr>
          <w:p>
            <w:pPr>
              <w:spacing w:after="0" w:line="20" w:lineRule="exact"/>
              <w:rPr>
                <w:sz w:val="1"/>
                <w:szCs w:val="1"/>
                <w:color w:val="auto"/>
              </w:rPr>
            </w:pPr>
          </w:p>
        </w:tc>
        <w:tc>
          <w:tcPr>
            <w:tcW w:w="1880" w:type="dxa"/>
            <w:vAlign w:val="bottom"/>
            <w:shd w:val="clear" w:color="auto" w:fill="0171B9"/>
          </w:tcPr>
          <w:p>
            <w:pPr>
              <w:spacing w:after="0" w:line="20" w:lineRule="exact"/>
              <w:rPr>
                <w:sz w:val="1"/>
                <w:szCs w:val="1"/>
                <w:color w:val="auto"/>
              </w:rPr>
            </w:pPr>
          </w:p>
        </w:tc>
        <w:tc>
          <w:tcPr>
            <w:tcW w:w="2100" w:type="dxa"/>
            <w:vAlign w:val="bottom"/>
            <w:shd w:val="clear" w:color="auto" w:fill="0171B9"/>
          </w:tcPr>
          <w:p>
            <w:pPr>
              <w:spacing w:after="0" w:line="20" w:lineRule="exact"/>
              <w:rPr>
                <w:sz w:val="1"/>
                <w:szCs w:val="1"/>
                <w:color w:val="auto"/>
              </w:rPr>
            </w:pPr>
          </w:p>
        </w:tc>
        <w:tc>
          <w:tcPr>
            <w:tcW w:w="1740" w:type="dxa"/>
            <w:vAlign w:val="bottom"/>
            <w:shd w:val="clear" w:color="auto" w:fill="0171B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-873760</wp:posOffset>
            </wp:positionV>
            <wp:extent cx="699516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6" w:lineRule="exact"/>
        <w:rPr>
          <w:sz w:val="20"/>
          <w:szCs w:val="20"/>
          <w:color w:val="auto"/>
        </w:rPr>
      </w:pPr>
    </w:p>
    <w:p>
      <w:pPr>
        <w:jc w:val="both"/>
        <w:ind w:left="540" w:hanging="424"/>
        <w:spacing w:after="0" w:line="211" w:lineRule="auto"/>
        <w:tabs>
          <w:tab w:leader="none" w:pos="540" w:val="left"/>
        </w:tabs>
        <w:numPr>
          <w:ilvl w:val="0"/>
          <w:numId w:val="117"/>
        </w:numPr>
        <w:rPr>
          <w:rFonts w:ascii="Arial" w:cs="Arial" w:eastAsia="Arial" w:hAnsi="Arial"/>
          <w:sz w:val="22"/>
          <w:szCs w:val="22"/>
          <w:color w:val="auto"/>
          <w:vertAlign w:val="superscript"/>
        </w:rPr>
      </w:pPr>
      <w:r>
        <w:rPr>
          <w:rFonts w:ascii="Arial" w:cs="Arial" w:eastAsia="Arial" w:hAnsi="Arial"/>
          <w:sz w:val="14"/>
          <w:szCs w:val="14"/>
          <w:color w:val="auto"/>
        </w:rPr>
        <w:t>Reflects the portions of the annual cash incentive awards deferred and contributed to the NDCP in the amount of $1,105,600 by Mr. Griffith which was included in the “Non-Equity Incentive Plan Compensation” column of the “Summary Compensation Table” in 2021, the year it was earned. Also reflects a portion of the salary deferred and contributed to the NDCP in the amount of $10,041 by Mr. Griffith that was included in the “Salary” column of the “Summary Compensation Table” in 2022, the year it was earned</w:t>
      </w:r>
    </w:p>
    <w:p>
      <w:pPr>
        <w:ind w:left="540" w:hanging="424"/>
        <w:spacing w:after="0" w:line="187" w:lineRule="auto"/>
        <w:tabs>
          <w:tab w:leader="none" w:pos="540" w:val="left"/>
        </w:tabs>
        <w:numPr>
          <w:ilvl w:val="0"/>
          <w:numId w:val="117"/>
        </w:numPr>
        <w:rPr>
          <w:rFonts w:ascii="Arial" w:cs="Arial" w:eastAsia="Arial" w:hAnsi="Arial"/>
          <w:sz w:val="18"/>
          <w:szCs w:val="18"/>
          <w:color w:val="auto"/>
          <w:vertAlign w:val="superscript"/>
        </w:rPr>
      </w:pPr>
      <w:r>
        <w:rPr>
          <w:rFonts w:ascii="Arial" w:cs="Arial" w:eastAsia="Arial" w:hAnsi="Arial"/>
          <w:sz w:val="12"/>
          <w:szCs w:val="12"/>
          <w:color w:val="auto"/>
        </w:rPr>
        <w:t>Reflects credits to the SRP.</w:t>
      </w:r>
    </w:p>
    <w:p>
      <w:pPr>
        <w:ind w:left="540" w:hanging="424"/>
        <w:spacing w:after="0" w:line="187" w:lineRule="auto"/>
        <w:tabs>
          <w:tab w:leader="none" w:pos="540" w:val="left"/>
        </w:tabs>
        <w:numPr>
          <w:ilvl w:val="0"/>
          <w:numId w:val="117"/>
        </w:numPr>
        <w:rPr>
          <w:rFonts w:ascii="Arial" w:cs="Arial" w:eastAsia="Arial" w:hAnsi="Arial"/>
          <w:sz w:val="18"/>
          <w:szCs w:val="18"/>
          <w:color w:val="auto"/>
          <w:vertAlign w:val="superscript"/>
        </w:rPr>
      </w:pPr>
      <w:r>
        <w:rPr>
          <w:rFonts w:ascii="Arial" w:cs="Arial" w:eastAsia="Arial" w:hAnsi="Arial"/>
          <w:sz w:val="12"/>
          <w:szCs w:val="12"/>
          <w:color w:val="auto"/>
        </w:rPr>
        <w:t>Reflects earnings/(losses) in the NDCP and SRP for 2022.</w:t>
      </w:r>
    </w:p>
    <w:p>
      <w:pPr>
        <w:jc w:val="both"/>
        <w:ind w:left="540" w:right="20" w:hanging="424"/>
        <w:spacing w:after="0" w:line="207" w:lineRule="auto"/>
        <w:tabs>
          <w:tab w:leader="none" w:pos="540" w:val="left"/>
        </w:tabs>
        <w:numPr>
          <w:ilvl w:val="0"/>
          <w:numId w:val="117"/>
        </w:numPr>
        <w:rPr>
          <w:rFonts w:ascii="Arial" w:cs="Arial" w:eastAsia="Arial" w:hAnsi="Arial"/>
          <w:sz w:val="22"/>
          <w:szCs w:val="22"/>
          <w:color w:val="auto"/>
          <w:vertAlign w:val="superscript"/>
        </w:rPr>
      </w:pPr>
      <w:r>
        <w:rPr>
          <w:rFonts w:ascii="Arial" w:cs="Arial" w:eastAsia="Arial" w:hAnsi="Arial"/>
          <w:sz w:val="14"/>
          <w:szCs w:val="14"/>
          <w:color w:val="auto"/>
        </w:rPr>
        <w:t>Reflects balances in the NDCP and SRP on December 31, 2022. All amounts are vested. These balances include the following aggregate amounts that are reported as compensation in this proxy statement in the “Summary Compensation Table” in 2022, 2021, and 2020: $1,961,889 for Mr. Bradway; $910,704 for Mr. Gordon; $657,382 for Dr. Reese; $3,240,406 for Mr. Griffith; and $591,366 for Mr. Santos.</w:t>
      </w:r>
    </w:p>
    <w:p>
      <w:pPr>
        <w:spacing w:after="0" w:line="117"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Executive Compensation Tables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General Provisions of the Supplemental Retirement Plan and Nonqualified Deferred Compensation Plan</w:t>
      </w:r>
    </w:p>
    <w:p>
      <w:pPr>
        <w:sectPr>
          <w:pgSz w:w="11900" w:h="16838" w:orient="portrait"/>
          <w:cols w:equalWidth="0" w:num="1">
            <w:col w:w="11140"/>
          </w:cols>
          <w:pgMar w:left="320" w:top="486" w:right="439" w:bottom="1440" w:gutter="0" w:footer="0" w:header="0"/>
        </w:sectPr>
      </w:pPr>
    </w:p>
    <w:p>
      <w:pPr>
        <w:spacing w:after="0" w:line="192"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The SRP is designed to provide a “make-whole” benefit to 401(k) Plan participants with eligible compensation in excess of the Internal Revenue Code’s qualified plan compensation limit. The Company credits to the SRP a 10% contribution on such compensation to represent the equivalent percentage of Company contributions that would have been made to the 401(k) Plan if the compensation had been eligible for deferral into the 401(k) Plan. For the same reason, the Company also credits to the SRP a 10% contribution on amounts voluntarily deferred by a participant into the NDCP. No “above market” crediting rates are offered under the SRP and employee contributions to the SRP are not permitted.</w:t>
      </w:r>
    </w:p>
    <w:p>
      <w:pPr>
        <w:spacing w:after="0" w:line="100"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The SRP and the NDCP are unfunded plans for tax purposes and for purposes of Title I of the Employee Retirement Income Security Act of 1974, as amended. Deferred amounts are our general unsecured obligations and are subject to our ongoing financial solvency. We have established a grantor trust (a so-called “rabbi” trust) for the purpose of accumulating funds to assist us in satisfying our obligations under the NDCP. Earnings on amounts contributed to our SRP and NDCP, like our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401(k) Plan, are based on participant selections among the deemed investment options selected by a committee of our executives. This committee has the sole discretion to discontinue, substitute, or add investment options at any time. Participants can select from among these investment options for purposes of determining the earnings or losses that we will credit to their plan accounts, but they do not have an ownership interest in the investment options they select. Unlike our 401(k) Plan, we do not offer the opportunity for NDCP or SRP participants to invest through a brokerage window or in our Common Stock. The investment options available to NDCP and SRP participants also differ from our 401(k) in that they include six target date portfolios which are used as default investment options (the “Target Retirement Portfolios”). The investment options available during 2022 are described in the subsection “Investment Options Under the 401(k), Supplemental Retirement, and Nonqualified Deferred Compensation Plans” below. Invested credits can be reallocated among available plan investment options on any business day and effective at the close of business on that day (subject to the time of day the reallocation request is made on a day the market is open).</w:t>
      </w:r>
    </w:p>
    <w:p>
      <w:pPr>
        <w:spacing w:after="0" w:line="306"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153"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Retirement and Savings Plan (401(k) Plan) and Supplemental Retirement Plan</w:t>
      </w:r>
    </w:p>
    <w:p>
      <w:pPr>
        <w:sectPr>
          <w:pgSz w:w="11900" w:h="16838" w:orient="portrait"/>
          <w:cols w:equalWidth="0" w:num="1">
            <w:col w:w="11140"/>
          </w:cols>
          <w:pgMar w:left="320" w:top="486" w:right="439" w:bottom="1440" w:gutter="0" w:footer="0" w:header="0"/>
          <w:type w:val="continuous"/>
        </w:sectPr>
      </w:pPr>
    </w:p>
    <w:p>
      <w:pPr>
        <w:spacing w:after="0" w:line="203"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Our 401(k) Plan is a qualified plan available to regular U.S.-based staff members of the Company and participating subsidiaries (except Puerto Rico). All 401(k) Plan participants, including our NEOs, are eligible to receive the same proportionate level of matching and nonelective or “core” contributions from us. Company contributions on eligible compensation earned above the Internal Revenue Code qualified plan compensation limit and on amounts that were voluntarily deferred by a staff member to the NDCP are credited to our SRP, a nonqualified plan that is available to all 401(k) Plan-eligible staff members.</w:t>
      </w:r>
    </w:p>
    <w:p>
      <w:pPr>
        <w:spacing w:after="0" w:line="82"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i w:val="1"/>
          <w:iCs w:val="1"/>
          <w:color w:val="0171B9"/>
        </w:rPr>
        <w:t xml:space="preserve">Contributions. </w:t>
      </w:r>
      <w:r>
        <w:rPr>
          <w:rFonts w:ascii="Arial" w:cs="Arial" w:eastAsia="Arial" w:hAnsi="Arial"/>
          <w:sz w:val="17"/>
          <w:szCs w:val="17"/>
          <w:color w:val="000000"/>
        </w:rPr>
        <w:t>We make a core contribution of 5% of eligible</w:t>
      </w:r>
      <w:r>
        <w:rPr>
          <w:rFonts w:ascii="Arial" w:cs="Arial" w:eastAsia="Arial" w:hAnsi="Arial"/>
          <w:sz w:val="17"/>
          <w:szCs w:val="17"/>
          <w:i w:val="1"/>
          <w:iCs w:val="1"/>
          <w:color w:val="0171B9"/>
        </w:rPr>
        <w:t xml:space="preserve"> </w:t>
      </w:r>
      <w:r>
        <w:rPr>
          <w:rFonts w:ascii="Arial" w:cs="Arial" w:eastAsia="Arial" w:hAnsi="Arial"/>
          <w:sz w:val="17"/>
          <w:szCs w:val="17"/>
          <w:color w:val="000000"/>
        </w:rPr>
        <w:t>compensation to all regular U.S.-based staff members under the 401(k) Plan, regardless of whether the staff members elect to defer any of their own compensation to the 401(k) Plan. In addition, participants are eligible to receive matching contributions of up to 5% of eligible compensation they contribute to the 401(k) Plan. Under our SRP, we credit 10% of each participant’s eligible compensation that is in excess of the qualified plan compensation limit, which equals the combined percentage of our core contributions and maximum matching contributions under our 401(k) Plan. We also credit to the SRP 10% of each participant’s compensation if they elect to defer to the NDCP.</w:t>
      </w:r>
    </w:p>
    <w:p>
      <w:pPr>
        <w:spacing w:after="0" w:line="79" w:lineRule="exact"/>
        <w:rPr>
          <w:sz w:val="20"/>
          <w:szCs w:val="20"/>
          <w:color w:val="auto"/>
        </w:rPr>
      </w:pPr>
    </w:p>
    <w:p>
      <w:pPr>
        <w:jc w:val="both"/>
        <w:ind w:left="120"/>
        <w:spacing w:after="0" w:line="248" w:lineRule="auto"/>
        <w:rPr>
          <w:sz w:val="20"/>
          <w:szCs w:val="20"/>
          <w:color w:val="auto"/>
        </w:rPr>
      </w:pPr>
      <w:r>
        <w:rPr>
          <w:rFonts w:ascii="Arial" w:cs="Arial" w:eastAsia="Arial" w:hAnsi="Arial"/>
          <w:sz w:val="17"/>
          <w:szCs w:val="17"/>
          <w:i w:val="1"/>
          <w:iCs w:val="1"/>
          <w:color w:val="0171B9"/>
        </w:rPr>
        <w:t xml:space="preserve">Distributions. </w:t>
      </w:r>
      <w:r>
        <w:rPr>
          <w:rFonts w:ascii="Arial" w:cs="Arial" w:eastAsia="Arial" w:hAnsi="Arial"/>
          <w:sz w:val="17"/>
          <w:szCs w:val="17"/>
          <w:color w:val="000000"/>
        </w:rPr>
        <w:t>Participants receive distributions from the SRP following</w:t>
      </w:r>
      <w:r>
        <w:rPr>
          <w:rFonts w:ascii="Arial" w:cs="Arial" w:eastAsia="Arial" w:hAnsi="Arial"/>
          <w:sz w:val="17"/>
          <w:szCs w:val="17"/>
          <w:i w:val="1"/>
          <w:iCs w:val="1"/>
          <w:color w:val="0171B9"/>
        </w:rPr>
        <w:t xml:space="preserve"> </w:t>
      </w:r>
      <w:r>
        <w:rPr>
          <w:rFonts w:ascii="Arial" w:cs="Arial" w:eastAsia="Arial" w:hAnsi="Arial"/>
          <w:sz w:val="17"/>
          <w:szCs w:val="17"/>
          <w:color w:val="000000"/>
        </w:rPr>
        <w:t>their termination of employment. Participants may elect to receive distributions as a lump sum payment in the first or second year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following termination of employment, or, for balances in excess of $100,000, in installments that commence in the year following termination. For our NEOs, Section 409A of the Internal Revenue Code generally requires that their distributions may not occur earlier than six months following our NEO’s termination of employment.</w:t>
      </w:r>
    </w:p>
    <w:p>
      <w:pPr>
        <w:spacing w:after="0" w:line="9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Participants in the 401(k) Plan are immediately vested in participant and matching contributions and related earnings and losses on such amounts. Participants in the 401(k) Plan who were hired before January 1, 2020 are also immediately vested in core contributions and related earnings and losses on such amounts. Participants in the 401(k) Plan who were hired on or after January 1, 2020 will only become 100% vested in core contributions and related earnings and losses on such amounts after three years of service. Participants in the SRP are immediately vested in matching contributions that are made by us with respect to amounts the participants deferred under the NDCP and related earnings and losses on such amounts, and are fully vested in the remainder of their accounts upon the earlier of: (i) three continuous years of their service to us; (ii) termination of their employment on or after their normal retirement date (as defined in the 401(k) Plan); (iii) their disability (as defined in the 401(k) Plan); (iv) their death; or (v) a change of control and termination of their employment as described below in “Potential Payments Upon Termination or Change of Control—</w:t>
      </w:r>
      <w:r>
        <w:rPr>
          <w:rFonts w:ascii="Arial" w:cs="Arial" w:eastAsia="Arial" w:hAnsi="Arial"/>
          <w:sz w:val="17"/>
          <w:szCs w:val="17"/>
          <w:i w:val="1"/>
          <w:iCs w:val="1"/>
          <w:color w:val="auto"/>
        </w:rPr>
        <w:t>Change of Control Severance Plan</w:t>
      </w:r>
      <w:r>
        <w:rPr>
          <w:rFonts w:ascii="Arial" w:cs="Arial" w:eastAsia="Arial" w:hAnsi="Arial"/>
          <w:sz w:val="17"/>
          <w:szCs w:val="17"/>
          <w:color w:val="auto"/>
        </w:rPr>
        <w:t>.”</w:t>
      </w:r>
    </w:p>
    <w:p>
      <w:pPr>
        <w:spacing w:after="0" w:line="693"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65"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82</w:t>
      </w:r>
      <w:r>
        <w:rPr>
          <w:sz w:val="20"/>
          <w:szCs w:val="20"/>
          <w:color w:val="auto"/>
        </w:rPr>
        <w:tab/>
      </w:r>
      <w:r>
        <w:rPr>
          <w:sz w:val="1"/>
          <w:szCs w:val="1"/>
          <w:color w:val="auto"/>
        </w:rPr>
        <w:drawing>
          <wp:inline distT="0" distB="0" distL="0" distR="0">
            <wp:extent cx="582930" cy="137160"/>
            <wp:effectExtent l="0" t="0" r="0" b="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Executive Compensation Tables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Nonqualified Deferred Compensation Plan</w:t>
      </w:r>
    </w:p>
    <w:p>
      <w:pPr>
        <w:sectPr>
          <w:pgSz w:w="11900" w:h="16838" w:orient="portrait"/>
          <w:cols w:equalWidth="0" w:num="1">
            <w:col w:w="11140"/>
          </w:cols>
          <w:pgMar w:left="320" w:top="486" w:right="439" w:bottom="1440" w:gutter="0" w:footer="0" w:header="0"/>
        </w:sectPr>
      </w:pPr>
    </w:p>
    <w:p>
      <w:pPr>
        <w:spacing w:after="0" w:line="192"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Our NDCP allows participants to defer receipt of a portion of their eligible compensation to a future date, with an opportunity to earn tax-deferred returns on the deferrals. Members of our Board of Directors, or Board, and our U.S.- and Puerto Rico-based staff members at the director level or above, which include our NEOs, are eligible to participate in this plan. All participants in this plan participate on the same basis.</w:t>
      </w:r>
    </w:p>
    <w:p>
      <w:pPr>
        <w:spacing w:after="0" w:line="79" w:lineRule="exact"/>
        <w:rPr>
          <w:sz w:val="20"/>
          <w:szCs w:val="20"/>
          <w:color w:val="auto"/>
        </w:rPr>
      </w:pPr>
    </w:p>
    <w:p>
      <w:pPr>
        <w:jc w:val="both"/>
        <w:ind w:left="120"/>
        <w:spacing w:after="0" w:line="237" w:lineRule="auto"/>
        <w:rPr>
          <w:sz w:val="20"/>
          <w:szCs w:val="20"/>
          <w:color w:val="auto"/>
        </w:rPr>
      </w:pPr>
      <w:r>
        <w:rPr>
          <w:rFonts w:ascii="Arial" w:cs="Arial" w:eastAsia="Arial" w:hAnsi="Arial"/>
          <w:sz w:val="17"/>
          <w:szCs w:val="17"/>
          <w:i w:val="1"/>
          <w:iCs w:val="1"/>
          <w:color w:val="0171B9"/>
        </w:rPr>
        <w:t xml:space="preserve">Contributions. </w:t>
      </w:r>
      <w:r>
        <w:rPr>
          <w:rFonts w:ascii="Arial" w:cs="Arial" w:eastAsia="Arial" w:hAnsi="Arial"/>
          <w:sz w:val="17"/>
          <w:szCs w:val="17"/>
          <w:color w:val="000000"/>
        </w:rPr>
        <w:t>Participants who are staff members may elect to defer</w:t>
      </w:r>
      <w:r>
        <w:rPr>
          <w:rFonts w:ascii="Arial" w:cs="Arial" w:eastAsia="Arial" w:hAnsi="Arial"/>
          <w:sz w:val="17"/>
          <w:szCs w:val="17"/>
          <w:i w:val="1"/>
          <w:iCs w:val="1"/>
          <w:color w:val="0171B9"/>
        </w:rPr>
        <w:t xml:space="preserve"> </w:t>
      </w:r>
      <w:r>
        <w:rPr>
          <w:rFonts w:ascii="Arial" w:cs="Arial" w:eastAsia="Arial" w:hAnsi="Arial"/>
          <w:sz w:val="17"/>
          <w:szCs w:val="17"/>
          <w:color w:val="000000"/>
        </w:rPr>
        <w:t>up to a maximum of 50% of their eligible base salary, up to a maximum of 80% of their annual cash incentive award, and up to 80% of sales commissions. Non-employee members of our Board may defer all or a portion of their fees, including retainers and meeting fees. In addition, we may, in our sole discretion, contribute additional amounts to any</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participant’s account at any time, such as contributing sign-on bonuses to the accounts of newly-hired staff members or for retention purposes.</w:t>
      </w:r>
    </w:p>
    <w:p>
      <w:pPr>
        <w:spacing w:after="0" w:line="7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i w:val="1"/>
          <w:iCs w:val="1"/>
          <w:color w:val="0171B9"/>
        </w:rPr>
        <w:t xml:space="preserve">Distributions. </w:t>
      </w:r>
      <w:r>
        <w:rPr>
          <w:rFonts w:ascii="Arial" w:cs="Arial" w:eastAsia="Arial" w:hAnsi="Arial"/>
          <w:sz w:val="17"/>
          <w:szCs w:val="17"/>
          <w:color w:val="000000"/>
        </w:rPr>
        <w:t>Participants may elect to receive distributions as a lump</w:t>
      </w:r>
      <w:r>
        <w:rPr>
          <w:rFonts w:ascii="Arial" w:cs="Arial" w:eastAsia="Arial" w:hAnsi="Arial"/>
          <w:sz w:val="17"/>
          <w:szCs w:val="17"/>
          <w:i w:val="1"/>
          <w:iCs w:val="1"/>
          <w:color w:val="0171B9"/>
        </w:rPr>
        <w:t xml:space="preserve"> </w:t>
      </w:r>
      <w:r>
        <w:rPr>
          <w:rFonts w:ascii="Arial" w:cs="Arial" w:eastAsia="Arial" w:hAnsi="Arial"/>
          <w:sz w:val="17"/>
          <w:szCs w:val="17"/>
          <w:color w:val="000000"/>
        </w:rPr>
        <w:t>sum or, for balances in excess of $100,000, in annual installments for up to ten years. For most participants, distributions commence in the first or second year following the participant’s termination of employment. For our NEOs, Section 409A of the Internal Revenue Code generally requires that distributions may not occur earlier than six months following our NEO’s termination of employment. Participants may also petition for a distribution due to an unforeseeable financial hardship.</w:t>
      </w:r>
    </w:p>
    <w:p>
      <w:pPr>
        <w:spacing w:after="0" w:line="79"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i w:val="1"/>
          <w:iCs w:val="1"/>
          <w:color w:val="0171B9"/>
        </w:rPr>
        <w:t xml:space="preserve">Vesting. </w:t>
      </w:r>
      <w:r>
        <w:rPr>
          <w:rFonts w:ascii="Arial" w:cs="Arial" w:eastAsia="Arial" w:hAnsi="Arial"/>
          <w:sz w:val="17"/>
          <w:szCs w:val="17"/>
          <w:color w:val="000000"/>
        </w:rPr>
        <w:t>Participants are at all times 100% vested in the amounts they</w:t>
      </w:r>
      <w:r>
        <w:rPr>
          <w:rFonts w:ascii="Arial" w:cs="Arial" w:eastAsia="Arial" w:hAnsi="Arial"/>
          <w:sz w:val="17"/>
          <w:szCs w:val="17"/>
          <w:i w:val="1"/>
          <w:iCs w:val="1"/>
          <w:color w:val="0171B9"/>
        </w:rPr>
        <w:t xml:space="preserve"> </w:t>
      </w:r>
      <w:r>
        <w:rPr>
          <w:rFonts w:ascii="Arial" w:cs="Arial" w:eastAsia="Arial" w:hAnsi="Arial"/>
          <w:sz w:val="17"/>
          <w:szCs w:val="17"/>
          <w:color w:val="000000"/>
        </w:rPr>
        <w:t>elect to defer and related earnings and losses on such amounts.</w:t>
      </w:r>
    </w:p>
    <w:p>
      <w:pPr>
        <w:spacing w:after="0" w:line="255"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155" w:lineRule="exact"/>
        <w:rPr>
          <w:sz w:val="20"/>
          <w:szCs w:val="20"/>
          <w:color w:val="auto"/>
        </w:rPr>
      </w:pPr>
    </w:p>
    <w:p>
      <w:pPr>
        <w:ind w:left="120" w:right="140"/>
        <w:spacing w:after="0" w:line="261" w:lineRule="auto"/>
        <w:rPr>
          <w:sz w:val="20"/>
          <w:szCs w:val="20"/>
          <w:color w:val="auto"/>
        </w:rPr>
      </w:pPr>
      <w:r>
        <w:rPr>
          <w:rFonts w:ascii="Arial" w:cs="Arial" w:eastAsia="Arial" w:hAnsi="Arial"/>
          <w:sz w:val="22"/>
          <w:szCs w:val="22"/>
          <w:b w:val="1"/>
          <w:bCs w:val="1"/>
          <w:color w:val="auto"/>
        </w:rPr>
        <w:t>Investment Options Under the 401(k), Supplemental Retirement, and Nonqualified Deferred Compensation Plans</w:t>
      </w:r>
    </w:p>
    <w:p>
      <w:pPr>
        <w:sectPr>
          <w:pgSz w:w="11900" w:h="16838" w:orient="portrait"/>
          <w:cols w:equalWidth="0" w:num="1">
            <w:col w:w="11140"/>
          </w:cols>
          <w:pgMar w:left="320" w:top="486" w:right="439" w:bottom="1440" w:gutter="0" w:footer="0" w:header="0"/>
          <w:type w:val="continuous"/>
        </w:sectPr>
      </w:pPr>
    </w:p>
    <w:p>
      <w:pPr>
        <w:spacing w:after="0" w:line="138"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The investment options under the 401(k), the SRP, and the NDCP are substantially the same and the associated rates of return are contained in the tables below. For the SRP and the NDCP only, six target retirement portfolio options (referred to as “Target Retirement Portfolios” below) are among the deemed investment options and are based on different target retirement dates and designed to provide an all-in-one investment option for creating a diversified portfolio. Each portfolio is an asset allocation strategy built around a combination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244475</wp:posOffset>
            </wp:positionV>
            <wp:extent cx="188595" cy="24003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88595"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investments that is adjusted over time to gradually become more conservative as the target maturity date of the portfolio approaches.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For the 401(k) Plan only, participants may make investments in our Common Stock (no more than 20% of the value of a participant’s account) and access a self-directed brokerage window. Since these options are only available in the 401(k) Plan, the performance of these additional investment options are not included in the following table.</w:t>
      </w:r>
    </w:p>
    <w:p>
      <w:pPr>
        <w:spacing w:after="0" w:line="281"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340" w:type="dxa"/>
            <w:vAlign w:val="bottom"/>
            <w:shd w:val="clear" w:color="auto" w:fill="0171B9"/>
          </w:tcPr>
          <w:p>
            <w:pPr>
              <w:spacing w:after="0"/>
              <w:rPr>
                <w:sz w:val="16"/>
                <w:szCs w:val="16"/>
                <w:color w:val="auto"/>
              </w:rPr>
            </w:pPr>
          </w:p>
        </w:tc>
        <w:tc>
          <w:tcPr>
            <w:tcW w:w="1880" w:type="dxa"/>
            <w:vAlign w:val="bottom"/>
            <w:tcBorders>
              <w:right w:val="single" w:sz="8" w:color="0171B9"/>
            </w:tcBorders>
            <w:gridSpan w:val="2"/>
            <w:shd w:val="clear" w:color="auto" w:fill="0171B9"/>
          </w:tcPr>
          <w:p>
            <w:pPr>
              <w:ind w:left="120"/>
              <w:spacing w:after="0"/>
              <w:rPr>
                <w:sz w:val="20"/>
                <w:szCs w:val="20"/>
                <w:color w:val="auto"/>
              </w:rPr>
            </w:pPr>
            <w:r>
              <w:rPr>
                <w:rFonts w:ascii="Arial" w:cs="Arial" w:eastAsia="Arial" w:hAnsi="Arial"/>
                <w:sz w:val="16"/>
                <w:szCs w:val="16"/>
                <w:b w:val="1"/>
                <w:bCs w:val="1"/>
                <w:color w:val="FFFFFF"/>
              </w:rPr>
              <w:t>Rate of Return for</w:t>
            </w:r>
          </w:p>
        </w:tc>
        <w:tc>
          <w:tcPr>
            <w:tcW w:w="120" w:type="dxa"/>
            <w:vAlign w:val="bottom"/>
            <w:shd w:val="clear" w:color="auto" w:fill="0171B9"/>
          </w:tcPr>
          <w:p>
            <w:pPr>
              <w:spacing w:after="0"/>
              <w:rPr>
                <w:sz w:val="16"/>
                <w:szCs w:val="16"/>
                <w:color w:val="auto"/>
              </w:rPr>
            </w:pPr>
          </w:p>
        </w:tc>
        <w:tc>
          <w:tcPr>
            <w:tcW w:w="3200" w:type="dxa"/>
            <w:vAlign w:val="bottom"/>
            <w:shd w:val="clear" w:color="auto" w:fill="0171B9"/>
          </w:tcPr>
          <w:p>
            <w:pPr>
              <w:spacing w:after="0"/>
              <w:rPr>
                <w:sz w:val="16"/>
                <w:szCs w:val="16"/>
                <w:color w:val="auto"/>
              </w:rPr>
            </w:pPr>
          </w:p>
        </w:tc>
        <w:tc>
          <w:tcPr>
            <w:tcW w:w="248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Rate of Return for</w:t>
            </w:r>
          </w:p>
        </w:tc>
      </w:tr>
      <w:tr>
        <w:trPr>
          <w:trHeight w:val="207"/>
        </w:trPr>
        <w:tc>
          <w:tcPr>
            <w:tcW w:w="3340" w:type="dxa"/>
            <w:vAlign w:val="bottom"/>
            <w:shd w:val="clear" w:color="auto" w:fill="0171B9"/>
          </w:tcPr>
          <w:p>
            <w:pPr>
              <w:ind w:left="80"/>
              <w:spacing w:after="0" w:line="207" w:lineRule="exact"/>
              <w:rPr>
                <w:sz w:val="20"/>
                <w:szCs w:val="20"/>
                <w:color w:val="auto"/>
              </w:rPr>
            </w:pPr>
            <w:r>
              <w:rPr>
                <w:rFonts w:ascii="Arial" w:cs="Arial" w:eastAsia="Arial" w:hAnsi="Arial"/>
                <w:sz w:val="16"/>
                <w:szCs w:val="16"/>
                <w:b w:val="1"/>
                <w:bCs w:val="1"/>
                <w:color w:val="FFFFFF"/>
              </w:rPr>
              <w:t>Name of Investment Option</w:t>
            </w:r>
            <w:r>
              <w:rPr>
                <w:rFonts w:ascii="Arial" w:cs="Arial" w:eastAsia="Arial" w:hAnsi="Arial"/>
                <w:sz w:val="24"/>
                <w:szCs w:val="24"/>
                <w:b w:val="1"/>
                <w:bCs w:val="1"/>
                <w:color w:val="FFFFFF"/>
                <w:vertAlign w:val="superscript"/>
              </w:rPr>
              <w:t>(1)</w:t>
            </w:r>
          </w:p>
        </w:tc>
        <w:tc>
          <w:tcPr>
            <w:tcW w:w="1700" w:type="dxa"/>
            <w:vAlign w:val="bottom"/>
            <w:shd w:val="clear" w:color="auto" w:fill="0171B9"/>
          </w:tcPr>
          <w:p>
            <w:pPr>
              <w:jc w:val="right"/>
              <w:ind w:right="119"/>
              <w:spacing w:after="0"/>
              <w:rPr>
                <w:sz w:val="20"/>
                <w:szCs w:val="20"/>
                <w:color w:val="auto"/>
              </w:rPr>
            </w:pPr>
            <w:r>
              <w:rPr>
                <w:rFonts w:ascii="Arial" w:cs="Arial" w:eastAsia="Arial" w:hAnsi="Arial"/>
                <w:sz w:val="16"/>
                <w:szCs w:val="16"/>
                <w:b w:val="1"/>
                <w:bCs w:val="1"/>
                <w:color w:val="FFFFFF"/>
              </w:rPr>
              <w:t>2022</w:t>
            </w:r>
          </w:p>
        </w:tc>
        <w:tc>
          <w:tcPr>
            <w:tcW w:w="180" w:type="dxa"/>
            <w:vAlign w:val="bottom"/>
            <w:tcBorders>
              <w:right w:val="single" w:sz="8" w:color="0171B9"/>
            </w:tcBorders>
            <w:shd w:val="clear" w:color="auto" w:fill="0171B9"/>
          </w:tcPr>
          <w:p>
            <w:pPr>
              <w:spacing w:after="0"/>
              <w:rPr>
                <w:sz w:val="18"/>
                <w:szCs w:val="18"/>
                <w:color w:val="auto"/>
              </w:rPr>
            </w:pPr>
          </w:p>
        </w:tc>
        <w:tc>
          <w:tcPr>
            <w:tcW w:w="120" w:type="dxa"/>
            <w:vAlign w:val="bottom"/>
            <w:shd w:val="clear" w:color="auto" w:fill="0171B9"/>
          </w:tcPr>
          <w:p>
            <w:pPr>
              <w:spacing w:after="0"/>
              <w:rPr>
                <w:sz w:val="18"/>
                <w:szCs w:val="18"/>
                <w:color w:val="auto"/>
              </w:rPr>
            </w:pPr>
          </w:p>
        </w:tc>
        <w:tc>
          <w:tcPr>
            <w:tcW w:w="3200" w:type="dxa"/>
            <w:vAlign w:val="bottom"/>
            <w:shd w:val="clear" w:color="auto" w:fill="0171B9"/>
          </w:tcPr>
          <w:p>
            <w:pPr>
              <w:ind w:left="60"/>
              <w:spacing w:after="0" w:line="207" w:lineRule="exact"/>
              <w:rPr>
                <w:sz w:val="20"/>
                <w:szCs w:val="20"/>
                <w:color w:val="auto"/>
              </w:rPr>
            </w:pPr>
            <w:r>
              <w:rPr>
                <w:rFonts w:ascii="Arial" w:cs="Arial" w:eastAsia="Arial" w:hAnsi="Arial"/>
                <w:sz w:val="16"/>
                <w:szCs w:val="16"/>
                <w:b w:val="1"/>
                <w:bCs w:val="1"/>
                <w:color w:val="FFFFFF"/>
              </w:rPr>
              <w:t>Name of Investment Option</w:t>
            </w:r>
            <w:r>
              <w:rPr>
                <w:rFonts w:ascii="Arial" w:cs="Arial" w:eastAsia="Arial" w:hAnsi="Arial"/>
                <w:sz w:val="24"/>
                <w:szCs w:val="24"/>
                <w:b w:val="1"/>
                <w:bCs w:val="1"/>
                <w:color w:val="FFFFFF"/>
                <w:vertAlign w:val="superscript"/>
              </w:rPr>
              <w:t>(1)</w:t>
            </w:r>
          </w:p>
        </w:tc>
        <w:tc>
          <w:tcPr>
            <w:tcW w:w="248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2022</w:t>
            </w:r>
          </w:p>
        </w:tc>
      </w:tr>
      <w:tr>
        <w:trPr>
          <w:trHeight w:val="203"/>
        </w:trPr>
        <w:tc>
          <w:tcPr>
            <w:tcW w:w="3340" w:type="dxa"/>
            <w:vAlign w:val="bottom"/>
            <w:shd w:val="clear" w:color="auto" w:fill="CCE2F1"/>
          </w:tcPr>
          <w:p>
            <w:pPr>
              <w:spacing w:after="0"/>
              <w:rPr>
                <w:sz w:val="20"/>
                <w:szCs w:val="20"/>
                <w:color w:val="auto"/>
              </w:rPr>
            </w:pPr>
            <w:r>
              <w:rPr>
                <w:rFonts w:ascii="Arial" w:cs="Arial" w:eastAsia="Arial" w:hAnsi="Arial"/>
                <w:sz w:val="16"/>
                <w:szCs w:val="16"/>
                <w:b w:val="1"/>
                <w:bCs w:val="1"/>
                <w:color w:val="auto"/>
              </w:rPr>
              <w:t>Target Retirement Portfolio Options</w:t>
            </w:r>
          </w:p>
        </w:tc>
        <w:tc>
          <w:tcPr>
            <w:tcW w:w="1700" w:type="dxa"/>
            <w:vAlign w:val="bottom"/>
            <w:shd w:val="clear" w:color="auto" w:fill="CCE2F1"/>
          </w:tcPr>
          <w:p>
            <w:pPr>
              <w:spacing w:after="0"/>
              <w:rPr>
                <w:sz w:val="17"/>
                <w:szCs w:val="17"/>
                <w:color w:val="auto"/>
              </w:rPr>
            </w:pPr>
          </w:p>
        </w:tc>
        <w:tc>
          <w:tcPr>
            <w:tcW w:w="180" w:type="dxa"/>
            <w:vAlign w:val="bottom"/>
            <w:tcBorders>
              <w:right w:val="single" w:sz="8" w:color="0171B9"/>
            </w:tcBorders>
            <w:shd w:val="clear" w:color="auto" w:fill="CCE2F1"/>
          </w:tcPr>
          <w:p>
            <w:pPr>
              <w:spacing w:after="0"/>
              <w:rPr>
                <w:sz w:val="17"/>
                <w:szCs w:val="17"/>
                <w:color w:val="auto"/>
              </w:rPr>
            </w:pPr>
          </w:p>
        </w:tc>
        <w:tc>
          <w:tcPr>
            <w:tcW w:w="120" w:type="dxa"/>
            <w:vAlign w:val="bottom"/>
            <w:shd w:val="clear" w:color="auto" w:fill="CCE2F1"/>
          </w:tcPr>
          <w:p>
            <w:pPr>
              <w:spacing w:after="0"/>
              <w:rPr>
                <w:sz w:val="17"/>
                <w:szCs w:val="17"/>
                <w:color w:val="auto"/>
              </w:rPr>
            </w:pPr>
          </w:p>
        </w:tc>
        <w:tc>
          <w:tcPr>
            <w:tcW w:w="3200" w:type="dxa"/>
            <w:vAlign w:val="bottom"/>
            <w:shd w:val="clear" w:color="auto" w:fill="CCE2F1"/>
          </w:tcPr>
          <w:p>
            <w:pPr>
              <w:ind w:left="60"/>
              <w:spacing w:after="0"/>
              <w:rPr>
                <w:sz w:val="20"/>
                <w:szCs w:val="20"/>
                <w:color w:val="auto"/>
              </w:rPr>
            </w:pPr>
            <w:r>
              <w:rPr>
                <w:rFonts w:ascii="Arial" w:cs="Arial" w:eastAsia="Arial" w:hAnsi="Arial"/>
                <w:sz w:val="16"/>
                <w:szCs w:val="16"/>
                <w:color w:val="auto"/>
              </w:rPr>
              <w:t>Capital Preservation</w:t>
            </w:r>
          </w:p>
        </w:tc>
        <w:tc>
          <w:tcPr>
            <w:tcW w:w="2480" w:type="dxa"/>
            <w:vAlign w:val="bottom"/>
            <w:shd w:val="clear" w:color="auto" w:fill="CCE2F1"/>
          </w:tcPr>
          <w:p>
            <w:pPr>
              <w:jc w:val="right"/>
              <w:spacing w:after="0"/>
              <w:rPr>
                <w:sz w:val="20"/>
                <w:szCs w:val="20"/>
                <w:color w:val="auto"/>
              </w:rPr>
            </w:pPr>
            <w:r>
              <w:rPr>
                <w:rFonts w:ascii="Arial" w:cs="Arial" w:eastAsia="Arial" w:hAnsi="Arial"/>
                <w:sz w:val="16"/>
                <w:szCs w:val="16"/>
                <w:color w:val="auto"/>
              </w:rPr>
              <w:t>1.44%</w:t>
            </w:r>
          </w:p>
        </w:tc>
      </w:tr>
      <w:tr>
        <w:trPr>
          <w:trHeight w:val="189"/>
        </w:trPr>
        <w:tc>
          <w:tcPr>
            <w:tcW w:w="3340" w:type="dxa"/>
            <w:vAlign w:val="bottom"/>
          </w:tcPr>
          <w:p>
            <w:pPr>
              <w:ind w:left="160"/>
              <w:spacing w:after="0"/>
              <w:rPr>
                <w:sz w:val="20"/>
                <w:szCs w:val="20"/>
                <w:color w:val="auto"/>
              </w:rPr>
            </w:pPr>
            <w:r>
              <w:rPr>
                <w:rFonts w:ascii="Arial" w:cs="Arial" w:eastAsia="Arial" w:hAnsi="Arial"/>
                <w:sz w:val="16"/>
                <w:szCs w:val="16"/>
                <w:color w:val="auto"/>
              </w:rPr>
              <w:t>Amgen Target Retirement Portfolio Income</w:t>
            </w:r>
          </w:p>
        </w:tc>
        <w:tc>
          <w:tcPr>
            <w:tcW w:w="1700" w:type="dxa"/>
            <w:vAlign w:val="bottom"/>
          </w:tcPr>
          <w:p>
            <w:pPr>
              <w:jc w:val="right"/>
              <w:spacing w:after="0"/>
              <w:rPr>
                <w:sz w:val="20"/>
                <w:szCs w:val="20"/>
                <w:color w:val="auto"/>
              </w:rPr>
            </w:pPr>
            <w:r>
              <w:rPr>
                <w:rFonts w:ascii="Arial" w:cs="Arial" w:eastAsia="Arial" w:hAnsi="Arial"/>
                <w:sz w:val="16"/>
                <w:szCs w:val="16"/>
                <w:color w:val="auto"/>
              </w:rPr>
              <w:t>-6.98%</w:t>
            </w:r>
          </w:p>
        </w:tc>
        <w:tc>
          <w:tcPr>
            <w:tcW w:w="180" w:type="dxa"/>
            <w:vAlign w:val="bottom"/>
            <w:tcBorders>
              <w:right w:val="single" w:sz="8" w:color="0171B9"/>
            </w:tcBorders>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6"/>
                <w:szCs w:val="16"/>
                <w:color w:val="auto"/>
              </w:rPr>
              <w:t>Fixed Income Index</w:t>
            </w:r>
          </w:p>
        </w:tc>
        <w:tc>
          <w:tcPr>
            <w:tcW w:w="2480" w:type="dxa"/>
            <w:vAlign w:val="bottom"/>
          </w:tcPr>
          <w:p>
            <w:pPr>
              <w:jc w:val="right"/>
              <w:spacing w:after="0"/>
              <w:rPr>
                <w:sz w:val="20"/>
                <w:szCs w:val="20"/>
                <w:color w:val="auto"/>
              </w:rPr>
            </w:pPr>
            <w:r>
              <w:rPr>
                <w:rFonts w:ascii="Arial" w:cs="Arial" w:eastAsia="Arial" w:hAnsi="Arial"/>
                <w:sz w:val="16"/>
                <w:szCs w:val="16"/>
                <w:color w:val="auto"/>
              </w:rPr>
              <w:t>-12.94%</w:t>
            </w:r>
          </w:p>
        </w:tc>
      </w:tr>
      <w:tr>
        <w:trPr>
          <w:trHeight w:val="189"/>
        </w:trPr>
        <w:tc>
          <w:tcPr>
            <w:tcW w:w="3340" w:type="dxa"/>
            <w:vAlign w:val="bottom"/>
            <w:shd w:val="clear" w:color="auto" w:fill="CCE2F1"/>
          </w:tcPr>
          <w:p>
            <w:pPr>
              <w:ind w:left="160"/>
              <w:spacing w:after="0"/>
              <w:rPr>
                <w:sz w:val="20"/>
                <w:szCs w:val="20"/>
                <w:color w:val="auto"/>
              </w:rPr>
            </w:pPr>
            <w:r>
              <w:rPr>
                <w:rFonts w:ascii="Arial" w:cs="Arial" w:eastAsia="Arial" w:hAnsi="Arial"/>
                <w:sz w:val="16"/>
                <w:szCs w:val="16"/>
                <w:color w:val="auto"/>
              </w:rPr>
              <w:t>Amgen Target Retirement Portfolio 2020</w:t>
            </w:r>
          </w:p>
        </w:tc>
        <w:tc>
          <w:tcPr>
            <w:tcW w:w="1700" w:type="dxa"/>
            <w:vAlign w:val="bottom"/>
            <w:shd w:val="clear" w:color="auto" w:fill="CCE2F1"/>
          </w:tcPr>
          <w:p>
            <w:pPr>
              <w:jc w:val="right"/>
              <w:spacing w:after="0"/>
              <w:rPr>
                <w:sz w:val="20"/>
                <w:szCs w:val="20"/>
                <w:color w:val="auto"/>
              </w:rPr>
            </w:pPr>
            <w:r>
              <w:rPr>
                <w:rFonts w:ascii="Arial" w:cs="Arial" w:eastAsia="Arial" w:hAnsi="Arial"/>
                <w:sz w:val="16"/>
                <w:szCs w:val="16"/>
                <w:color w:val="auto"/>
              </w:rPr>
              <w:t>-7.20%</w:t>
            </w:r>
          </w:p>
        </w:tc>
        <w:tc>
          <w:tcPr>
            <w:tcW w:w="180" w:type="dxa"/>
            <w:vAlign w:val="bottom"/>
            <w:tcBorders>
              <w:right w:val="single" w:sz="8" w:color="0171B9"/>
            </w:tcBorders>
            <w:shd w:val="clear" w:color="auto" w:fill="CCE2F1"/>
          </w:tcPr>
          <w:p>
            <w:pPr>
              <w:spacing w:after="0"/>
              <w:rPr>
                <w:sz w:val="16"/>
                <w:szCs w:val="16"/>
                <w:color w:val="auto"/>
              </w:rPr>
            </w:pPr>
          </w:p>
        </w:tc>
        <w:tc>
          <w:tcPr>
            <w:tcW w:w="120" w:type="dxa"/>
            <w:vAlign w:val="bottom"/>
            <w:shd w:val="clear" w:color="auto" w:fill="CCE2F1"/>
          </w:tcPr>
          <w:p>
            <w:pPr>
              <w:spacing w:after="0"/>
              <w:rPr>
                <w:sz w:val="16"/>
                <w:szCs w:val="16"/>
                <w:color w:val="auto"/>
              </w:rPr>
            </w:pPr>
          </w:p>
        </w:tc>
        <w:tc>
          <w:tcPr>
            <w:tcW w:w="3200" w:type="dxa"/>
            <w:vAlign w:val="bottom"/>
            <w:shd w:val="clear" w:color="auto" w:fill="CCE2F1"/>
          </w:tcPr>
          <w:p>
            <w:pPr>
              <w:ind w:left="60"/>
              <w:spacing w:after="0"/>
              <w:rPr>
                <w:sz w:val="20"/>
                <w:szCs w:val="20"/>
                <w:color w:val="auto"/>
              </w:rPr>
            </w:pPr>
            <w:r>
              <w:rPr>
                <w:rFonts w:ascii="Arial" w:cs="Arial" w:eastAsia="Arial" w:hAnsi="Arial"/>
                <w:sz w:val="16"/>
                <w:szCs w:val="16"/>
                <w:color w:val="auto"/>
              </w:rPr>
              <w:t>Fixed Income Active</w:t>
            </w:r>
          </w:p>
        </w:tc>
        <w:tc>
          <w:tcPr>
            <w:tcW w:w="2480" w:type="dxa"/>
            <w:vAlign w:val="bottom"/>
            <w:shd w:val="clear" w:color="auto" w:fill="CCE2F1"/>
          </w:tcPr>
          <w:p>
            <w:pPr>
              <w:jc w:val="right"/>
              <w:spacing w:after="0"/>
              <w:rPr>
                <w:sz w:val="20"/>
                <w:szCs w:val="20"/>
                <w:color w:val="auto"/>
              </w:rPr>
            </w:pPr>
            <w:r>
              <w:rPr>
                <w:rFonts w:ascii="Arial" w:cs="Arial" w:eastAsia="Arial" w:hAnsi="Arial"/>
                <w:sz w:val="16"/>
                <w:szCs w:val="16"/>
                <w:color w:val="auto"/>
              </w:rPr>
              <w:t>-11.86%</w:t>
            </w:r>
          </w:p>
        </w:tc>
      </w:tr>
      <w:tr>
        <w:trPr>
          <w:trHeight w:val="189"/>
        </w:trPr>
        <w:tc>
          <w:tcPr>
            <w:tcW w:w="3340" w:type="dxa"/>
            <w:vAlign w:val="bottom"/>
          </w:tcPr>
          <w:p>
            <w:pPr>
              <w:ind w:left="160"/>
              <w:spacing w:after="0"/>
              <w:rPr>
                <w:sz w:val="20"/>
                <w:szCs w:val="20"/>
                <w:color w:val="auto"/>
              </w:rPr>
            </w:pPr>
            <w:r>
              <w:rPr>
                <w:rFonts w:ascii="Arial" w:cs="Arial" w:eastAsia="Arial" w:hAnsi="Arial"/>
                <w:sz w:val="16"/>
                <w:szCs w:val="16"/>
                <w:color w:val="auto"/>
              </w:rPr>
              <w:t>Amgen Target Retirement Portfolio 2030</w:t>
            </w:r>
          </w:p>
        </w:tc>
        <w:tc>
          <w:tcPr>
            <w:tcW w:w="1700" w:type="dxa"/>
            <w:vAlign w:val="bottom"/>
          </w:tcPr>
          <w:p>
            <w:pPr>
              <w:jc w:val="right"/>
              <w:spacing w:after="0"/>
              <w:rPr>
                <w:sz w:val="20"/>
                <w:szCs w:val="20"/>
                <w:color w:val="auto"/>
              </w:rPr>
            </w:pPr>
            <w:r>
              <w:rPr>
                <w:rFonts w:ascii="Arial" w:cs="Arial" w:eastAsia="Arial" w:hAnsi="Arial"/>
                <w:sz w:val="16"/>
                <w:szCs w:val="16"/>
                <w:color w:val="auto"/>
              </w:rPr>
              <w:t>-7.57%</w:t>
            </w:r>
          </w:p>
        </w:tc>
        <w:tc>
          <w:tcPr>
            <w:tcW w:w="180" w:type="dxa"/>
            <w:vAlign w:val="bottom"/>
            <w:tcBorders>
              <w:right w:val="single" w:sz="8" w:color="0171B9"/>
            </w:tcBorders>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6"/>
                <w:szCs w:val="16"/>
                <w:color w:val="auto"/>
              </w:rPr>
              <w:t>International Equity Index</w:t>
            </w:r>
          </w:p>
        </w:tc>
        <w:tc>
          <w:tcPr>
            <w:tcW w:w="2480" w:type="dxa"/>
            <w:vAlign w:val="bottom"/>
          </w:tcPr>
          <w:p>
            <w:pPr>
              <w:jc w:val="right"/>
              <w:spacing w:after="0"/>
              <w:rPr>
                <w:sz w:val="20"/>
                <w:szCs w:val="20"/>
                <w:color w:val="auto"/>
              </w:rPr>
            </w:pPr>
            <w:r>
              <w:rPr>
                <w:rFonts w:ascii="Arial" w:cs="Arial" w:eastAsia="Arial" w:hAnsi="Arial"/>
                <w:sz w:val="16"/>
                <w:szCs w:val="16"/>
                <w:color w:val="auto"/>
              </w:rPr>
              <w:t>-15.54%</w:t>
            </w:r>
          </w:p>
        </w:tc>
      </w:tr>
      <w:tr>
        <w:trPr>
          <w:trHeight w:val="189"/>
        </w:trPr>
        <w:tc>
          <w:tcPr>
            <w:tcW w:w="3340" w:type="dxa"/>
            <w:vAlign w:val="bottom"/>
            <w:shd w:val="clear" w:color="auto" w:fill="CCE2F1"/>
          </w:tcPr>
          <w:p>
            <w:pPr>
              <w:ind w:left="160"/>
              <w:spacing w:after="0"/>
              <w:rPr>
                <w:sz w:val="20"/>
                <w:szCs w:val="20"/>
                <w:color w:val="auto"/>
              </w:rPr>
            </w:pPr>
            <w:r>
              <w:rPr>
                <w:rFonts w:ascii="Arial" w:cs="Arial" w:eastAsia="Arial" w:hAnsi="Arial"/>
                <w:sz w:val="16"/>
                <w:szCs w:val="16"/>
                <w:color w:val="auto"/>
              </w:rPr>
              <w:t>Amgen Target Retirement Portfolio 2040</w:t>
            </w:r>
          </w:p>
        </w:tc>
        <w:tc>
          <w:tcPr>
            <w:tcW w:w="1700" w:type="dxa"/>
            <w:vAlign w:val="bottom"/>
            <w:shd w:val="clear" w:color="auto" w:fill="CCE2F1"/>
          </w:tcPr>
          <w:p>
            <w:pPr>
              <w:jc w:val="right"/>
              <w:spacing w:after="0"/>
              <w:rPr>
                <w:sz w:val="20"/>
                <w:szCs w:val="20"/>
                <w:color w:val="auto"/>
              </w:rPr>
            </w:pPr>
            <w:r>
              <w:rPr>
                <w:rFonts w:ascii="Arial" w:cs="Arial" w:eastAsia="Arial" w:hAnsi="Arial"/>
                <w:sz w:val="16"/>
                <w:szCs w:val="16"/>
                <w:color w:val="auto"/>
              </w:rPr>
              <w:t>-8.11%</w:t>
            </w:r>
          </w:p>
        </w:tc>
        <w:tc>
          <w:tcPr>
            <w:tcW w:w="180" w:type="dxa"/>
            <w:vAlign w:val="bottom"/>
            <w:tcBorders>
              <w:right w:val="single" w:sz="8" w:color="0171B9"/>
            </w:tcBorders>
            <w:shd w:val="clear" w:color="auto" w:fill="CCE2F1"/>
          </w:tcPr>
          <w:p>
            <w:pPr>
              <w:spacing w:after="0"/>
              <w:rPr>
                <w:sz w:val="16"/>
                <w:szCs w:val="16"/>
                <w:color w:val="auto"/>
              </w:rPr>
            </w:pPr>
          </w:p>
        </w:tc>
        <w:tc>
          <w:tcPr>
            <w:tcW w:w="120" w:type="dxa"/>
            <w:vAlign w:val="bottom"/>
            <w:shd w:val="clear" w:color="auto" w:fill="CCE2F1"/>
          </w:tcPr>
          <w:p>
            <w:pPr>
              <w:spacing w:after="0"/>
              <w:rPr>
                <w:sz w:val="16"/>
                <w:szCs w:val="16"/>
                <w:color w:val="auto"/>
              </w:rPr>
            </w:pPr>
          </w:p>
        </w:tc>
        <w:tc>
          <w:tcPr>
            <w:tcW w:w="3200" w:type="dxa"/>
            <w:vAlign w:val="bottom"/>
            <w:shd w:val="clear" w:color="auto" w:fill="CCE2F1"/>
          </w:tcPr>
          <w:p>
            <w:pPr>
              <w:ind w:left="60"/>
              <w:spacing w:after="0"/>
              <w:rPr>
                <w:sz w:val="20"/>
                <w:szCs w:val="20"/>
                <w:color w:val="auto"/>
              </w:rPr>
            </w:pPr>
            <w:r>
              <w:rPr>
                <w:rFonts w:ascii="Arial" w:cs="Arial" w:eastAsia="Arial" w:hAnsi="Arial"/>
                <w:sz w:val="16"/>
                <w:szCs w:val="16"/>
                <w:color w:val="auto"/>
              </w:rPr>
              <w:t>International Equity Active</w:t>
            </w:r>
          </w:p>
        </w:tc>
        <w:tc>
          <w:tcPr>
            <w:tcW w:w="2480" w:type="dxa"/>
            <w:vAlign w:val="bottom"/>
            <w:shd w:val="clear" w:color="auto" w:fill="CCE2F1"/>
          </w:tcPr>
          <w:p>
            <w:pPr>
              <w:jc w:val="right"/>
              <w:spacing w:after="0"/>
              <w:rPr>
                <w:sz w:val="20"/>
                <w:szCs w:val="20"/>
                <w:color w:val="auto"/>
              </w:rPr>
            </w:pPr>
            <w:r>
              <w:rPr>
                <w:rFonts w:ascii="Arial" w:cs="Arial" w:eastAsia="Arial" w:hAnsi="Arial"/>
                <w:sz w:val="16"/>
                <w:szCs w:val="16"/>
                <w:color w:val="auto"/>
              </w:rPr>
              <w:t>-18.10%</w:t>
            </w:r>
          </w:p>
        </w:tc>
      </w:tr>
      <w:tr>
        <w:trPr>
          <w:trHeight w:val="189"/>
        </w:trPr>
        <w:tc>
          <w:tcPr>
            <w:tcW w:w="3340" w:type="dxa"/>
            <w:vAlign w:val="bottom"/>
          </w:tcPr>
          <w:p>
            <w:pPr>
              <w:ind w:left="160"/>
              <w:spacing w:after="0"/>
              <w:rPr>
                <w:sz w:val="20"/>
                <w:szCs w:val="20"/>
                <w:color w:val="auto"/>
              </w:rPr>
            </w:pPr>
            <w:r>
              <w:rPr>
                <w:rFonts w:ascii="Arial" w:cs="Arial" w:eastAsia="Arial" w:hAnsi="Arial"/>
                <w:sz w:val="16"/>
                <w:szCs w:val="16"/>
                <w:color w:val="auto"/>
              </w:rPr>
              <w:t>Amgen Target Retirement Portfolio 2050</w:t>
            </w:r>
          </w:p>
        </w:tc>
        <w:tc>
          <w:tcPr>
            <w:tcW w:w="1700" w:type="dxa"/>
            <w:vAlign w:val="bottom"/>
          </w:tcPr>
          <w:p>
            <w:pPr>
              <w:jc w:val="right"/>
              <w:spacing w:after="0"/>
              <w:rPr>
                <w:sz w:val="20"/>
                <w:szCs w:val="20"/>
                <w:color w:val="auto"/>
              </w:rPr>
            </w:pPr>
            <w:r>
              <w:rPr>
                <w:rFonts w:ascii="Arial" w:cs="Arial" w:eastAsia="Arial" w:hAnsi="Arial"/>
                <w:sz w:val="16"/>
                <w:szCs w:val="16"/>
                <w:color w:val="auto"/>
              </w:rPr>
              <w:t>-8.35%</w:t>
            </w:r>
          </w:p>
        </w:tc>
        <w:tc>
          <w:tcPr>
            <w:tcW w:w="180" w:type="dxa"/>
            <w:vAlign w:val="bottom"/>
            <w:tcBorders>
              <w:right w:val="single" w:sz="8" w:color="0171B9"/>
            </w:tcBorders>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6"/>
                <w:szCs w:val="16"/>
                <w:color w:val="auto"/>
              </w:rPr>
              <w:t>U.S. Equity Index</w:t>
            </w:r>
          </w:p>
        </w:tc>
        <w:tc>
          <w:tcPr>
            <w:tcW w:w="2480" w:type="dxa"/>
            <w:vAlign w:val="bottom"/>
          </w:tcPr>
          <w:p>
            <w:pPr>
              <w:jc w:val="right"/>
              <w:spacing w:after="0"/>
              <w:rPr>
                <w:sz w:val="20"/>
                <w:szCs w:val="20"/>
                <w:color w:val="auto"/>
              </w:rPr>
            </w:pPr>
            <w:r>
              <w:rPr>
                <w:rFonts w:ascii="Arial" w:cs="Arial" w:eastAsia="Arial" w:hAnsi="Arial"/>
                <w:sz w:val="16"/>
                <w:szCs w:val="16"/>
                <w:color w:val="auto"/>
              </w:rPr>
              <w:t>-19.16%</w:t>
            </w:r>
          </w:p>
        </w:tc>
      </w:tr>
      <w:tr>
        <w:trPr>
          <w:trHeight w:val="189"/>
        </w:trPr>
        <w:tc>
          <w:tcPr>
            <w:tcW w:w="3340" w:type="dxa"/>
            <w:vAlign w:val="bottom"/>
            <w:tcBorders>
              <w:bottom w:val="single" w:sz="8" w:color="0171B9"/>
            </w:tcBorders>
            <w:shd w:val="clear" w:color="auto" w:fill="CCE2F1"/>
          </w:tcPr>
          <w:p>
            <w:pPr>
              <w:ind w:left="160"/>
              <w:spacing w:after="0"/>
              <w:rPr>
                <w:sz w:val="20"/>
                <w:szCs w:val="20"/>
                <w:color w:val="auto"/>
              </w:rPr>
            </w:pPr>
            <w:r>
              <w:rPr>
                <w:rFonts w:ascii="Arial" w:cs="Arial" w:eastAsia="Arial" w:hAnsi="Arial"/>
                <w:sz w:val="16"/>
                <w:szCs w:val="16"/>
                <w:color w:val="auto"/>
              </w:rPr>
              <w:t>Amgen Target Retirement Portfolio 2060</w:t>
            </w:r>
          </w:p>
        </w:tc>
        <w:tc>
          <w:tcPr>
            <w:tcW w:w="1700" w:type="dxa"/>
            <w:vAlign w:val="bottom"/>
            <w:tcBorders>
              <w:bottom w:val="single" w:sz="8" w:color="0171B9"/>
            </w:tcBorders>
            <w:shd w:val="clear" w:color="auto" w:fill="CCE2F1"/>
          </w:tcPr>
          <w:p>
            <w:pPr>
              <w:jc w:val="right"/>
              <w:spacing w:after="0"/>
              <w:rPr>
                <w:sz w:val="20"/>
                <w:szCs w:val="20"/>
                <w:color w:val="auto"/>
              </w:rPr>
            </w:pPr>
            <w:r>
              <w:rPr>
                <w:rFonts w:ascii="Arial" w:cs="Arial" w:eastAsia="Arial" w:hAnsi="Arial"/>
                <w:sz w:val="16"/>
                <w:szCs w:val="16"/>
                <w:color w:val="auto"/>
              </w:rPr>
              <w:t>-8.38%</w:t>
            </w:r>
          </w:p>
        </w:tc>
        <w:tc>
          <w:tcPr>
            <w:tcW w:w="180" w:type="dxa"/>
            <w:vAlign w:val="bottom"/>
            <w:tcBorders>
              <w:right w:val="single" w:sz="8" w:color="0171B9"/>
            </w:tcBorders>
            <w:shd w:val="clear" w:color="auto" w:fill="CCE2F1"/>
          </w:tcPr>
          <w:p>
            <w:pPr>
              <w:spacing w:after="0"/>
              <w:rPr>
                <w:sz w:val="16"/>
                <w:szCs w:val="16"/>
                <w:color w:val="auto"/>
              </w:rPr>
            </w:pPr>
          </w:p>
        </w:tc>
        <w:tc>
          <w:tcPr>
            <w:tcW w:w="120" w:type="dxa"/>
            <w:vAlign w:val="bottom"/>
            <w:shd w:val="clear" w:color="auto" w:fill="CCE2F1"/>
          </w:tcPr>
          <w:p>
            <w:pPr>
              <w:spacing w:after="0"/>
              <w:rPr>
                <w:sz w:val="16"/>
                <w:szCs w:val="16"/>
                <w:color w:val="auto"/>
              </w:rPr>
            </w:pPr>
          </w:p>
        </w:tc>
        <w:tc>
          <w:tcPr>
            <w:tcW w:w="3200" w:type="dxa"/>
            <w:vAlign w:val="bottom"/>
            <w:tcBorders>
              <w:bottom w:val="single" w:sz="8" w:color="0171B9"/>
            </w:tcBorders>
            <w:shd w:val="clear" w:color="auto" w:fill="CCE2F1"/>
          </w:tcPr>
          <w:p>
            <w:pPr>
              <w:ind w:left="60"/>
              <w:spacing w:after="0"/>
              <w:rPr>
                <w:sz w:val="20"/>
                <w:szCs w:val="20"/>
                <w:color w:val="auto"/>
              </w:rPr>
            </w:pPr>
            <w:r>
              <w:rPr>
                <w:rFonts w:ascii="Arial" w:cs="Arial" w:eastAsia="Arial" w:hAnsi="Arial"/>
                <w:sz w:val="16"/>
                <w:szCs w:val="16"/>
                <w:color w:val="auto"/>
              </w:rPr>
              <w:t>U.S. Equity Active</w:t>
            </w:r>
          </w:p>
        </w:tc>
        <w:tc>
          <w:tcPr>
            <w:tcW w:w="2480" w:type="dxa"/>
            <w:vAlign w:val="bottom"/>
            <w:tcBorders>
              <w:bottom w:val="single" w:sz="8" w:color="0171B9"/>
            </w:tcBorders>
            <w:shd w:val="clear" w:color="auto" w:fill="CCE2F1"/>
          </w:tcPr>
          <w:p>
            <w:pPr>
              <w:jc w:val="right"/>
              <w:spacing w:after="0"/>
              <w:rPr>
                <w:sz w:val="20"/>
                <w:szCs w:val="20"/>
                <w:color w:val="auto"/>
              </w:rPr>
            </w:pPr>
            <w:r>
              <w:rPr>
                <w:rFonts w:ascii="Arial" w:cs="Arial" w:eastAsia="Arial" w:hAnsi="Arial"/>
                <w:sz w:val="16"/>
                <w:szCs w:val="16"/>
                <w:color w:val="auto"/>
              </w:rPr>
              <w:t>-26.52%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-856615</wp:posOffset>
            </wp:positionV>
            <wp:extent cx="699516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22"/>
          <w:szCs w:val="22"/>
          <w:color w:val="auto"/>
          <w:vertAlign w:val="superscript"/>
        </w:rPr>
      </w:pPr>
      <w:r>
        <w:rPr>
          <w:rFonts w:ascii="Arial" w:cs="Arial" w:eastAsia="Arial" w:hAnsi="Arial"/>
          <w:sz w:val="14"/>
          <w:szCs w:val="14"/>
          <w:color w:val="auto"/>
        </w:rPr>
        <w:t>We retain the right to change, at our discretion, the available investment options.</w:t>
      </w:r>
    </w:p>
    <w:p>
      <w:pPr>
        <w:spacing w:after="0" w:line="117"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Executive Compensation Tables</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1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Change of Control Severance Plan</w:t>
      </w:r>
    </w:p>
    <w:p>
      <w:pPr>
        <w:spacing w:after="0" w:line="192"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Our Amended and Restated Change of Control Severance Plan, or Change of Control Severance Plan, provides a lump sum payment and certain other benefits for each participant in the plan who separates from employment with us in connection with a change of control. Our Compensation Committee periodically reviews the terms of the Change of Control Severance Plan, which was originally adopted in 1998, to ensure it is aligned with current governance best practices. No tax gross-up payments are provided under the Change of Control Severance Plan. If a change of control occurs and a participant’s employment is terminated by us other than for cause or disability, or is terminated by the participant for good reason, within two years after the change of control, a participant under the Change of Control Severance Plan would be entitled to:</w:t>
      </w:r>
    </w:p>
    <w:p>
      <w:pPr>
        <w:spacing w:after="0" w:line="111" w:lineRule="exact"/>
        <w:rPr>
          <w:sz w:val="20"/>
          <w:szCs w:val="20"/>
          <w:color w:val="auto"/>
        </w:rPr>
      </w:pPr>
    </w:p>
    <w:p>
      <w:pPr>
        <w:ind w:left="380" w:hanging="264"/>
        <w:spacing w:after="0"/>
        <w:tabs>
          <w:tab w:leader="none" w:pos="380" w:val="left"/>
        </w:tabs>
        <w:numPr>
          <w:ilvl w:val="0"/>
          <w:numId w:val="119"/>
        </w:numPr>
        <w:rPr>
          <w:rFonts w:ascii="Arial" w:cs="Arial" w:eastAsia="Arial" w:hAnsi="Arial"/>
          <w:sz w:val="17"/>
          <w:szCs w:val="17"/>
          <w:color w:val="0171B9"/>
        </w:rPr>
      </w:pPr>
      <w:r>
        <w:rPr>
          <w:rFonts w:ascii="Arial" w:cs="Arial" w:eastAsia="Arial" w:hAnsi="Arial"/>
          <w:sz w:val="17"/>
          <w:szCs w:val="17"/>
          <w:color w:val="auto"/>
        </w:rPr>
        <w:t>a lump sum cash payment in an amount equal to:</w:t>
      </w:r>
    </w:p>
    <w:p>
      <w:pPr>
        <w:spacing w:after="0" w:line="115" w:lineRule="exact"/>
        <w:rPr>
          <w:rFonts w:ascii="Arial" w:cs="Arial" w:eastAsia="Arial" w:hAnsi="Arial"/>
          <w:sz w:val="17"/>
          <w:szCs w:val="17"/>
          <w:color w:val="0171B9"/>
        </w:rPr>
      </w:pPr>
    </w:p>
    <w:p>
      <w:pPr>
        <w:ind w:left="580" w:hanging="248"/>
        <w:spacing w:after="0"/>
        <w:tabs>
          <w:tab w:leader="none" w:pos="58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product of:</w:t>
      </w:r>
    </w:p>
    <w:p>
      <w:pPr>
        <w:spacing w:after="0" w:line="128" w:lineRule="exact"/>
        <w:rPr>
          <w:rFonts w:ascii="Arial" w:cs="Arial" w:eastAsia="Arial" w:hAnsi="Arial"/>
          <w:sz w:val="17"/>
          <w:szCs w:val="17"/>
          <w:color w:val="auto"/>
        </w:rPr>
      </w:pPr>
    </w:p>
    <w:p>
      <w:pPr>
        <w:jc w:val="both"/>
        <w:ind w:left="820" w:right="20" w:hanging="272"/>
        <w:spacing w:after="0" w:line="238" w:lineRule="auto"/>
        <w:tabs>
          <w:tab w:leader="none" w:pos="820" w:val="left"/>
        </w:tabs>
        <w:numPr>
          <w:ilvl w:val="2"/>
          <w:numId w:val="119"/>
        </w:numPr>
        <w:rPr>
          <w:rFonts w:ascii="Arial" w:cs="Arial" w:eastAsia="Arial" w:hAnsi="Arial"/>
          <w:sz w:val="17"/>
          <w:szCs w:val="17"/>
          <w:color w:val="0171B9"/>
        </w:rPr>
      </w:pPr>
      <w:r>
        <w:rPr>
          <w:rFonts w:ascii="Arial" w:cs="Arial" w:eastAsia="Arial" w:hAnsi="Arial"/>
          <w:sz w:val="17"/>
          <w:szCs w:val="17"/>
          <w:color w:val="auto"/>
        </w:rPr>
        <w:t>a benefits multiple of one or two based on the participant’s position (each of our NEOs has a benefits multiple of two); and</w:t>
      </w:r>
    </w:p>
    <w:p>
      <w:pPr>
        <w:spacing w:after="0" w:line="106" w:lineRule="exact"/>
        <w:rPr>
          <w:rFonts w:ascii="Arial" w:cs="Arial" w:eastAsia="Arial" w:hAnsi="Arial"/>
          <w:sz w:val="17"/>
          <w:szCs w:val="17"/>
          <w:color w:val="0171B9"/>
        </w:rPr>
      </w:pPr>
    </w:p>
    <w:p>
      <w:pPr>
        <w:jc w:val="both"/>
        <w:ind w:left="820" w:hanging="272"/>
        <w:spacing w:after="0" w:line="235" w:lineRule="auto"/>
        <w:tabs>
          <w:tab w:leader="none" w:pos="820" w:val="left"/>
        </w:tabs>
        <w:numPr>
          <w:ilvl w:val="2"/>
          <w:numId w:val="119"/>
        </w:numPr>
        <w:rPr>
          <w:rFonts w:ascii="Arial" w:cs="Arial" w:eastAsia="Arial" w:hAnsi="Arial"/>
          <w:sz w:val="17"/>
          <w:szCs w:val="17"/>
          <w:color w:val="0171B9"/>
        </w:rPr>
      </w:pPr>
      <w:r>
        <w:rPr>
          <w:rFonts w:ascii="Arial" w:cs="Arial" w:eastAsia="Arial" w:hAnsi="Arial"/>
          <w:sz w:val="17"/>
          <w:szCs w:val="17"/>
          <w:color w:val="auto"/>
        </w:rPr>
        <w:t>the sum of (i) the participant’s annual base salary immediately prior to termination or, if higher, immediately prior to the change of control, plus (ii) the participant’s targeted annual cash incentive award for the year in which the termination occurs;</w:t>
      </w:r>
    </w:p>
    <w:p>
      <w:pPr>
        <w:spacing w:after="0" w:line="109" w:lineRule="exact"/>
        <w:rPr>
          <w:rFonts w:ascii="Arial" w:cs="Arial" w:eastAsia="Arial" w:hAnsi="Arial"/>
          <w:sz w:val="17"/>
          <w:szCs w:val="17"/>
          <w:color w:val="0171B9"/>
        </w:rPr>
      </w:pPr>
    </w:p>
    <w:p>
      <w:pPr>
        <w:jc w:val="both"/>
        <w:ind w:left="380" w:hanging="264"/>
        <w:spacing w:after="0" w:line="233" w:lineRule="auto"/>
        <w:tabs>
          <w:tab w:leader="none" w:pos="380" w:val="left"/>
        </w:tabs>
        <w:numPr>
          <w:ilvl w:val="0"/>
          <w:numId w:val="119"/>
        </w:numPr>
        <w:rPr>
          <w:rFonts w:ascii="Arial" w:cs="Arial" w:eastAsia="Arial" w:hAnsi="Arial"/>
          <w:sz w:val="17"/>
          <w:szCs w:val="17"/>
          <w:color w:val="0171B9"/>
        </w:rPr>
      </w:pPr>
      <w:r>
        <w:rPr>
          <w:rFonts w:ascii="Arial" w:cs="Arial" w:eastAsia="Arial" w:hAnsi="Arial"/>
          <w:sz w:val="17"/>
          <w:szCs w:val="17"/>
          <w:color w:val="auto"/>
        </w:rPr>
        <w:t>if, as a result of the participant’s termination of employment, the participant becomes entitled to, and timely elects to continue, healthcare (including any applicable vision benefits) and/or dental coverage under Consolidated Omnibus Budget Reconciliation Act of 1985, or COBRA, Company-paid group health and dental insurance continuation coverage for the participant and his or her dependents under COBRA until the earlier of (i) the expiration of a participant’s eligibility for coverage under COBRA, or (ii) the expiration of the 18-month period immediately following the participant’s termination (whichever occurs earlier);</w:t>
      </w:r>
    </w:p>
    <w:p>
      <w:pPr>
        <w:spacing w:after="0" w:line="113" w:lineRule="exact"/>
        <w:rPr>
          <w:rFonts w:ascii="Arial" w:cs="Arial" w:eastAsia="Arial" w:hAnsi="Arial"/>
          <w:sz w:val="17"/>
          <w:szCs w:val="17"/>
          <w:color w:val="0171B9"/>
        </w:rPr>
      </w:pPr>
    </w:p>
    <w:p>
      <w:pPr>
        <w:ind w:left="380" w:hanging="264"/>
        <w:spacing w:after="0"/>
        <w:tabs>
          <w:tab w:leader="none" w:pos="380" w:val="left"/>
        </w:tabs>
        <w:numPr>
          <w:ilvl w:val="0"/>
          <w:numId w:val="119"/>
        </w:numPr>
        <w:rPr>
          <w:rFonts w:ascii="Arial" w:cs="Arial" w:eastAsia="Arial" w:hAnsi="Arial"/>
          <w:sz w:val="17"/>
          <w:szCs w:val="17"/>
          <w:color w:val="0171B9"/>
        </w:rPr>
      </w:pPr>
      <w:r>
        <w:rPr>
          <w:rFonts w:ascii="Arial" w:cs="Arial" w:eastAsia="Arial" w:hAnsi="Arial"/>
          <w:sz w:val="17"/>
          <w:szCs w:val="17"/>
          <w:color w:val="auto"/>
        </w:rPr>
        <w:t>fully-vested benefits accrued under our 401(k) Plan and our SRP;</w:t>
      </w:r>
    </w:p>
    <w:p>
      <w:pPr>
        <w:spacing w:after="0" w:line="115" w:lineRule="exact"/>
        <w:rPr>
          <w:rFonts w:ascii="Arial" w:cs="Arial" w:eastAsia="Arial" w:hAnsi="Arial"/>
          <w:sz w:val="17"/>
          <w:szCs w:val="17"/>
          <w:color w:val="0171B9"/>
        </w:rPr>
      </w:pPr>
    </w:p>
    <w:p>
      <w:pPr>
        <w:jc w:val="both"/>
        <w:ind w:left="380" w:hanging="264"/>
        <w:spacing w:after="0" w:line="233" w:lineRule="auto"/>
        <w:tabs>
          <w:tab w:leader="none" w:pos="380" w:val="left"/>
        </w:tabs>
        <w:numPr>
          <w:ilvl w:val="0"/>
          <w:numId w:val="119"/>
        </w:numPr>
        <w:rPr>
          <w:rFonts w:ascii="Arial" w:cs="Arial" w:eastAsia="Arial" w:hAnsi="Arial"/>
          <w:sz w:val="17"/>
          <w:szCs w:val="17"/>
          <w:color w:val="0171B9"/>
        </w:rPr>
      </w:pPr>
      <w:r>
        <w:rPr>
          <w:rFonts w:ascii="Arial" w:cs="Arial" w:eastAsia="Arial" w:hAnsi="Arial"/>
          <w:sz w:val="17"/>
          <w:szCs w:val="17"/>
          <w:color w:val="auto"/>
        </w:rPr>
        <w:t>either a lump-sum cash payment or a contribution to our SRP, as determined by us in our sole discretion, in an amount equal to the sum of (1) the product of $2,500 and the participant’s benefits multiple, plus (2) the product of (x) 10%, (y) the sum of (i) the participant’s annual base salary as in effect immediately prior to the participant’s termination or, if higher, as in effect immediately prior to the change of control, plus (ii) the participant’s targeted annual cash incentive award for the year in which the termination occurs (which equals the participant’s annual base salary multiplied by the participant’s target annual cash incentive award percentage, each as in effect immediately prior to the termination or, if higher, as in effect immediately prior to the change of control), and (z) the benefits multiple; and indemnification and, if applicable, directors’ and officers’ liability insurance provided by us for four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266" w:right="40"/>
        <w:spacing w:after="0" w:line="238" w:lineRule="auto"/>
        <w:rPr>
          <w:sz w:val="20"/>
          <w:szCs w:val="20"/>
          <w:color w:val="auto"/>
        </w:rPr>
      </w:pPr>
      <w:r>
        <w:rPr>
          <w:rFonts w:ascii="Arial" w:cs="Arial" w:eastAsia="Arial" w:hAnsi="Arial"/>
          <w:sz w:val="17"/>
          <w:szCs w:val="17"/>
          <w:color w:val="auto"/>
        </w:rPr>
        <w:t>following the participant’s termination (each of our NEOs would receive such liability insurance benefits, which would result in no additional cost to us).</w:t>
      </w:r>
    </w:p>
    <w:p>
      <w:pPr>
        <w:spacing w:after="0" w:line="93" w:lineRule="exact"/>
        <w:rPr>
          <w:sz w:val="20"/>
          <w:szCs w:val="20"/>
          <w:color w:val="auto"/>
        </w:rPr>
      </w:pPr>
    </w:p>
    <w:p>
      <w:pPr>
        <w:jc w:val="both"/>
        <w:ind w:left="6"/>
        <w:spacing w:after="0" w:line="234" w:lineRule="auto"/>
        <w:rPr>
          <w:sz w:val="20"/>
          <w:szCs w:val="20"/>
          <w:color w:val="auto"/>
        </w:rPr>
      </w:pPr>
      <w:r>
        <w:rPr>
          <w:rFonts w:ascii="Arial" w:cs="Arial" w:eastAsia="Arial" w:hAnsi="Arial"/>
          <w:sz w:val="17"/>
          <w:szCs w:val="17"/>
          <w:color w:val="auto"/>
        </w:rPr>
        <w:t>If all payments or benefits received under the Change of Control Severance Plan or any other plan, arrangement, or agreement would cause the participant to be subject to excise tax, then the payments will be reduced to the extent necessary to avoid the excise tax, provided that the reduced payments, net of federal, state, and local income taxes, are greater than the payments without such reduction, net of federal, state, and local income taxes, and excise tax.</w:t>
      </w:r>
    </w:p>
    <w:p>
      <w:pPr>
        <w:spacing w:after="0" w:line="97" w:lineRule="exact"/>
        <w:rPr>
          <w:sz w:val="20"/>
          <w:szCs w:val="20"/>
          <w:color w:val="auto"/>
        </w:rPr>
      </w:pPr>
    </w:p>
    <w:p>
      <w:pPr>
        <w:jc w:val="both"/>
        <w:ind w:left="6"/>
        <w:spacing w:after="0" w:line="234" w:lineRule="auto"/>
        <w:rPr>
          <w:sz w:val="20"/>
          <w:szCs w:val="20"/>
          <w:color w:val="auto"/>
        </w:rPr>
      </w:pPr>
      <w:r>
        <w:rPr>
          <w:rFonts w:ascii="Arial" w:cs="Arial" w:eastAsia="Arial" w:hAnsi="Arial"/>
          <w:sz w:val="17"/>
          <w:szCs w:val="17"/>
          <w:color w:val="auto"/>
        </w:rPr>
        <w:t>The plan provides that the benefits described above would be provided in lieu of any other severance benefits that may be payable by us (other than accrued vacation and similar benefits otherwise payable to all staff members upon a termination). The plan also provides that the benefits described above may be forfeited if the participant discloses our confidential information or solicits or offers employment to any of our staff members during a period of years equal to the participant’s benefits multiple following the participant’s termination.</w:t>
      </w:r>
    </w:p>
    <w:p>
      <w:pPr>
        <w:spacing w:after="0" w:line="95" w:lineRule="exact"/>
        <w:rPr>
          <w:sz w:val="20"/>
          <w:szCs w:val="20"/>
          <w:color w:val="auto"/>
        </w:rPr>
      </w:pPr>
    </w:p>
    <w:p>
      <w:pPr>
        <w:jc w:val="both"/>
        <w:ind w:left="6"/>
        <w:spacing w:after="0" w:line="234" w:lineRule="auto"/>
        <w:rPr>
          <w:sz w:val="20"/>
          <w:szCs w:val="20"/>
          <w:color w:val="auto"/>
        </w:rPr>
      </w:pPr>
      <w:r>
        <w:rPr>
          <w:rFonts w:ascii="Arial" w:cs="Arial" w:eastAsia="Arial" w:hAnsi="Arial"/>
          <w:sz w:val="17"/>
          <w:szCs w:val="17"/>
          <w:color w:val="auto"/>
        </w:rPr>
        <w:t>The plan is subject to automatic one-year extensions unless we notify participants no later than November 30 that the term will not be extended. If a change of control occurs during the term of the plan, the plan will continue in effect for at least 24 months following the change of control. Prior to a change of control, we can amend the plan at any time. After a change of control, the plan may not be terminated or amended in any way that adversely affects a participant’s interests under the plan, unless the participant consents in writing. “Change of Control” is defined in the plan as the occurrence of any of the following:</w:t>
      </w:r>
    </w:p>
    <w:p>
      <w:pPr>
        <w:spacing w:after="0" w:line="107" w:lineRule="exact"/>
        <w:rPr>
          <w:sz w:val="20"/>
          <w:szCs w:val="20"/>
          <w:color w:val="auto"/>
        </w:rPr>
      </w:pPr>
    </w:p>
    <w:p>
      <w:pPr>
        <w:jc w:val="both"/>
        <w:ind w:left="266" w:right="20" w:hanging="266"/>
        <w:spacing w:after="0" w:line="236" w:lineRule="auto"/>
        <w:tabs>
          <w:tab w:leader="none" w:pos="266" w:val="left"/>
        </w:tabs>
        <w:numPr>
          <w:ilvl w:val="0"/>
          <w:numId w:val="120"/>
        </w:numPr>
        <w:rPr>
          <w:rFonts w:ascii="Arial" w:cs="Arial" w:eastAsia="Arial" w:hAnsi="Arial"/>
          <w:sz w:val="17"/>
          <w:szCs w:val="17"/>
          <w:color w:val="0171B9"/>
        </w:rPr>
      </w:pPr>
      <w:r>
        <w:rPr>
          <w:rFonts w:ascii="Arial" w:cs="Arial" w:eastAsia="Arial" w:hAnsi="Arial"/>
          <w:sz w:val="17"/>
          <w:szCs w:val="17"/>
          <w:color w:val="auto"/>
        </w:rPr>
        <w:t>any person, entity, or group has acquired beneficial ownership of 50% or more of (i) our then outstanding common shares, or (ii) the combined voting power of our then outstanding securities entitled to vote in the election of directors;</w:t>
      </w:r>
    </w:p>
    <w:p>
      <w:pPr>
        <w:spacing w:after="0" w:line="108" w:lineRule="exact"/>
        <w:rPr>
          <w:rFonts w:ascii="Arial" w:cs="Arial" w:eastAsia="Arial" w:hAnsi="Arial"/>
          <w:sz w:val="17"/>
          <w:szCs w:val="17"/>
          <w:color w:val="0171B9"/>
        </w:rPr>
      </w:pPr>
    </w:p>
    <w:p>
      <w:pPr>
        <w:ind w:left="266" w:right="20" w:hanging="266"/>
        <w:spacing w:after="0" w:line="243" w:lineRule="auto"/>
        <w:tabs>
          <w:tab w:leader="none" w:pos="266" w:val="left"/>
        </w:tabs>
        <w:numPr>
          <w:ilvl w:val="0"/>
          <w:numId w:val="120"/>
        </w:numPr>
        <w:rPr>
          <w:rFonts w:ascii="Arial" w:cs="Arial" w:eastAsia="Arial" w:hAnsi="Arial"/>
          <w:sz w:val="17"/>
          <w:szCs w:val="17"/>
          <w:color w:val="0171B9"/>
        </w:rPr>
      </w:pPr>
      <w:r>
        <w:rPr>
          <w:rFonts w:ascii="Arial" w:cs="Arial" w:eastAsia="Arial" w:hAnsi="Arial"/>
          <w:sz w:val="17"/>
          <w:szCs w:val="17"/>
          <w:color w:val="auto"/>
        </w:rPr>
        <w:t>individuals making up the incumbent Board (as defined in the plan) cease for any reason to constitute at least a majority of our Board;</w:t>
      </w:r>
    </w:p>
    <w:p>
      <w:pPr>
        <w:spacing w:after="0" w:line="103" w:lineRule="exact"/>
        <w:rPr>
          <w:rFonts w:ascii="Arial" w:cs="Arial" w:eastAsia="Arial" w:hAnsi="Arial"/>
          <w:sz w:val="17"/>
          <w:szCs w:val="17"/>
          <w:color w:val="0171B9"/>
        </w:rPr>
      </w:pPr>
    </w:p>
    <w:p>
      <w:pPr>
        <w:jc w:val="both"/>
        <w:ind w:left="266" w:right="20" w:hanging="266"/>
        <w:spacing w:after="0" w:line="235" w:lineRule="auto"/>
        <w:tabs>
          <w:tab w:leader="none" w:pos="266" w:val="left"/>
        </w:tabs>
        <w:numPr>
          <w:ilvl w:val="0"/>
          <w:numId w:val="120"/>
        </w:numPr>
        <w:rPr>
          <w:rFonts w:ascii="Arial" w:cs="Arial" w:eastAsia="Arial" w:hAnsi="Arial"/>
          <w:sz w:val="17"/>
          <w:szCs w:val="17"/>
          <w:color w:val="0171B9"/>
        </w:rPr>
      </w:pPr>
      <w:r>
        <w:rPr>
          <w:rFonts w:ascii="Arial" w:cs="Arial" w:eastAsia="Arial" w:hAnsi="Arial"/>
          <w:sz w:val="17"/>
          <w:szCs w:val="17"/>
          <w:color w:val="auto"/>
        </w:rPr>
        <w:t>immediately prior to our consummation of a reorganization, merger, or consolidation with respect to which persons who were the stockholders of the Company immediately prior to such transaction do not, immediately thereafter, own more than 50% of the then outstanding shares of the reorganized, merged, or consolidated company entitled to vote generally in the election of directors;</w:t>
      </w:r>
    </w:p>
    <w:p>
      <w:pPr>
        <w:spacing w:after="0" w:line="107" w:lineRule="exact"/>
        <w:rPr>
          <w:rFonts w:ascii="Arial" w:cs="Arial" w:eastAsia="Arial" w:hAnsi="Arial"/>
          <w:sz w:val="17"/>
          <w:szCs w:val="17"/>
          <w:color w:val="0171B9"/>
        </w:rPr>
      </w:pPr>
    </w:p>
    <w:p>
      <w:pPr>
        <w:ind w:left="266" w:right="40" w:hanging="266"/>
        <w:spacing w:after="0" w:line="243" w:lineRule="auto"/>
        <w:tabs>
          <w:tab w:leader="none" w:pos="266" w:val="left"/>
        </w:tabs>
        <w:numPr>
          <w:ilvl w:val="0"/>
          <w:numId w:val="120"/>
        </w:numPr>
        <w:rPr>
          <w:rFonts w:ascii="Arial" w:cs="Arial" w:eastAsia="Arial" w:hAnsi="Arial"/>
          <w:sz w:val="17"/>
          <w:szCs w:val="17"/>
          <w:color w:val="0171B9"/>
        </w:rPr>
      </w:pPr>
      <w:r>
        <w:rPr>
          <w:rFonts w:ascii="Arial" w:cs="Arial" w:eastAsia="Arial" w:hAnsi="Arial"/>
          <w:sz w:val="17"/>
          <w:szCs w:val="17"/>
          <w:color w:val="auto"/>
        </w:rPr>
        <w:t>a liquidation or dissolution of the Company or the sale of all or substantially all of the assets of the Company; or</w:t>
      </w:r>
    </w:p>
    <w:p>
      <w:pPr>
        <w:spacing w:after="0" w:line="103" w:lineRule="exact"/>
        <w:rPr>
          <w:rFonts w:ascii="Arial" w:cs="Arial" w:eastAsia="Arial" w:hAnsi="Arial"/>
          <w:sz w:val="17"/>
          <w:szCs w:val="17"/>
          <w:color w:val="0171B9"/>
        </w:rPr>
      </w:pPr>
    </w:p>
    <w:p>
      <w:pPr>
        <w:ind w:left="266" w:right="40" w:hanging="266"/>
        <w:spacing w:after="0" w:line="243" w:lineRule="auto"/>
        <w:tabs>
          <w:tab w:leader="none" w:pos="266" w:val="left"/>
        </w:tabs>
        <w:numPr>
          <w:ilvl w:val="0"/>
          <w:numId w:val="120"/>
        </w:numPr>
        <w:rPr>
          <w:rFonts w:ascii="Arial" w:cs="Arial" w:eastAsia="Arial" w:hAnsi="Arial"/>
          <w:sz w:val="17"/>
          <w:szCs w:val="17"/>
          <w:color w:val="0171B9"/>
        </w:rPr>
      </w:pPr>
      <w:r>
        <w:rPr>
          <w:rFonts w:ascii="Arial" w:cs="Arial" w:eastAsia="Arial" w:hAnsi="Arial"/>
          <w:sz w:val="17"/>
          <w:szCs w:val="17"/>
          <w:color w:val="auto"/>
        </w:rPr>
        <w:t>any other event which the incumbent Board (as defined in the plan), in its sole discretion, determines is a change of control.</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7"/>
          <w:szCs w:val="17"/>
          <w:color w:val="auto"/>
        </w:rPr>
        <w:t>“Cause”  is  defined  in  the  plan  as  (i)  conviction  of  a  felony  or</w:t>
      </w:r>
    </w:p>
    <w:p>
      <w:pPr>
        <w:jc w:val="both"/>
        <w:ind w:left="6" w:right="20" w:hanging="6"/>
        <w:spacing w:after="0" w:line="236" w:lineRule="auto"/>
        <w:tabs>
          <w:tab w:leader="none" w:pos="26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engaging in conduct that constitutes willful gross neglect or willful gross misconduct in carrying out the participant’s duties, resulting in material economic harm to us, unless the participant believed in good faith that the conduct was in, or not contrary to, our best interests.</w:t>
      </w:r>
    </w:p>
    <w:p>
      <w:pPr>
        <w:spacing w:after="0" w:line="212" w:lineRule="exact"/>
        <w:rPr>
          <w:sz w:val="20"/>
          <w:szCs w:val="20"/>
          <w:color w:val="auto"/>
        </w:rPr>
      </w:pPr>
    </w:p>
    <w:p>
      <w:pPr>
        <w:sectPr>
          <w:pgSz w:w="11900" w:h="16838" w:orient="portrait"/>
          <w:cols w:equalWidth="0" w:num="2">
            <w:col w:w="5400" w:space="334"/>
            <w:col w:w="5406"/>
          </w:cols>
          <w:pgMar w:left="320" w:top="486" w:right="439" w:bottom="1440" w:gutter="0" w:footer="0" w:header="0"/>
          <w:type w:val="continuous"/>
        </w:sectPr>
      </w:pPr>
    </w:p>
    <w:p>
      <w:pPr>
        <w:spacing w:after="0" w:line="75"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84</w:t>
      </w:r>
      <w:r>
        <w:rPr>
          <w:sz w:val="20"/>
          <w:szCs w:val="20"/>
          <w:color w:val="auto"/>
        </w:rPr>
        <w:tab/>
      </w:r>
      <w:r>
        <w:rPr>
          <w:sz w:val="1"/>
          <w:szCs w:val="1"/>
          <w:color w:val="auto"/>
        </w:rPr>
        <w:drawing>
          <wp:inline distT="0" distB="0" distL="0" distR="0">
            <wp:extent cx="582930" cy="137160"/>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Executive Compensation Tables</w:t>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both"/>
        <w:ind w:left="120"/>
        <w:spacing w:after="0" w:line="243" w:lineRule="auto"/>
        <w:rPr>
          <w:sz w:val="20"/>
          <w:szCs w:val="20"/>
          <w:color w:val="auto"/>
        </w:rPr>
      </w:pPr>
      <w:r>
        <w:rPr>
          <w:rFonts w:ascii="Arial" w:cs="Arial" w:eastAsia="Arial" w:hAnsi="Arial"/>
          <w:sz w:val="17"/>
          <w:szCs w:val="17"/>
          <w:color w:val="auto"/>
        </w:rPr>
        <w:t>“Disability” under the plan is determined based on our long-term disability plan as is in effect immediately prior to a change of control.</w:t>
      </w:r>
    </w:p>
    <w:p>
      <w:pPr>
        <w:spacing w:after="0" w:line="90" w:lineRule="exact"/>
        <w:rPr>
          <w:sz w:val="20"/>
          <w:szCs w:val="20"/>
          <w:color w:val="auto"/>
        </w:rPr>
      </w:pPr>
    </w:p>
    <w:p>
      <w:pPr>
        <w:jc w:val="both"/>
        <w:ind w:left="120"/>
        <w:spacing w:after="0" w:line="232" w:lineRule="auto"/>
        <w:rPr>
          <w:sz w:val="20"/>
          <w:szCs w:val="20"/>
          <w:color w:val="auto"/>
        </w:rPr>
      </w:pPr>
      <w:r>
        <w:rPr>
          <w:rFonts w:ascii="Arial" w:cs="Arial" w:eastAsia="Arial" w:hAnsi="Arial"/>
          <w:sz w:val="17"/>
          <w:szCs w:val="17"/>
          <w:color w:val="auto"/>
        </w:rPr>
        <w:t>“Good reason” is defined in the plan as (i) an adverse and material diminution of a participant’s authority, duties, or responsibilities, (ii) a material reduction in a participant’s base salary, (iii) an increase in a participant’s daily commute by more than 100 miles roundtrip, or</w:t>
      </w:r>
    </w:p>
    <w:p>
      <w:pPr>
        <w:jc w:val="both"/>
        <w:ind w:left="120" w:hanging="4"/>
        <w:spacing w:after="0"/>
        <w:tabs>
          <w:tab w:leader="none" w:pos="43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any other action or inaction by the Company that constitutes a material breach of the agreement under which the participant provides services. In order to terminate with “good reason,” a participant must provide written notice to the Company of the existence of the condition within the required period, the Company must fail to remedy the condition within the required time period and the participant must then terminate employment within the required time period.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Long-Term Incentive Equity Awards</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171B9"/>
        </w:rPr>
        <w:t>Stock Options and Restricted Stock Units</w:t>
      </w:r>
    </w:p>
    <w:p>
      <w:pPr>
        <w:spacing w:after="0" w:line="111"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Our stock plans (or the related grant agreements approved for use under such stock plans) provide for accelerated vesting or continued vesting of unvested stock options and RSUs in the circumstances described below.</w:t>
      </w:r>
    </w:p>
    <w:p>
      <w:pPr>
        <w:spacing w:after="0" w:line="77"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i w:val="1"/>
          <w:iCs w:val="1"/>
          <w:color w:val="0171B9"/>
        </w:rPr>
        <w:t xml:space="preserve">Double-Trigger Qualifying Termination in Connection with a Change of Control. </w:t>
      </w:r>
      <w:r>
        <w:rPr>
          <w:rFonts w:ascii="Arial" w:cs="Arial" w:eastAsia="Arial" w:hAnsi="Arial"/>
          <w:sz w:val="17"/>
          <w:szCs w:val="17"/>
          <w:color w:val="000000"/>
        </w:rPr>
        <w:t>Unvested stock options and RSUs will vest in full in</w:t>
      </w:r>
      <w:r>
        <w:rPr>
          <w:rFonts w:ascii="Arial" w:cs="Arial" w:eastAsia="Arial" w:hAnsi="Arial"/>
          <w:sz w:val="17"/>
          <w:szCs w:val="17"/>
          <w:i w:val="1"/>
          <w:iCs w:val="1"/>
          <w:color w:val="0171B9"/>
        </w:rPr>
        <w:t xml:space="preserve"> </w:t>
      </w:r>
      <w:r>
        <w:rPr>
          <w:rFonts w:ascii="Arial" w:cs="Arial" w:eastAsia="Arial" w:hAnsi="Arial"/>
          <w:sz w:val="17"/>
          <w:szCs w:val="17"/>
          <w:color w:val="000000"/>
        </w:rPr>
        <w:t>connection with a Change of Control (as defined in the stock plans or related grant agreements approved for use under such stock plans) only if and when, within 24 months following the Change of Control, the grantee’s employment is involuntarily terminated other than for “cause” or “disability,” or, in the case of staff members subject to the Change of Control Severance Plan, voluntarily terminated with “good reason” (as each is defined in the grant agreements).</w:t>
      </w:r>
    </w:p>
    <w:p>
      <w:pPr>
        <w:spacing w:after="0" w:line="79"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i w:val="1"/>
          <w:iCs w:val="1"/>
          <w:color w:val="0171B9"/>
        </w:rPr>
        <w:t xml:space="preserve">Death or Disability. </w:t>
      </w:r>
      <w:r>
        <w:rPr>
          <w:rFonts w:ascii="Arial" w:cs="Arial" w:eastAsia="Arial" w:hAnsi="Arial"/>
          <w:sz w:val="17"/>
          <w:szCs w:val="17"/>
          <w:color w:val="000000"/>
        </w:rPr>
        <w:t>In general, unvested stock options and RSUs</w:t>
      </w:r>
      <w:r>
        <w:rPr>
          <w:rFonts w:ascii="Arial" w:cs="Arial" w:eastAsia="Arial" w:hAnsi="Arial"/>
          <w:sz w:val="17"/>
          <w:szCs w:val="17"/>
          <w:i w:val="1"/>
          <w:iCs w:val="1"/>
          <w:color w:val="0171B9"/>
        </w:rPr>
        <w:t xml:space="preserve"> </w:t>
      </w:r>
      <w:r>
        <w:rPr>
          <w:rFonts w:ascii="Arial" w:cs="Arial" w:eastAsia="Arial" w:hAnsi="Arial"/>
          <w:sz w:val="17"/>
          <w:szCs w:val="17"/>
          <w:color w:val="000000"/>
        </w:rPr>
        <w:t>granted in calendar years prior to the year death or disability occurs vest in full upon the occurrence of such event. For unvested stock options and RSUs granted in the calendar year death or disability occurs, a pro-rata amount of these stock options and RSUs immediately vests based on the number of completed months of employment during the calendar year such event occurs. Under our stock plans, a disability has the same meaning as under Section 22(e)(3) of the Internal Revenue Code and occurs where the disability has been certified by either the Social Security Administration, the comparable government authority in another country with respect to non-U.S. staff members, or an independent medical advisor appointed by us.</w:t>
      </w:r>
    </w:p>
    <w:p>
      <w:pPr>
        <w:spacing w:after="0" w:line="77"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i w:val="1"/>
          <w:iCs w:val="1"/>
          <w:color w:val="0171B9"/>
        </w:rPr>
        <w:t xml:space="preserve">Retirement. </w:t>
      </w:r>
      <w:r>
        <w:rPr>
          <w:rFonts w:ascii="Arial" w:cs="Arial" w:eastAsia="Arial" w:hAnsi="Arial"/>
          <w:sz w:val="17"/>
          <w:szCs w:val="17"/>
          <w:color w:val="000000"/>
        </w:rPr>
        <w:t>In general, unvested stock options and RSUs granted in</w:t>
      </w:r>
      <w:r>
        <w:rPr>
          <w:rFonts w:ascii="Arial" w:cs="Arial" w:eastAsia="Arial" w:hAnsi="Arial"/>
          <w:sz w:val="17"/>
          <w:szCs w:val="17"/>
          <w:i w:val="1"/>
          <w:iCs w:val="1"/>
          <w:color w:val="0171B9"/>
        </w:rPr>
        <w:t xml:space="preserve"> </w:t>
      </w:r>
      <w:r>
        <w:rPr>
          <w:rFonts w:ascii="Arial" w:cs="Arial" w:eastAsia="Arial" w:hAnsi="Arial"/>
          <w:sz w:val="17"/>
          <w:szCs w:val="17"/>
          <w:color w:val="000000"/>
        </w:rPr>
        <w:t>calendar years prior to the year in which an employee retires continue to vest on their original vesting schedule following the retirement of the holder if the holder has been employed for at least ten years and is age 55 or older or is age 65 or older, regardless of service (a retirement-eligible participant), provided that any unvested RSUs will vest in full in the event of death following such holders’ retirement from the Company. If a retirement-eligible participant receives a grant of stock options or RSUs in the calendar year such retirement occurs, generally,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both"/>
        <w:ind w:left="6"/>
        <w:spacing w:after="0" w:line="234" w:lineRule="auto"/>
        <w:rPr>
          <w:sz w:val="20"/>
          <w:szCs w:val="20"/>
          <w:color w:val="auto"/>
        </w:rPr>
      </w:pPr>
      <w:r>
        <w:rPr>
          <w:rFonts w:ascii="Arial" w:cs="Arial" w:eastAsia="Arial" w:hAnsi="Arial"/>
          <w:sz w:val="17"/>
          <w:szCs w:val="17"/>
          <w:color w:val="auto"/>
        </w:rPr>
        <w:t>the participant will vest in a pro-rata amount of the award he or she would be otherwise entitled based upon the number of complete months of employment during the calendar year such retirement occurs. Retirement-eligible participants have the lesser of five years from the date of retirement or the remaining period before expiration to exercise any vested stock options. Mr. Bradway, Dr. Reese, and Mr. Santos are each a retirement-eligible participant and eligible to receive this benefit.</w:t>
      </w:r>
    </w:p>
    <w:p>
      <w:pPr>
        <w:spacing w:after="0" w:line="186"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0171B9"/>
        </w:rPr>
        <w:t>Performance Units</w:t>
      </w:r>
    </w:p>
    <w:p>
      <w:pPr>
        <w:spacing w:after="0" w:line="111" w:lineRule="exact"/>
        <w:rPr>
          <w:sz w:val="20"/>
          <w:szCs w:val="20"/>
          <w:color w:val="auto"/>
        </w:rPr>
      </w:pPr>
    </w:p>
    <w:p>
      <w:pPr>
        <w:jc w:val="both"/>
        <w:ind w:left="6"/>
        <w:spacing w:after="0" w:line="234" w:lineRule="auto"/>
        <w:rPr>
          <w:sz w:val="20"/>
          <w:szCs w:val="20"/>
          <w:color w:val="auto"/>
        </w:rPr>
      </w:pPr>
      <w:r>
        <w:rPr>
          <w:rFonts w:ascii="Arial" w:cs="Arial" w:eastAsia="Arial" w:hAnsi="Arial"/>
          <w:sz w:val="17"/>
          <w:szCs w:val="17"/>
          <w:color w:val="auto"/>
        </w:rPr>
        <w:t>Performance units are generally forfeited unless a participant is continuously employed through the last business day of the performance period. The underlying principle is that the participant needs to have been an active employee during the entire performance period in order to have contributed to the results on which the earned awards are based. Exceptions to this treatment are a termination of employment in connection with a change of control or the death, disability, or retirement of a participant.</w:t>
      </w:r>
    </w:p>
    <w:p>
      <w:pPr>
        <w:spacing w:after="0" w:line="77" w:lineRule="exact"/>
        <w:rPr>
          <w:sz w:val="20"/>
          <w:szCs w:val="20"/>
          <w:color w:val="auto"/>
        </w:rPr>
      </w:pPr>
    </w:p>
    <w:p>
      <w:pPr>
        <w:jc w:val="both"/>
        <w:ind w:left="6"/>
        <w:spacing w:after="0" w:line="234" w:lineRule="auto"/>
        <w:rPr>
          <w:sz w:val="20"/>
          <w:szCs w:val="20"/>
          <w:color w:val="auto"/>
        </w:rPr>
      </w:pPr>
      <w:r>
        <w:rPr>
          <w:rFonts w:ascii="Arial" w:cs="Arial" w:eastAsia="Arial" w:hAnsi="Arial"/>
          <w:sz w:val="17"/>
          <w:szCs w:val="17"/>
          <w:i w:val="1"/>
          <w:iCs w:val="1"/>
          <w:color w:val="0171B9"/>
        </w:rPr>
        <w:t xml:space="preserve">Change of Control. </w:t>
      </w:r>
      <w:r>
        <w:rPr>
          <w:rFonts w:ascii="Arial" w:cs="Arial" w:eastAsia="Arial" w:hAnsi="Arial"/>
          <w:sz w:val="17"/>
          <w:szCs w:val="17"/>
          <w:color w:val="000000"/>
        </w:rPr>
        <w:t>Generally, with respect to grants of outstanding</w:t>
      </w:r>
      <w:r>
        <w:rPr>
          <w:rFonts w:ascii="Arial" w:cs="Arial" w:eastAsia="Arial" w:hAnsi="Arial"/>
          <w:sz w:val="17"/>
          <w:szCs w:val="17"/>
          <w:i w:val="1"/>
          <w:iCs w:val="1"/>
          <w:color w:val="0171B9"/>
        </w:rPr>
        <w:t xml:space="preserve"> </w:t>
      </w:r>
      <w:r>
        <w:rPr>
          <w:rFonts w:ascii="Arial" w:cs="Arial" w:eastAsia="Arial" w:hAnsi="Arial"/>
          <w:sz w:val="17"/>
          <w:szCs w:val="17"/>
          <w:color w:val="000000"/>
        </w:rPr>
        <w:t>performance units, the performance period terminates as of the last business day of the last completed fiscal quarter preceding the change of control. The TSR market condition performance is based on: (A) our TSR performance for which our ending Common Stock price is computed on the greater of (i) the average daily closing price of our Common Stock for the last twenty (20) trading days of such shortened period, or (ii) the value of consideration paid for a share of our Common Stock in the change of control (whether such consideration is paid in cash, stock or other property, or any combination thereof); and</w:t>
      </w:r>
    </w:p>
    <w:p>
      <w:pPr>
        <w:spacing w:after="0" w:line="2" w:lineRule="exact"/>
        <w:rPr>
          <w:sz w:val="20"/>
          <w:szCs w:val="20"/>
          <w:color w:val="auto"/>
        </w:rPr>
      </w:pPr>
    </w:p>
    <w:p>
      <w:pPr>
        <w:jc w:val="both"/>
        <w:ind w:left="6" w:hanging="6"/>
        <w:spacing w:after="0" w:line="233" w:lineRule="auto"/>
        <w:tabs>
          <w:tab w:leader="none" w:pos="29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TSR performance of the companies in the applicable reference group based on such companies’ average daily closing stock price for the last twenty (20) trading days of such shortened performance period. With respect to the operating performance measures, if the change of control occurs: (i) during the first fiscal year of the performance period, target levels of performance shall be used to calculate the payment; and (ii) subsequent to the first fiscal year of the performance period, actual levels of performance for completed fiscal year(s) shall be used to calculate the payment. In the event of a change of control during the first six months of the performance period, however, the participant is entitled to a payment equal to an amount calculated in the manner described above, but pro-rated for the number of complete months elapsed during the shortened performance period.</w:t>
      </w:r>
    </w:p>
    <w:p>
      <w:pPr>
        <w:spacing w:after="0" w:line="80" w:lineRule="exact"/>
        <w:rPr>
          <w:sz w:val="20"/>
          <w:szCs w:val="20"/>
          <w:color w:val="auto"/>
        </w:rPr>
      </w:pPr>
    </w:p>
    <w:p>
      <w:pPr>
        <w:jc w:val="both"/>
        <w:ind w:left="6"/>
        <w:spacing w:after="0"/>
        <w:rPr>
          <w:sz w:val="20"/>
          <w:szCs w:val="20"/>
          <w:color w:val="auto"/>
        </w:rPr>
      </w:pPr>
      <w:r>
        <w:rPr>
          <w:rFonts w:ascii="Arial" w:cs="Arial" w:eastAsia="Arial" w:hAnsi="Arial"/>
          <w:sz w:val="17"/>
          <w:szCs w:val="17"/>
          <w:i w:val="1"/>
          <w:iCs w:val="1"/>
          <w:color w:val="0171B9"/>
        </w:rPr>
        <w:t xml:space="preserve">Death or Disability. </w:t>
      </w:r>
      <w:r>
        <w:rPr>
          <w:rFonts w:ascii="Arial" w:cs="Arial" w:eastAsia="Arial" w:hAnsi="Arial"/>
          <w:sz w:val="17"/>
          <w:szCs w:val="17"/>
          <w:color w:val="000000"/>
        </w:rPr>
        <w:t>For all performance unit grants made in calendar</w:t>
      </w:r>
      <w:r>
        <w:rPr>
          <w:rFonts w:ascii="Arial" w:cs="Arial" w:eastAsia="Arial" w:hAnsi="Arial"/>
          <w:sz w:val="17"/>
          <w:szCs w:val="17"/>
          <w:i w:val="1"/>
          <w:iCs w:val="1"/>
          <w:color w:val="0171B9"/>
        </w:rPr>
        <w:t xml:space="preserve"> </w:t>
      </w:r>
      <w:r>
        <w:rPr>
          <w:rFonts w:ascii="Arial" w:cs="Arial" w:eastAsia="Arial" w:hAnsi="Arial"/>
          <w:sz w:val="17"/>
          <w:szCs w:val="17"/>
          <w:color w:val="000000"/>
        </w:rPr>
        <w:t>years prior to the year death or disability occurs, the participant will be paid the full amount of the award he or she would be otherwise entitled to, if any, as determined at the end of the performance period. For a performance unit grant made in the calendar year in which death or disability occurs, a participant will be paid a pro-rata amount of the award he or she would otherwise be entitled to, if any, as determined at the end of the performance period, based upon the number of complete months of employment in the calendar year such event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-162560</wp:posOffset>
            </wp:positionV>
            <wp:extent cx="582930" cy="13716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2">
            <w:col w:w="5400" w:space="334"/>
            <w:col w:w="5406"/>
          </w:cols>
          <w:pgMar w:left="320" w:top="486" w:right="4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Executive Compensation Tables</w:t>
      </w:r>
    </w:p>
    <w:p>
      <w:pPr>
        <w:sectPr>
          <w:pgSz w:w="11900" w:h="16838" w:orient="portrait"/>
          <w:cols w:equalWidth="0" w:num="1">
            <w:col w:w="11140"/>
          </w:cols>
          <w:pgMar w:left="320" w:top="486" w:right="439" w:bottom="919" w:gutter="0" w:footer="0" w:header="0"/>
        </w:sectPr>
      </w:pPr>
    </w:p>
    <w:p>
      <w:pPr>
        <w:spacing w:after="0" w:line="200" w:lineRule="exact"/>
        <w:rPr>
          <w:sz w:val="20"/>
          <w:szCs w:val="20"/>
          <w:color w:val="auto"/>
        </w:rPr>
      </w:pPr>
    </w:p>
    <w:p>
      <w:pPr>
        <w:spacing w:after="0" w:line="203" w:lineRule="exact"/>
        <w:rPr>
          <w:sz w:val="20"/>
          <w:szCs w:val="20"/>
          <w:color w:val="auto"/>
        </w:rPr>
      </w:pPr>
    </w:p>
    <w:p>
      <w:pPr>
        <w:jc w:val="both"/>
        <w:ind w:left="120"/>
        <w:spacing w:after="0" w:line="237" w:lineRule="auto"/>
        <w:rPr>
          <w:sz w:val="20"/>
          <w:szCs w:val="20"/>
          <w:color w:val="auto"/>
        </w:rPr>
      </w:pPr>
      <w:r>
        <w:rPr>
          <w:rFonts w:ascii="Arial" w:cs="Arial" w:eastAsia="Arial" w:hAnsi="Arial"/>
          <w:sz w:val="17"/>
          <w:szCs w:val="17"/>
          <w:i w:val="1"/>
          <w:iCs w:val="1"/>
          <w:color w:val="0171B9"/>
        </w:rPr>
        <w:t xml:space="preserve">Retirement. </w:t>
      </w:r>
      <w:r>
        <w:rPr>
          <w:rFonts w:ascii="Arial" w:cs="Arial" w:eastAsia="Arial" w:hAnsi="Arial"/>
          <w:sz w:val="17"/>
          <w:szCs w:val="17"/>
          <w:color w:val="000000"/>
        </w:rPr>
        <w:t>In the event of retirement of a participant who is a</w:t>
      </w:r>
      <w:r>
        <w:rPr>
          <w:rFonts w:ascii="Arial" w:cs="Arial" w:eastAsia="Arial" w:hAnsi="Arial"/>
          <w:sz w:val="17"/>
          <w:szCs w:val="17"/>
          <w:i w:val="1"/>
          <w:iCs w:val="1"/>
          <w:color w:val="0171B9"/>
        </w:rPr>
        <w:t xml:space="preserve"> </w:t>
      </w:r>
      <w:r>
        <w:rPr>
          <w:rFonts w:ascii="Arial" w:cs="Arial" w:eastAsia="Arial" w:hAnsi="Arial"/>
          <w:sz w:val="17"/>
          <w:szCs w:val="17"/>
          <w:color w:val="000000"/>
        </w:rPr>
        <w:t>retirement-eligible participant, for performance unit grants made in calendar years prior to the year in which retirement occurs, the participant will be paid the full amount of the award he or she would be otherwise entitled to, if any, as determined at the end of the performance period. If a retirement-eligible participant receives a performance unit grant in the calendar year such retirement occurs, the</w:t>
      </w:r>
    </w:p>
    <w:p>
      <w:pPr>
        <w:spacing w:after="0" w:line="3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Estimated Potential Payments</w:t>
      </w:r>
    </w:p>
    <w:p>
      <w:pPr>
        <w:spacing w:after="0" w:line="192" w:lineRule="exact"/>
        <w:rPr>
          <w:sz w:val="20"/>
          <w:szCs w:val="20"/>
          <w:color w:val="auto"/>
        </w:rPr>
      </w:pPr>
    </w:p>
    <w:p>
      <w:pPr>
        <w:jc w:val="both"/>
        <w:ind w:left="120"/>
        <w:spacing w:after="0" w:line="232" w:lineRule="auto"/>
        <w:rPr>
          <w:sz w:val="20"/>
          <w:szCs w:val="20"/>
          <w:color w:val="auto"/>
        </w:rPr>
      </w:pPr>
      <w:r>
        <w:rPr>
          <w:rFonts w:ascii="Arial" w:cs="Arial" w:eastAsia="Arial" w:hAnsi="Arial"/>
          <w:sz w:val="17"/>
          <w:szCs w:val="17"/>
          <w:color w:val="auto"/>
        </w:rPr>
        <w:t>The tables below set forth the estimated current value of payments and benefits: (i) to each of our NEOs upon a change of control, upon a qualifying termination within two years following a change of control, or upon death or disability; (ii) to Mr. Bradway, Dr. Reese, and Mr. Santos upon retirement. All amounts shown in the tables below assume that the triggering events occurred on December 31, 2022 and do not include: (i) the 2020-2022 performance unit awards and the 2022 EIP payouts, which were earned as of December 31, 2022;</w:t>
      </w:r>
    </w:p>
    <w:p>
      <w:pPr>
        <w:jc w:val="both"/>
        <w:ind w:left="120" w:hanging="4"/>
        <w:spacing w:after="0" w:line="234" w:lineRule="auto"/>
        <w:tabs>
          <w:tab w:leader="none" w:pos="3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other benefits earned during the term of our NEO’s employment that are available to all salaried staff members, such as accrued vacation; (iii) benefits paid by insurance providers under life and disability policies; and (iv) benefits previously accrued and vested under the SRP and the NDCP. For information on the accrued amounts payable under these plans, see the “Nonqualified Deferred Compensation”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participant will be paid a pro-rata amount of the award he or she would be otherwise entitled to, if any, as determined at the end of the performance period, based upon the number of complete months of employment during the calendar year such retirement occurs. Mr. Bradway, Dr. Reese, and Mr. Santos are each a retirement-eligible participant and eligible to receive this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above. The actual amounts of payments and benefits that would be provided can only be determined at the time of a change of control and/or the NEO’s separation from the Company. In accordance with SEC rules, the value of accelerated equity awards shown in the tables below was calculated using the closing price of our Common Stock on December 31, 2022 ($262.64). The amounts shown for accelerated stock options is the difference between the closing price at December 31, 2022 ($262.64), and the exercise price of unvested stock options, multiplied by the number of unvested stock options. The value per unit of accelerated RSUs and performance units, including the related accrued dividend equivalents (rounded down to the nearest whole number of units), equals the closing price at December 31, 2022 ($262.64) multiplied by the number of units and dividend equivalents vested or earned, as applicable, as a result of such event.</w:t>
      </w:r>
    </w:p>
    <w:p>
      <w:pPr>
        <w:spacing w:after="0" w:line="389" w:lineRule="exact"/>
        <w:rPr>
          <w:sz w:val="20"/>
          <w:szCs w:val="20"/>
          <w:color w:val="auto"/>
        </w:rPr>
      </w:pPr>
    </w:p>
    <w:p>
      <w:pPr>
        <w:sectPr>
          <w:pgSz w:w="11900" w:h="16838" w:orient="portrait"/>
          <w:cols w:equalWidth="0" w:num="2">
            <w:col w:w="5400" w:space="340"/>
            <w:col w:w="5400"/>
          </w:cols>
          <w:pgMar w:left="320" w:top="486" w:right="439" w:bottom="919" w:gutter="0" w:footer="0" w:header="0"/>
          <w:type w:val="continuous"/>
        </w:sectPr>
      </w:pP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i w:val="1"/>
          <w:iCs w:val="1"/>
          <w:color w:val="auto"/>
        </w:rPr>
        <w:t>Estimated Payments to Robert A. Bradway</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880" w:type="dxa"/>
            <w:vAlign w:val="bottom"/>
            <w:shd w:val="clear" w:color="auto" w:fill="0171B9"/>
          </w:tcPr>
          <w:p>
            <w:pPr>
              <w:spacing w:after="0"/>
              <w:rPr>
                <w:sz w:val="16"/>
                <w:szCs w:val="16"/>
                <w:color w:val="auto"/>
              </w:rPr>
            </w:pPr>
          </w:p>
        </w:tc>
        <w:tc>
          <w:tcPr>
            <w:tcW w:w="1220" w:type="dxa"/>
            <w:vAlign w:val="bottom"/>
            <w:shd w:val="clear" w:color="auto" w:fill="0171B9"/>
          </w:tcPr>
          <w:p>
            <w:pPr>
              <w:spacing w:after="0"/>
              <w:rPr>
                <w:sz w:val="16"/>
                <w:szCs w:val="16"/>
                <w:color w:val="auto"/>
              </w:rPr>
            </w:pPr>
          </w:p>
        </w:tc>
        <w:tc>
          <w:tcPr>
            <w:tcW w:w="3500" w:type="dxa"/>
            <w:vAlign w:val="bottom"/>
            <w:gridSpan w:val="2"/>
            <w:shd w:val="clear" w:color="auto" w:fill="0171B9"/>
          </w:tcPr>
          <w:p>
            <w:pPr>
              <w:jc w:val="right"/>
              <w:ind w:right="999"/>
              <w:spacing w:after="0"/>
              <w:rPr>
                <w:sz w:val="20"/>
                <w:szCs w:val="20"/>
                <w:color w:val="auto"/>
              </w:rPr>
            </w:pPr>
            <w:r>
              <w:rPr>
                <w:rFonts w:ascii="Arial" w:cs="Arial" w:eastAsia="Arial" w:hAnsi="Arial"/>
                <w:sz w:val="16"/>
                <w:szCs w:val="16"/>
                <w:b w:val="1"/>
                <w:bCs w:val="1"/>
                <w:color w:val="FFFFFF"/>
              </w:rPr>
              <w:t>Triggering Event</w:t>
            </w:r>
          </w:p>
        </w:tc>
        <w:tc>
          <w:tcPr>
            <w:tcW w:w="1420" w:type="dxa"/>
            <w:vAlign w:val="bottom"/>
            <w:shd w:val="clear" w:color="auto" w:fill="0171B9"/>
          </w:tcPr>
          <w:p>
            <w:pPr>
              <w:spacing w:after="0"/>
              <w:rPr>
                <w:sz w:val="16"/>
                <w:szCs w:val="16"/>
                <w:color w:val="auto"/>
              </w:rPr>
            </w:pPr>
          </w:p>
        </w:tc>
      </w:tr>
      <w:tr>
        <w:trPr>
          <w:trHeight w:val="184"/>
        </w:trPr>
        <w:tc>
          <w:tcPr>
            <w:tcW w:w="4880" w:type="dxa"/>
            <w:vAlign w:val="bottom"/>
            <w:shd w:val="clear" w:color="auto" w:fill="0171B9"/>
          </w:tcPr>
          <w:p>
            <w:pPr>
              <w:spacing w:after="0"/>
              <w:rPr>
                <w:sz w:val="16"/>
                <w:szCs w:val="16"/>
                <w:color w:val="auto"/>
              </w:rPr>
            </w:pPr>
          </w:p>
        </w:tc>
        <w:tc>
          <w:tcPr>
            <w:tcW w:w="1220" w:type="dxa"/>
            <w:vAlign w:val="bottom"/>
            <w:shd w:val="clear" w:color="auto" w:fill="0171B9"/>
          </w:tcPr>
          <w:p>
            <w:pPr>
              <w:spacing w:after="0"/>
              <w:rPr>
                <w:sz w:val="16"/>
                <w:szCs w:val="16"/>
                <w:color w:val="auto"/>
              </w:rPr>
            </w:pPr>
          </w:p>
        </w:tc>
        <w:tc>
          <w:tcPr>
            <w:tcW w:w="1700" w:type="dxa"/>
            <w:vAlign w:val="bottom"/>
            <w:shd w:val="clear" w:color="auto" w:fill="0171B9"/>
          </w:tcPr>
          <w:p>
            <w:pPr>
              <w:jc w:val="right"/>
              <w:ind w:right="359"/>
              <w:spacing w:after="0"/>
              <w:rPr>
                <w:sz w:val="20"/>
                <w:szCs w:val="20"/>
                <w:color w:val="auto"/>
              </w:rPr>
            </w:pPr>
            <w:r>
              <w:rPr>
                <w:rFonts w:ascii="Arial" w:cs="Arial" w:eastAsia="Arial" w:hAnsi="Arial"/>
                <w:sz w:val="16"/>
                <w:szCs w:val="16"/>
                <w:b w:val="1"/>
                <w:bCs w:val="1"/>
                <w:color w:val="FFFFFF"/>
              </w:rPr>
              <w:t>Change in</w:t>
            </w:r>
          </w:p>
        </w:tc>
        <w:tc>
          <w:tcPr>
            <w:tcW w:w="1800" w:type="dxa"/>
            <w:vAlign w:val="bottom"/>
            <w:shd w:val="clear" w:color="auto" w:fill="0171B9"/>
          </w:tcPr>
          <w:p>
            <w:pPr>
              <w:spacing w:after="0"/>
              <w:rPr>
                <w:sz w:val="16"/>
                <w:szCs w:val="16"/>
                <w:color w:val="auto"/>
              </w:rPr>
            </w:pPr>
          </w:p>
        </w:tc>
        <w:tc>
          <w:tcPr>
            <w:tcW w:w="1420" w:type="dxa"/>
            <w:vAlign w:val="bottom"/>
            <w:shd w:val="clear" w:color="auto" w:fill="0171B9"/>
          </w:tcPr>
          <w:p>
            <w:pPr>
              <w:spacing w:after="0"/>
              <w:rPr>
                <w:sz w:val="16"/>
                <w:szCs w:val="16"/>
                <w:color w:val="auto"/>
              </w:rPr>
            </w:pPr>
          </w:p>
        </w:tc>
      </w:tr>
      <w:tr>
        <w:trPr>
          <w:trHeight w:val="189"/>
        </w:trPr>
        <w:tc>
          <w:tcPr>
            <w:tcW w:w="4880" w:type="dxa"/>
            <w:vAlign w:val="bottom"/>
            <w:shd w:val="clear" w:color="auto" w:fill="0171B9"/>
          </w:tcPr>
          <w:p>
            <w:pPr>
              <w:spacing w:after="0"/>
              <w:rPr>
                <w:sz w:val="16"/>
                <w:szCs w:val="16"/>
                <w:color w:val="auto"/>
              </w:rPr>
            </w:pPr>
          </w:p>
        </w:tc>
        <w:tc>
          <w:tcPr>
            <w:tcW w:w="1220" w:type="dxa"/>
            <w:vAlign w:val="bottom"/>
            <w:shd w:val="clear" w:color="auto" w:fill="0171B9"/>
          </w:tcPr>
          <w:p>
            <w:pPr>
              <w:jc w:val="right"/>
              <w:ind w:right="199"/>
              <w:spacing w:after="0"/>
              <w:rPr>
                <w:sz w:val="20"/>
                <w:szCs w:val="20"/>
                <w:color w:val="auto"/>
              </w:rPr>
            </w:pPr>
            <w:r>
              <w:rPr>
                <w:rFonts w:ascii="Arial" w:cs="Arial" w:eastAsia="Arial" w:hAnsi="Arial"/>
                <w:sz w:val="16"/>
                <w:szCs w:val="16"/>
                <w:b w:val="1"/>
                <w:bCs w:val="1"/>
                <w:color w:val="FFFFFF"/>
              </w:rPr>
              <w:t>Change in</w:t>
            </w:r>
          </w:p>
        </w:tc>
        <w:tc>
          <w:tcPr>
            <w:tcW w:w="1700" w:type="dxa"/>
            <w:vAlign w:val="bottom"/>
            <w:shd w:val="clear" w:color="auto" w:fill="0171B9"/>
          </w:tcPr>
          <w:p>
            <w:pPr>
              <w:jc w:val="right"/>
              <w:ind w:right="359"/>
              <w:spacing w:after="0"/>
              <w:rPr>
                <w:sz w:val="20"/>
                <w:szCs w:val="20"/>
                <w:color w:val="auto"/>
              </w:rPr>
            </w:pPr>
            <w:r>
              <w:rPr>
                <w:rFonts w:ascii="Arial" w:cs="Arial" w:eastAsia="Arial" w:hAnsi="Arial"/>
                <w:sz w:val="16"/>
                <w:szCs w:val="16"/>
                <w:b w:val="1"/>
                <w:bCs w:val="1"/>
                <w:color w:val="FFFFFF"/>
              </w:rPr>
              <w:t>Control and</w:t>
            </w:r>
          </w:p>
        </w:tc>
        <w:tc>
          <w:tcPr>
            <w:tcW w:w="1800" w:type="dxa"/>
            <w:vAlign w:val="bottom"/>
            <w:shd w:val="clear" w:color="auto" w:fill="0171B9"/>
          </w:tcPr>
          <w:p>
            <w:pPr>
              <w:spacing w:after="0"/>
              <w:rPr>
                <w:sz w:val="16"/>
                <w:szCs w:val="16"/>
                <w:color w:val="auto"/>
              </w:rPr>
            </w:pPr>
          </w:p>
        </w:tc>
        <w:tc>
          <w:tcPr>
            <w:tcW w:w="142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Death or</w:t>
            </w:r>
          </w:p>
        </w:tc>
      </w:tr>
      <w:tr>
        <w:trPr>
          <w:trHeight w:val="221"/>
        </w:trPr>
        <w:tc>
          <w:tcPr>
            <w:tcW w:w="4880" w:type="dxa"/>
            <w:vAlign w:val="bottom"/>
            <w:shd w:val="clear" w:color="auto" w:fill="0171B9"/>
          </w:tcPr>
          <w:p>
            <w:pPr>
              <w:spacing w:after="0"/>
              <w:rPr>
                <w:sz w:val="19"/>
                <w:szCs w:val="19"/>
                <w:color w:val="auto"/>
              </w:rPr>
            </w:pPr>
          </w:p>
        </w:tc>
        <w:tc>
          <w:tcPr>
            <w:tcW w:w="1220" w:type="dxa"/>
            <w:vAlign w:val="bottom"/>
            <w:shd w:val="clear" w:color="auto" w:fill="0171B9"/>
          </w:tcPr>
          <w:p>
            <w:pPr>
              <w:jc w:val="right"/>
              <w:ind w:right="199"/>
              <w:spacing w:after="0"/>
              <w:rPr>
                <w:sz w:val="20"/>
                <w:szCs w:val="20"/>
                <w:color w:val="auto"/>
              </w:rPr>
            </w:pPr>
            <w:r>
              <w:rPr>
                <w:rFonts w:ascii="Arial" w:cs="Arial" w:eastAsia="Arial" w:hAnsi="Arial"/>
                <w:sz w:val="16"/>
                <w:szCs w:val="16"/>
                <w:b w:val="1"/>
                <w:bCs w:val="1"/>
                <w:color w:val="FFFFFF"/>
              </w:rPr>
              <w:t>Control($)</w:t>
            </w:r>
          </w:p>
        </w:tc>
        <w:tc>
          <w:tcPr>
            <w:tcW w:w="1700" w:type="dxa"/>
            <w:vAlign w:val="bottom"/>
            <w:shd w:val="clear" w:color="auto" w:fill="0171B9"/>
          </w:tcPr>
          <w:p>
            <w:pPr>
              <w:jc w:val="right"/>
              <w:ind w:right="359"/>
              <w:spacing w:after="0"/>
              <w:rPr>
                <w:sz w:val="20"/>
                <w:szCs w:val="20"/>
                <w:color w:val="auto"/>
              </w:rPr>
            </w:pPr>
            <w:r>
              <w:rPr>
                <w:rFonts w:ascii="Arial" w:cs="Arial" w:eastAsia="Arial" w:hAnsi="Arial"/>
                <w:sz w:val="16"/>
                <w:szCs w:val="16"/>
                <w:b w:val="1"/>
                <w:bCs w:val="1"/>
                <w:color w:val="FFFFFF"/>
              </w:rPr>
              <w:t>Termination($)</w:t>
            </w:r>
          </w:p>
        </w:tc>
        <w:tc>
          <w:tcPr>
            <w:tcW w:w="1800" w:type="dxa"/>
            <w:vAlign w:val="bottom"/>
            <w:shd w:val="clear" w:color="auto" w:fill="0171B9"/>
          </w:tcPr>
          <w:p>
            <w:pPr>
              <w:jc w:val="right"/>
              <w:ind w:right="379"/>
              <w:spacing w:after="0"/>
              <w:rPr>
                <w:sz w:val="20"/>
                <w:szCs w:val="20"/>
                <w:color w:val="auto"/>
              </w:rPr>
            </w:pPr>
            <w:r>
              <w:rPr>
                <w:rFonts w:ascii="Arial" w:cs="Arial" w:eastAsia="Arial" w:hAnsi="Arial"/>
                <w:sz w:val="16"/>
                <w:szCs w:val="16"/>
                <w:b w:val="1"/>
                <w:bCs w:val="1"/>
                <w:color w:val="FFFFFF"/>
              </w:rPr>
              <w:t>Retirement($)</w:t>
            </w:r>
          </w:p>
        </w:tc>
        <w:tc>
          <w:tcPr>
            <w:tcW w:w="142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Disability($)</w:t>
            </w:r>
          </w:p>
        </w:tc>
      </w:tr>
      <w:tr>
        <w:trPr>
          <w:trHeight w:val="290"/>
        </w:trPr>
        <w:tc>
          <w:tcPr>
            <w:tcW w:w="488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6"/>
                <w:szCs w:val="16"/>
                <w:color w:val="auto"/>
              </w:rPr>
              <w:t>Lump sum cash severance payment</w:t>
            </w:r>
          </w:p>
        </w:tc>
        <w:tc>
          <w:tcPr>
            <w:tcW w:w="1220" w:type="dxa"/>
            <w:vAlign w:val="bottom"/>
            <w:tcBorders>
              <w:bottom w:val="single" w:sz="8" w:color="CCE2F1"/>
            </w:tcBorders>
            <w:shd w:val="clear" w:color="auto" w:fill="CCE2F1"/>
          </w:tcPr>
          <w:p>
            <w:pPr>
              <w:jc w:val="right"/>
              <w:ind w:right="199"/>
              <w:spacing w:after="0"/>
              <w:rPr>
                <w:sz w:val="20"/>
                <w:szCs w:val="20"/>
                <w:color w:val="auto"/>
              </w:rPr>
            </w:pPr>
            <w:r>
              <w:rPr>
                <w:rFonts w:ascii="Arial" w:cs="Arial" w:eastAsia="Arial" w:hAnsi="Arial"/>
                <w:sz w:val="16"/>
                <w:szCs w:val="16"/>
                <w:color w:val="auto"/>
              </w:rPr>
              <w:t>0</w:t>
            </w:r>
          </w:p>
        </w:tc>
        <w:tc>
          <w:tcPr>
            <w:tcW w:w="1700" w:type="dxa"/>
            <w:vAlign w:val="bottom"/>
            <w:tcBorders>
              <w:bottom w:val="single" w:sz="8" w:color="CCE2F1"/>
            </w:tcBorders>
            <w:shd w:val="clear" w:color="auto" w:fill="CCE2F1"/>
          </w:tcPr>
          <w:p>
            <w:pPr>
              <w:jc w:val="right"/>
              <w:ind w:right="359"/>
              <w:spacing w:after="0"/>
              <w:rPr>
                <w:sz w:val="20"/>
                <w:szCs w:val="20"/>
                <w:color w:val="auto"/>
              </w:rPr>
            </w:pPr>
            <w:r>
              <w:rPr>
                <w:rFonts w:ascii="Arial" w:cs="Arial" w:eastAsia="Arial" w:hAnsi="Arial"/>
                <w:sz w:val="16"/>
                <w:szCs w:val="16"/>
                <w:color w:val="auto"/>
              </w:rPr>
              <w:t>8,656,500</w:t>
            </w:r>
          </w:p>
        </w:tc>
        <w:tc>
          <w:tcPr>
            <w:tcW w:w="1800" w:type="dxa"/>
            <w:vAlign w:val="bottom"/>
            <w:tcBorders>
              <w:bottom w:val="single" w:sz="8" w:color="CCE2F1"/>
            </w:tcBorders>
            <w:shd w:val="clear" w:color="auto" w:fill="CCE2F1"/>
          </w:tcPr>
          <w:p>
            <w:pPr>
              <w:jc w:val="right"/>
              <w:ind w:right="379"/>
              <w:spacing w:after="0"/>
              <w:rPr>
                <w:sz w:val="20"/>
                <w:szCs w:val="20"/>
                <w:color w:val="auto"/>
              </w:rPr>
            </w:pPr>
            <w:r>
              <w:rPr>
                <w:rFonts w:ascii="Arial" w:cs="Arial" w:eastAsia="Arial" w:hAnsi="Arial"/>
                <w:sz w:val="16"/>
                <w:szCs w:val="16"/>
                <w:color w:val="auto"/>
              </w:rPr>
              <w:t>0</w:t>
            </w:r>
          </w:p>
        </w:tc>
        <w:tc>
          <w:tcPr>
            <w:tcW w:w="142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0</w:t>
            </w:r>
          </w:p>
        </w:tc>
      </w:tr>
      <w:tr>
        <w:trPr>
          <w:trHeight w:val="250"/>
        </w:trPr>
        <w:tc>
          <w:tcPr>
            <w:tcW w:w="4880" w:type="dxa"/>
            <w:vAlign w:val="bottom"/>
          </w:tcPr>
          <w:p>
            <w:pPr>
              <w:ind w:left="80"/>
              <w:spacing w:after="0"/>
              <w:rPr>
                <w:sz w:val="20"/>
                <w:szCs w:val="20"/>
                <w:color w:val="auto"/>
              </w:rPr>
            </w:pPr>
            <w:r>
              <w:rPr>
                <w:rFonts w:ascii="Arial" w:cs="Arial" w:eastAsia="Arial" w:hAnsi="Arial"/>
                <w:sz w:val="16"/>
                <w:szCs w:val="16"/>
                <w:color w:val="auto"/>
              </w:rPr>
              <w:t>Intrinsic value of accelerated unvested stock options</w:t>
            </w: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12,016,418</w:t>
            </w:r>
          </w:p>
        </w:tc>
        <w:tc>
          <w:tcPr>
            <w:tcW w:w="1800" w:type="dxa"/>
            <w:vAlign w:val="bottom"/>
          </w:tcPr>
          <w:p>
            <w:pPr>
              <w:jc w:val="right"/>
              <w:ind w:right="379"/>
              <w:spacing w:after="0"/>
              <w:rPr>
                <w:sz w:val="20"/>
                <w:szCs w:val="20"/>
                <w:color w:val="auto"/>
              </w:rPr>
            </w:pPr>
            <w:r>
              <w:rPr>
                <w:rFonts w:ascii="Arial" w:cs="Arial" w:eastAsia="Arial" w:hAnsi="Arial"/>
                <w:sz w:val="16"/>
                <w:szCs w:val="16"/>
                <w:color w:val="auto"/>
              </w:rPr>
              <w:t>12,016,418</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12,016,418</w:t>
            </w:r>
          </w:p>
        </w:tc>
      </w:tr>
      <w:tr>
        <w:trPr>
          <w:trHeight w:val="60"/>
        </w:trPr>
        <w:tc>
          <w:tcPr>
            <w:tcW w:w="4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420" w:type="dxa"/>
            <w:vAlign w:val="bottom"/>
          </w:tcPr>
          <w:p>
            <w:pPr>
              <w:spacing w:after="0"/>
              <w:rPr>
                <w:sz w:val="5"/>
                <w:szCs w:val="5"/>
                <w:color w:val="auto"/>
              </w:rPr>
            </w:pPr>
          </w:p>
        </w:tc>
      </w:tr>
      <w:tr>
        <w:trPr>
          <w:trHeight w:val="290"/>
        </w:trPr>
        <w:tc>
          <w:tcPr>
            <w:tcW w:w="488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6"/>
                <w:szCs w:val="16"/>
                <w:color w:val="auto"/>
              </w:rPr>
              <w:t>Intrinsic value of accelerated unvested RSUs</w:t>
            </w:r>
          </w:p>
        </w:tc>
        <w:tc>
          <w:tcPr>
            <w:tcW w:w="1220" w:type="dxa"/>
            <w:vAlign w:val="bottom"/>
            <w:tcBorders>
              <w:bottom w:val="single" w:sz="8" w:color="CCE2F1"/>
            </w:tcBorders>
            <w:shd w:val="clear" w:color="auto" w:fill="CCE2F1"/>
          </w:tcPr>
          <w:p>
            <w:pPr>
              <w:jc w:val="right"/>
              <w:ind w:right="199"/>
              <w:spacing w:after="0"/>
              <w:rPr>
                <w:sz w:val="20"/>
                <w:szCs w:val="20"/>
                <w:color w:val="auto"/>
              </w:rPr>
            </w:pPr>
            <w:r>
              <w:rPr>
                <w:rFonts w:ascii="Arial" w:cs="Arial" w:eastAsia="Arial" w:hAnsi="Arial"/>
                <w:sz w:val="16"/>
                <w:szCs w:val="16"/>
                <w:color w:val="auto"/>
              </w:rPr>
              <w:t>0</w:t>
            </w:r>
          </w:p>
        </w:tc>
        <w:tc>
          <w:tcPr>
            <w:tcW w:w="1700" w:type="dxa"/>
            <w:vAlign w:val="bottom"/>
            <w:tcBorders>
              <w:bottom w:val="single" w:sz="8" w:color="CCE2F1"/>
            </w:tcBorders>
            <w:shd w:val="clear" w:color="auto" w:fill="CCE2F1"/>
          </w:tcPr>
          <w:p>
            <w:pPr>
              <w:jc w:val="right"/>
              <w:ind w:right="359"/>
              <w:spacing w:after="0"/>
              <w:rPr>
                <w:sz w:val="20"/>
                <w:szCs w:val="20"/>
                <w:color w:val="auto"/>
              </w:rPr>
            </w:pPr>
            <w:r>
              <w:rPr>
                <w:rFonts w:ascii="Arial" w:cs="Arial" w:eastAsia="Arial" w:hAnsi="Arial"/>
                <w:sz w:val="16"/>
                <w:szCs w:val="16"/>
                <w:color w:val="auto"/>
              </w:rPr>
              <w:t>11,290,106</w:t>
            </w:r>
          </w:p>
        </w:tc>
        <w:tc>
          <w:tcPr>
            <w:tcW w:w="1800" w:type="dxa"/>
            <w:vAlign w:val="bottom"/>
            <w:tcBorders>
              <w:bottom w:val="single" w:sz="8" w:color="CCE2F1"/>
            </w:tcBorders>
            <w:shd w:val="clear" w:color="auto" w:fill="CCE2F1"/>
          </w:tcPr>
          <w:p>
            <w:pPr>
              <w:jc w:val="right"/>
              <w:ind w:right="379"/>
              <w:spacing w:after="0"/>
              <w:rPr>
                <w:sz w:val="20"/>
                <w:szCs w:val="20"/>
                <w:color w:val="auto"/>
              </w:rPr>
            </w:pPr>
            <w:r>
              <w:rPr>
                <w:rFonts w:ascii="Arial" w:cs="Arial" w:eastAsia="Arial" w:hAnsi="Arial"/>
                <w:sz w:val="16"/>
                <w:szCs w:val="16"/>
                <w:color w:val="auto"/>
              </w:rPr>
              <w:t>11,290,106</w:t>
            </w:r>
          </w:p>
        </w:tc>
        <w:tc>
          <w:tcPr>
            <w:tcW w:w="142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11,290,106</w:t>
            </w:r>
          </w:p>
        </w:tc>
      </w:tr>
      <w:tr>
        <w:trPr>
          <w:trHeight w:val="310"/>
        </w:trPr>
        <w:tc>
          <w:tcPr>
            <w:tcW w:w="4880" w:type="dxa"/>
            <w:vAlign w:val="bottom"/>
          </w:tcPr>
          <w:p>
            <w:pPr>
              <w:ind w:left="80"/>
              <w:spacing w:after="0"/>
              <w:rPr>
                <w:sz w:val="20"/>
                <w:szCs w:val="20"/>
                <w:color w:val="auto"/>
              </w:rPr>
            </w:pPr>
            <w:r>
              <w:rPr>
                <w:rFonts w:ascii="Arial" w:cs="Arial" w:eastAsia="Arial" w:hAnsi="Arial"/>
                <w:sz w:val="16"/>
                <w:szCs w:val="16"/>
                <w:color w:val="auto"/>
              </w:rPr>
              <w:t>Value of 2022-2024 performance units</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8,635,866</w:t>
            </w:r>
            <w:r>
              <w:rPr>
                <w:rFonts w:ascii="Arial" w:cs="Arial" w:eastAsia="Arial" w:hAnsi="Arial"/>
                <w:sz w:val="24"/>
                <w:szCs w:val="24"/>
                <w:color w:val="auto"/>
                <w:vertAlign w:val="superscript"/>
              </w:rPr>
              <w:t>(1)</w:t>
            </w:r>
          </w:p>
        </w:tc>
        <w:tc>
          <w:tcPr>
            <w:tcW w:w="1700" w:type="dxa"/>
            <w:vAlign w:val="bottom"/>
          </w:tcPr>
          <w:p>
            <w:pPr>
              <w:jc w:val="right"/>
              <w:ind w:right="219"/>
              <w:spacing w:after="0"/>
              <w:rPr>
                <w:sz w:val="20"/>
                <w:szCs w:val="20"/>
                <w:color w:val="auto"/>
              </w:rPr>
            </w:pPr>
            <w:r>
              <w:rPr>
                <w:rFonts w:ascii="Arial" w:cs="Arial" w:eastAsia="Arial" w:hAnsi="Arial"/>
                <w:sz w:val="16"/>
                <w:szCs w:val="16"/>
                <w:color w:val="auto"/>
              </w:rPr>
              <w:t>8,635,866</w:t>
            </w:r>
            <w:r>
              <w:rPr>
                <w:rFonts w:ascii="Arial" w:cs="Arial" w:eastAsia="Arial" w:hAnsi="Arial"/>
                <w:sz w:val="24"/>
                <w:szCs w:val="24"/>
                <w:color w:val="auto"/>
                <w:vertAlign w:val="superscript"/>
              </w:rPr>
              <w:t>(1)</w:t>
            </w:r>
          </w:p>
        </w:tc>
        <w:tc>
          <w:tcPr>
            <w:tcW w:w="1800" w:type="dxa"/>
            <w:vAlign w:val="bottom"/>
          </w:tcPr>
          <w:p>
            <w:pPr>
              <w:jc w:val="right"/>
              <w:ind w:right="219"/>
              <w:spacing w:after="0"/>
              <w:rPr>
                <w:sz w:val="20"/>
                <w:szCs w:val="20"/>
                <w:color w:val="auto"/>
              </w:rPr>
            </w:pPr>
            <w:r>
              <w:rPr>
                <w:rFonts w:ascii="Arial" w:cs="Arial" w:eastAsia="Arial" w:hAnsi="Arial"/>
                <w:sz w:val="16"/>
                <w:szCs w:val="16"/>
                <w:color w:val="auto"/>
              </w:rPr>
              <w:t>11,269,620</w:t>
            </w:r>
            <w:r>
              <w:rPr>
                <w:rFonts w:ascii="Arial" w:cs="Arial" w:eastAsia="Arial" w:hAnsi="Arial"/>
                <w:sz w:val="24"/>
                <w:szCs w:val="24"/>
                <w:color w:val="auto"/>
                <w:vertAlign w:val="superscript"/>
              </w:rPr>
              <w:t>(2)</w:t>
            </w:r>
          </w:p>
        </w:tc>
        <w:tc>
          <w:tcPr>
            <w:tcW w:w="1420" w:type="dxa"/>
            <w:vAlign w:val="bottom"/>
          </w:tcPr>
          <w:p>
            <w:pPr>
              <w:jc w:val="right"/>
              <w:spacing w:after="0"/>
              <w:rPr>
                <w:sz w:val="20"/>
                <w:szCs w:val="20"/>
                <w:color w:val="auto"/>
              </w:rPr>
            </w:pPr>
            <w:r>
              <w:rPr>
                <w:rFonts w:ascii="Arial" w:cs="Arial" w:eastAsia="Arial" w:hAnsi="Arial"/>
                <w:sz w:val="16"/>
                <w:szCs w:val="16"/>
                <w:color w:val="auto"/>
              </w:rPr>
              <w:t>11,269,620</w:t>
            </w:r>
            <w:r>
              <w:rPr>
                <w:rFonts w:ascii="Arial" w:cs="Arial" w:eastAsia="Arial" w:hAnsi="Arial"/>
                <w:sz w:val="24"/>
                <w:szCs w:val="24"/>
                <w:color w:val="auto"/>
                <w:vertAlign w:val="superscript"/>
              </w:rPr>
              <w:t>(2)</w:t>
            </w:r>
          </w:p>
        </w:tc>
      </w:tr>
      <w:tr>
        <w:trPr>
          <w:trHeight w:val="311"/>
        </w:trPr>
        <w:tc>
          <w:tcPr>
            <w:tcW w:w="4880" w:type="dxa"/>
            <w:vAlign w:val="bottom"/>
            <w:shd w:val="clear" w:color="auto" w:fill="CCE2F1"/>
          </w:tcPr>
          <w:p>
            <w:pPr>
              <w:ind w:left="80"/>
              <w:spacing w:after="0"/>
              <w:rPr>
                <w:sz w:val="20"/>
                <w:szCs w:val="20"/>
                <w:color w:val="auto"/>
              </w:rPr>
            </w:pPr>
            <w:r>
              <w:rPr>
                <w:rFonts w:ascii="Arial" w:cs="Arial" w:eastAsia="Arial" w:hAnsi="Arial"/>
                <w:sz w:val="16"/>
                <w:szCs w:val="16"/>
                <w:color w:val="auto"/>
              </w:rPr>
              <w:t>Value of 2021-2023 performance units</w:t>
            </w:r>
          </w:p>
        </w:tc>
        <w:tc>
          <w:tcPr>
            <w:tcW w:w="1220" w:type="dxa"/>
            <w:vAlign w:val="bottom"/>
            <w:shd w:val="clear" w:color="auto" w:fill="CCE2F1"/>
          </w:tcPr>
          <w:p>
            <w:pPr>
              <w:jc w:val="right"/>
              <w:ind w:right="59"/>
              <w:spacing w:after="0"/>
              <w:rPr>
                <w:sz w:val="20"/>
                <w:szCs w:val="20"/>
                <w:color w:val="auto"/>
              </w:rPr>
            </w:pPr>
            <w:r>
              <w:rPr>
                <w:rFonts w:ascii="Arial" w:cs="Arial" w:eastAsia="Arial" w:hAnsi="Arial"/>
                <w:sz w:val="16"/>
                <w:szCs w:val="16"/>
                <w:color w:val="auto"/>
              </w:rPr>
              <w:t>9,668,566</w:t>
            </w:r>
            <w:r>
              <w:rPr>
                <w:rFonts w:ascii="Arial" w:cs="Arial" w:eastAsia="Arial" w:hAnsi="Arial"/>
                <w:sz w:val="24"/>
                <w:szCs w:val="24"/>
                <w:color w:val="auto"/>
                <w:vertAlign w:val="superscript"/>
              </w:rPr>
              <w:t>(1)</w:t>
            </w:r>
          </w:p>
        </w:tc>
        <w:tc>
          <w:tcPr>
            <w:tcW w:w="1700" w:type="dxa"/>
            <w:vAlign w:val="bottom"/>
            <w:shd w:val="clear" w:color="auto" w:fill="CCE2F1"/>
          </w:tcPr>
          <w:p>
            <w:pPr>
              <w:jc w:val="right"/>
              <w:ind w:right="219"/>
              <w:spacing w:after="0"/>
              <w:rPr>
                <w:sz w:val="20"/>
                <w:szCs w:val="20"/>
                <w:color w:val="auto"/>
              </w:rPr>
            </w:pPr>
            <w:r>
              <w:rPr>
                <w:rFonts w:ascii="Arial" w:cs="Arial" w:eastAsia="Arial" w:hAnsi="Arial"/>
                <w:sz w:val="16"/>
                <w:szCs w:val="16"/>
                <w:color w:val="auto"/>
              </w:rPr>
              <w:t>9,668,566</w:t>
            </w:r>
            <w:r>
              <w:rPr>
                <w:rFonts w:ascii="Arial" w:cs="Arial" w:eastAsia="Arial" w:hAnsi="Arial"/>
                <w:sz w:val="24"/>
                <w:szCs w:val="24"/>
                <w:color w:val="auto"/>
                <w:vertAlign w:val="superscript"/>
              </w:rPr>
              <w:t>(1)</w:t>
            </w:r>
          </w:p>
        </w:tc>
        <w:tc>
          <w:tcPr>
            <w:tcW w:w="1800" w:type="dxa"/>
            <w:vAlign w:val="bottom"/>
            <w:shd w:val="clear" w:color="auto" w:fill="CCE2F1"/>
          </w:tcPr>
          <w:p>
            <w:pPr>
              <w:jc w:val="right"/>
              <w:ind w:right="219"/>
              <w:spacing w:after="0"/>
              <w:rPr>
                <w:sz w:val="20"/>
                <w:szCs w:val="20"/>
                <w:color w:val="auto"/>
              </w:rPr>
            </w:pPr>
            <w:r>
              <w:rPr>
                <w:rFonts w:ascii="Arial" w:cs="Arial" w:eastAsia="Arial" w:hAnsi="Arial"/>
                <w:sz w:val="16"/>
                <w:szCs w:val="16"/>
                <w:color w:val="auto"/>
              </w:rPr>
              <w:t>11,600,809</w:t>
            </w:r>
            <w:r>
              <w:rPr>
                <w:rFonts w:ascii="Arial" w:cs="Arial" w:eastAsia="Arial" w:hAnsi="Arial"/>
                <w:sz w:val="24"/>
                <w:szCs w:val="24"/>
                <w:color w:val="auto"/>
                <w:vertAlign w:val="superscript"/>
              </w:rPr>
              <w:t>(2)</w:t>
            </w:r>
          </w:p>
        </w:tc>
        <w:tc>
          <w:tcPr>
            <w:tcW w:w="1420" w:type="dxa"/>
            <w:vAlign w:val="bottom"/>
            <w:shd w:val="clear" w:color="auto" w:fill="CCE2F1"/>
          </w:tcPr>
          <w:p>
            <w:pPr>
              <w:jc w:val="right"/>
              <w:spacing w:after="0"/>
              <w:rPr>
                <w:sz w:val="20"/>
                <w:szCs w:val="20"/>
                <w:color w:val="auto"/>
              </w:rPr>
            </w:pPr>
            <w:r>
              <w:rPr>
                <w:rFonts w:ascii="Arial" w:cs="Arial" w:eastAsia="Arial" w:hAnsi="Arial"/>
                <w:sz w:val="16"/>
                <w:szCs w:val="16"/>
                <w:color w:val="auto"/>
              </w:rPr>
              <w:t>11,600,809</w:t>
            </w:r>
            <w:r>
              <w:rPr>
                <w:rFonts w:ascii="Arial" w:cs="Arial" w:eastAsia="Arial" w:hAnsi="Arial"/>
                <w:sz w:val="24"/>
                <w:szCs w:val="24"/>
                <w:color w:val="auto"/>
                <w:vertAlign w:val="superscript"/>
              </w:rPr>
              <w:t>(2)</w:t>
            </w:r>
          </w:p>
        </w:tc>
      </w:tr>
      <w:tr>
        <w:trPr>
          <w:trHeight w:val="310"/>
        </w:trPr>
        <w:tc>
          <w:tcPr>
            <w:tcW w:w="4880" w:type="dxa"/>
            <w:vAlign w:val="bottom"/>
          </w:tcPr>
          <w:p>
            <w:pPr>
              <w:ind w:left="80"/>
              <w:spacing w:after="0"/>
              <w:rPr>
                <w:sz w:val="20"/>
                <w:szCs w:val="20"/>
                <w:color w:val="auto"/>
              </w:rPr>
            </w:pPr>
            <w:r>
              <w:rPr>
                <w:rFonts w:ascii="Arial" w:cs="Arial" w:eastAsia="Arial" w:hAnsi="Arial"/>
                <w:sz w:val="16"/>
                <w:szCs w:val="16"/>
                <w:color w:val="auto"/>
              </w:rPr>
              <w:t>Continuing health care benefits for 18 months</w:t>
            </w:r>
            <w:r>
              <w:rPr>
                <w:rFonts w:ascii="Arial" w:cs="Arial" w:eastAsia="Arial" w:hAnsi="Arial"/>
                <w:sz w:val="24"/>
                <w:szCs w:val="24"/>
                <w:color w:val="auto"/>
                <w:vertAlign w:val="superscript"/>
              </w:rPr>
              <w:t>(3)</w:t>
            </w: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43,045</w:t>
            </w:r>
          </w:p>
        </w:tc>
        <w:tc>
          <w:tcPr>
            <w:tcW w:w="180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0</w:t>
            </w:r>
          </w:p>
        </w:tc>
      </w:tr>
      <w:tr>
        <w:trPr>
          <w:trHeight w:val="310"/>
        </w:trPr>
        <w:tc>
          <w:tcPr>
            <w:tcW w:w="4880" w:type="dxa"/>
            <w:vAlign w:val="bottom"/>
            <w:tcBorders>
              <w:bottom w:val="single" w:sz="8" w:color="0171B9"/>
            </w:tcBorders>
            <w:shd w:val="clear" w:color="auto" w:fill="CCE2F1"/>
          </w:tcPr>
          <w:p>
            <w:pPr>
              <w:ind w:left="80"/>
              <w:spacing w:after="0"/>
              <w:rPr>
                <w:sz w:val="20"/>
                <w:szCs w:val="20"/>
                <w:color w:val="auto"/>
              </w:rPr>
            </w:pPr>
            <w:r>
              <w:rPr>
                <w:rFonts w:ascii="Arial" w:cs="Arial" w:eastAsia="Arial" w:hAnsi="Arial"/>
                <w:sz w:val="16"/>
                <w:szCs w:val="16"/>
                <w:color w:val="auto"/>
              </w:rPr>
              <w:t>Continuing retirement plan contributions for two years</w:t>
            </w:r>
            <w:r>
              <w:rPr>
                <w:rFonts w:ascii="Arial" w:cs="Arial" w:eastAsia="Arial" w:hAnsi="Arial"/>
                <w:sz w:val="24"/>
                <w:szCs w:val="24"/>
                <w:color w:val="auto"/>
                <w:vertAlign w:val="superscript"/>
              </w:rPr>
              <w:t>(4)</w:t>
            </w:r>
          </w:p>
        </w:tc>
        <w:tc>
          <w:tcPr>
            <w:tcW w:w="1220" w:type="dxa"/>
            <w:vAlign w:val="bottom"/>
            <w:tcBorders>
              <w:bottom w:val="single" w:sz="8" w:color="0171B9"/>
            </w:tcBorders>
            <w:shd w:val="clear" w:color="auto" w:fill="CCE2F1"/>
          </w:tcPr>
          <w:p>
            <w:pPr>
              <w:jc w:val="right"/>
              <w:ind w:right="199"/>
              <w:spacing w:after="0"/>
              <w:rPr>
                <w:sz w:val="20"/>
                <w:szCs w:val="20"/>
                <w:color w:val="auto"/>
              </w:rPr>
            </w:pPr>
            <w:r>
              <w:rPr>
                <w:rFonts w:ascii="Arial" w:cs="Arial" w:eastAsia="Arial" w:hAnsi="Arial"/>
                <w:sz w:val="16"/>
                <w:szCs w:val="16"/>
                <w:color w:val="auto"/>
              </w:rPr>
              <w:t>0</w:t>
            </w:r>
          </w:p>
        </w:tc>
        <w:tc>
          <w:tcPr>
            <w:tcW w:w="1700" w:type="dxa"/>
            <w:vAlign w:val="bottom"/>
            <w:tcBorders>
              <w:bottom w:val="single" w:sz="8" w:color="0171B9"/>
            </w:tcBorders>
            <w:shd w:val="clear" w:color="auto" w:fill="CCE2F1"/>
          </w:tcPr>
          <w:p>
            <w:pPr>
              <w:jc w:val="right"/>
              <w:ind w:right="359"/>
              <w:spacing w:after="0"/>
              <w:rPr>
                <w:sz w:val="20"/>
                <w:szCs w:val="20"/>
                <w:color w:val="auto"/>
              </w:rPr>
            </w:pPr>
            <w:r>
              <w:rPr>
                <w:rFonts w:ascii="Arial" w:cs="Arial" w:eastAsia="Arial" w:hAnsi="Arial"/>
                <w:sz w:val="16"/>
                <w:szCs w:val="16"/>
                <w:color w:val="auto"/>
              </w:rPr>
              <w:t>870,650</w:t>
            </w:r>
          </w:p>
        </w:tc>
        <w:tc>
          <w:tcPr>
            <w:tcW w:w="1800" w:type="dxa"/>
            <w:vAlign w:val="bottom"/>
            <w:tcBorders>
              <w:bottom w:val="single" w:sz="8" w:color="0171B9"/>
            </w:tcBorders>
            <w:shd w:val="clear" w:color="auto" w:fill="CCE2F1"/>
          </w:tcPr>
          <w:p>
            <w:pPr>
              <w:jc w:val="right"/>
              <w:ind w:right="379"/>
              <w:spacing w:after="0"/>
              <w:rPr>
                <w:sz w:val="20"/>
                <w:szCs w:val="20"/>
                <w:color w:val="auto"/>
              </w:rPr>
            </w:pPr>
            <w:r>
              <w:rPr>
                <w:rFonts w:ascii="Arial" w:cs="Arial" w:eastAsia="Arial" w:hAnsi="Arial"/>
                <w:sz w:val="16"/>
                <w:szCs w:val="16"/>
                <w:color w:val="auto"/>
              </w:rPr>
              <w:t>0</w:t>
            </w:r>
          </w:p>
        </w:tc>
        <w:tc>
          <w:tcPr>
            <w:tcW w:w="1420" w:type="dxa"/>
            <w:vAlign w:val="bottom"/>
            <w:tcBorders>
              <w:bottom w:val="single" w:sz="8" w:color="0171B9"/>
            </w:tcBorders>
            <w:shd w:val="clear" w:color="auto" w:fill="CCE2F1"/>
          </w:tcPr>
          <w:p>
            <w:pPr>
              <w:jc w:val="right"/>
              <w:ind w:right="139"/>
              <w:spacing w:after="0"/>
              <w:rPr>
                <w:sz w:val="20"/>
                <w:szCs w:val="20"/>
                <w:color w:val="auto"/>
              </w:rPr>
            </w:pPr>
            <w:r>
              <w:rPr>
                <w:rFonts w:ascii="Arial" w:cs="Arial" w:eastAsia="Arial" w:hAnsi="Arial"/>
                <w:sz w:val="16"/>
                <w:szCs w:val="16"/>
                <w:color w:val="auto"/>
              </w:rPr>
              <w:t>0</w:t>
            </w:r>
          </w:p>
        </w:tc>
      </w:tr>
      <w:tr>
        <w:trPr>
          <w:trHeight w:val="230"/>
        </w:trPr>
        <w:tc>
          <w:tcPr>
            <w:tcW w:w="4880" w:type="dxa"/>
            <w:vAlign w:val="bottom"/>
          </w:tcPr>
          <w:p>
            <w:pPr>
              <w:ind w:left="260"/>
              <w:spacing w:after="0"/>
              <w:rPr>
                <w:sz w:val="20"/>
                <w:szCs w:val="20"/>
                <w:color w:val="auto"/>
              </w:rPr>
            </w:pPr>
            <w:r>
              <w:rPr>
                <w:rFonts w:ascii="Arial" w:cs="Arial" w:eastAsia="Arial" w:hAnsi="Arial"/>
                <w:sz w:val="16"/>
                <w:szCs w:val="16"/>
                <w:color w:val="auto"/>
              </w:rPr>
              <w:t>Total</w:t>
            </w: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18,304,432</w:t>
            </w: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51,181,151</w:t>
            </w:r>
          </w:p>
        </w:tc>
        <w:tc>
          <w:tcPr>
            <w:tcW w:w="1800" w:type="dxa"/>
            <w:vAlign w:val="bottom"/>
          </w:tcPr>
          <w:p>
            <w:pPr>
              <w:jc w:val="right"/>
              <w:ind w:right="379"/>
              <w:spacing w:after="0"/>
              <w:rPr>
                <w:sz w:val="20"/>
                <w:szCs w:val="20"/>
                <w:color w:val="auto"/>
              </w:rPr>
            </w:pPr>
            <w:r>
              <w:rPr>
                <w:rFonts w:ascii="Arial" w:cs="Arial" w:eastAsia="Arial" w:hAnsi="Arial"/>
                <w:sz w:val="16"/>
                <w:szCs w:val="16"/>
                <w:color w:val="auto"/>
              </w:rPr>
              <w:t>46,176,953</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46,176,953</w:t>
            </w:r>
          </w:p>
        </w:tc>
      </w:tr>
      <w:tr>
        <w:trPr>
          <w:trHeight w:val="60"/>
        </w:trPr>
        <w:tc>
          <w:tcPr>
            <w:tcW w:w="4880" w:type="dxa"/>
            <w:vAlign w:val="bottom"/>
            <w:tcBorders>
              <w:bottom w:val="single" w:sz="8" w:color="0171B9"/>
            </w:tcBorders>
          </w:tcPr>
          <w:p>
            <w:pPr>
              <w:spacing w:after="0"/>
              <w:rPr>
                <w:sz w:val="5"/>
                <w:szCs w:val="5"/>
                <w:color w:val="auto"/>
              </w:rPr>
            </w:pPr>
          </w:p>
        </w:tc>
        <w:tc>
          <w:tcPr>
            <w:tcW w:w="1220" w:type="dxa"/>
            <w:vAlign w:val="bottom"/>
            <w:tcBorders>
              <w:bottom w:val="single" w:sz="8" w:color="0171B9"/>
            </w:tcBorders>
          </w:tcPr>
          <w:p>
            <w:pPr>
              <w:spacing w:after="0"/>
              <w:rPr>
                <w:sz w:val="5"/>
                <w:szCs w:val="5"/>
                <w:color w:val="auto"/>
              </w:rPr>
            </w:pPr>
          </w:p>
        </w:tc>
        <w:tc>
          <w:tcPr>
            <w:tcW w:w="1700" w:type="dxa"/>
            <w:vAlign w:val="bottom"/>
            <w:tcBorders>
              <w:bottom w:val="single" w:sz="8" w:color="0171B9"/>
            </w:tcBorders>
          </w:tcPr>
          <w:p>
            <w:pPr>
              <w:spacing w:after="0"/>
              <w:rPr>
                <w:sz w:val="5"/>
                <w:szCs w:val="5"/>
                <w:color w:val="auto"/>
              </w:rPr>
            </w:pPr>
          </w:p>
        </w:tc>
        <w:tc>
          <w:tcPr>
            <w:tcW w:w="1800" w:type="dxa"/>
            <w:vAlign w:val="bottom"/>
            <w:tcBorders>
              <w:bottom w:val="single" w:sz="8" w:color="0171B9"/>
            </w:tcBorders>
          </w:tcPr>
          <w:p>
            <w:pPr>
              <w:spacing w:after="0"/>
              <w:rPr>
                <w:sz w:val="5"/>
                <w:szCs w:val="5"/>
                <w:color w:val="auto"/>
              </w:rPr>
            </w:pPr>
          </w:p>
        </w:tc>
        <w:tc>
          <w:tcPr>
            <w:tcW w:w="1420" w:type="dxa"/>
            <w:vAlign w:val="bottom"/>
            <w:tcBorders>
              <w:bottom w:val="single" w:sz="8" w:color="0171B9"/>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-1584960</wp:posOffset>
            </wp:positionV>
            <wp:extent cx="699516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-1962150</wp:posOffset>
            </wp:positionV>
            <wp:extent cx="372872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728720" cy="8890"/>
                    </a:xfrm>
                    <a:prstGeom prst="rect">
                      <a:avLst/>
                    </a:prstGeom>
                    <a:noFill/>
                  </pic:spPr>
                </pic:pic>
              </a:graphicData>
            </a:graphic>
          </wp:anchor>
        </w:drawing>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i w:val="1"/>
          <w:iCs w:val="1"/>
          <w:color w:val="auto"/>
        </w:rPr>
        <w:t>Estimated Payments to Murdo Gordon</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880" w:type="dxa"/>
            <w:vAlign w:val="bottom"/>
            <w:shd w:val="clear" w:color="auto" w:fill="0171B9"/>
          </w:tcPr>
          <w:p>
            <w:pPr>
              <w:spacing w:after="0"/>
              <w:rPr>
                <w:sz w:val="16"/>
                <w:szCs w:val="16"/>
                <w:color w:val="auto"/>
              </w:rPr>
            </w:pPr>
          </w:p>
        </w:tc>
        <w:tc>
          <w:tcPr>
            <w:tcW w:w="1140" w:type="dxa"/>
            <w:vAlign w:val="bottom"/>
            <w:shd w:val="clear" w:color="auto" w:fill="0171B9"/>
          </w:tcPr>
          <w:p>
            <w:pPr>
              <w:spacing w:after="0"/>
              <w:rPr>
                <w:sz w:val="16"/>
                <w:szCs w:val="16"/>
                <w:color w:val="auto"/>
              </w:rPr>
            </w:pPr>
          </w:p>
        </w:tc>
        <w:tc>
          <w:tcPr>
            <w:tcW w:w="3500" w:type="dxa"/>
            <w:vAlign w:val="bottom"/>
            <w:gridSpan w:val="2"/>
            <w:shd w:val="clear" w:color="auto" w:fill="0171B9"/>
          </w:tcPr>
          <w:p>
            <w:pPr>
              <w:jc w:val="right"/>
              <w:ind w:right="919"/>
              <w:spacing w:after="0"/>
              <w:rPr>
                <w:sz w:val="20"/>
                <w:szCs w:val="20"/>
                <w:color w:val="auto"/>
              </w:rPr>
            </w:pPr>
            <w:r>
              <w:rPr>
                <w:rFonts w:ascii="Arial" w:cs="Arial" w:eastAsia="Arial" w:hAnsi="Arial"/>
                <w:sz w:val="16"/>
                <w:szCs w:val="16"/>
                <w:b w:val="1"/>
                <w:bCs w:val="1"/>
                <w:color w:val="FFFFFF"/>
              </w:rPr>
              <w:t>Triggering Event</w:t>
            </w:r>
          </w:p>
        </w:tc>
        <w:tc>
          <w:tcPr>
            <w:tcW w:w="1500" w:type="dxa"/>
            <w:vAlign w:val="bottom"/>
            <w:shd w:val="clear" w:color="auto" w:fill="0171B9"/>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80" w:type="dxa"/>
            <w:vAlign w:val="bottom"/>
            <w:shd w:val="clear" w:color="auto" w:fill="0171B9"/>
          </w:tcPr>
          <w:p>
            <w:pPr>
              <w:spacing w:after="0"/>
              <w:rPr>
                <w:sz w:val="16"/>
                <w:szCs w:val="16"/>
                <w:color w:val="auto"/>
              </w:rPr>
            </w:pPr>
          </w:p>
        </w:tc>
        <w:tc>
          <w:tcPr>
            <w:tcW w:w="1140" w:type="dxa"/>
            <w:vAlign w:val="bottom"/>
            <w:vMerge w:val="restart"/>
            <w:shd w:val="clear" w:color="auto" w:fill="0171B9"/>
          </w:tcPr>
          <w:p>
            <w:pPr>
              <w:jc w:val="right"/>
              <w:ind w:right="199"/>
              <w:spacing w:after="0"/>
              <w:rPr>
                <w:sz w:val="20"/>
                <w:szCs w:val="20"/>
                <w:color w:val="auto"/>
              </w:rPr>
            </w:pPr>
            <w:r>
              <w:rPr>
                <w:rFonts w:ascii="Arial" w:cs="Arial" w:eastAsia="Arial" w:hAnsi="Arial"/>
                <w:sz w:val="16"/>
                <w:szCs w:val="16"/>
                <w:b w:val="1"/>
                <w:bCs w:val="1"/>
                <w:color w:val="FFFFFF"/>
              </w:rPr>
              <w:t>Change in</w:t>
            </w:r>
          </w:p>
        </w:tc>
        <w:tc>
          <w:tcPr>
            <w:tcW w:w="1740" w:type="dxa"/>
            <w:vAlign w:val="bottom"/>
            <w:shd w:val="clear" w:color="auto" w:fill="0171B9"/>
          </w:tcPr>
          <w:p>
            <w:pPr>
              <w:jc w:val="right"/>
              <w:ind w:right="399"/>
              <w:spacing w:after="0"/>
              <w:rPr>
                <w:sz w:val="20"/>
                <w:szCs w:val="20"/>
                <w:color w:val="auto"/>
              </w:rPr>
            </w:pPr>
            <w:r>
              <w:rPr>
                <w:rFonts w:ascii="Arial" w:cs="Arial" w:eastAsia="Arial" w:hAnsi="Arial"/>
                <w:sz w:val="16"/>
                <w:szCs w:val="16"/>
                <w:b w:val="1"/>
                <w:bCs w:val="1"/>
                <w:color w:val="FFFFFF"/>
              </w:rPr>
              <w:t>Change in</w:t>
            </w:r>
          </w:p>
        </w:tc>
        <w:tc>
          <w:tcPr>
            <w:tcW w:w="1760" w:type="dxa"/>
            <w:vAlign w:val="bottom"/>
            <w:shd w:val="clear" w:color="auto" w:fill="0171B9"/>
          </w:tcPr>
          <w:p>
            <w:pPr>
              <w:spacing w:after="0"/>
              <w:rPr>
                <w:sz w:val="16"/>
                <w:szCs w:val="16"/>
                <w:color w:val="auto"/>
              </w:rPr>
            </w:pPr>
          </w:p>
        </w:tc>
        <w:tc>
          <w:tcPr>
            <w:tcW w:w="1500" w:type="dxa"/>
            <w:vAlign w:val="bottom"/>
            <w:shd w:val="clear" w:color="auto" w:fill="0171B9"/>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80" w:type="dxa"/>
            <w:vAlign w:val="bottom"/>
            <w:shd w:val="clear" w:color="auto" w:fill="0171B9"/>
          </w:tcPr>
          <w:p>
            <w:pPr>
              <w:spacing w:after="0"/>
              <w:rPr>
                <w:sz w:val="15"/>
                <w:szCs w:val="15"/>
                <w:color w:val="auto"/>
              </w:rPr>
            </w:pPr>
          </w:p>
        </w:tc>
        <w:tc>
          <w:tcPr>
            <w:tcW w:w="1140" w:type="dxa"/>
            <w:vAlign w:val="bottom"/>
            <w:vMerge w:val="continue"/>
            <w:shd w:val="clear" w:color="auto" w:fill="0171B9"/>
          </w:tcPr>
          <w:p>
            <w:pPr>
              <w:spacing w:after="0"/>
              <w:rPr>
                <w:sz w:val="15"/>
                <w:szCs w:val="15"/>
                <w:color w:val="auto"/>
              </w:rPr>
            </w:pPr>
          </w:p>
        </w:tc>
        <w:tc>
          <w:tcPr>
            <w:tcW w:w="1740" w:type="dxa"/>
            <w:vAlign w:val="bottom"/>
            <w:shd w:val="clear" w:color="auto" w:fill="0171B9"/>
          </w:tcPr>
          <w:p>
            <w:pPr>
              <w:jc w:val="right"/>
              <w:ind w:right="399"/>
              <w:spacing w:after="0" w:line="175" w:lineRule="exact"/>
              <w:rPr>
                <w:sz w:val="20"/>
                <w:szCs w:val="20"/>
                <w:color w:val="auto"/>
              </w:rPr>
            </w:pPr>
            <w:r>
              <w:rPr>
                <w:rFonts w:ascii="Arial" w:cs="Arial" w:eastAsia="Arial" w:hAnsi="Arial"/>
                <w:sz w:val="16"/>
                <w:szCs w:val="16"/>
                <w:b w:val="1"/>
                <w:bCs w:val="1"/>
                <w:color w:val="FFFFFF"/>
              </w:rPr>
              <w:t>Control and</w:t>
            </w:r>
          </w:p>
        </w:tc>
        <w:tc>
          <w:tcPr>
            <w:tcW w:w="1760" w:type="dxa"/>
            <w:vAlign w:val="bottom"/>
            <w:shd w:val="clear" w:color="auto" w:fill="0171B9"/>
          </w:tcPr>
          <w:p>
            <w:pPr>
              <w:spacing w:after="0"/>
              <w:rPr>
                <w:sz w:val="15"/>
                <w:szCs w:val="15"/>
                <w:color w:val="auto"/>
              </w:rPr>
            </w:pPr>
          </w:p>
        </w:tc>
        <w:tc>
          <w:tcPr>
            <w:tcW w:w="1500" w:type="dxa"/>
            <w:vAlign w:val="bottom"/>
            <w:shd w:val="clear" w:color="auto" w:fill="0171B9"/>
          </w:tcPr>
          <w:p>
            <w:pPr>
              <w:jc w:val="right"/>
              <w:ind w:right="139"/>
              <w:spacing w:after="0" w:line="175" w:lineRule="exact"/>
              <w:rPr>
                <w:sz w:val="20"/>
                <w:szCs w:val="20"/>
                <w:color w:val="auto"/>
              </w:rPr>
            </w:pPr>
            <w:r>
              <w:rPr>
                <w:rFonts w:ascii="Arial" w:cs="Arial" w:eastAsia="Arial" w:hAnsi="Arial"/>
                <w:sz w:val="16"/>
                <w:szCs w:val="16"/>
                <w:b w:val="1"/>
                <w:bCs w:val="1"/>
                <w:color w:val="FFFFFF"/>
              </w:rPr>
              <w:t>Death or</w:t>
            </w:r>
          </w:p>
        </w:tc>
        <w:tc>
          <w:tcPr>
            <w:tcW w:w="0" w:type="dxa"/>
            <w:vAlign w:val="bottom"/>
          </w:tcPr>
          <w:p>
            <w:pPr>
              <w:spacing w:after="0"/>
              <w:rPr>
                <w:sz w:val="1"/>
                <w:szCs w:val="1"/>
                <w:color w:val="auto"/>
              </w:rPr>
            </w:pPr>
          </w:p>
        </w:tc>
      </w:tr>
      <w:tr>
        <w:trPr>
          <w:trHeight w:val="221"/>
        </w:trPr>
        <w:tc>
          <w:tcPr>
            <w:tcW w:w="4880" w:type="dxa"/>
            <w:vAlign w:val="bottom"/>
            <w:shd w:val="clear" w:color="auto" w:fill="0171B9"/>
          </w:tcPr>
          <w:p>
            <w:pPr>
              <w:ind w:left="80"/>
              <w:spacing w:after="0"/>
              <w:rPr>
                <w:sz w:val="20"/>
                <w:szCs w:val="20"/>
                <w:color w:val="auto"/>
              </w:rPr>
            </w:pPr>
            <w:r>
              <w:rPr>
                <w:rFonts w:ascii="Arial" w:cs="Arial" w:eastAsia="Arial" w:hAnsi="Arial"/>
                <w:sz w:val="16"/>
                <w:szCs w:val="16"/>
                <w:b w:val="1"/>
                <w:bCs w:val="1"/>
                <w:color w:val="FFFFFF"/>
              </w:rPr>
              <w:t>Estimated Potential Payment or Benefit</w:t>
            </w:r>
          </w:p>
        </w:tc>
        <w:tc>
          <w:tcPr>
            <w:tcW w:w="1140" w:type="dxa"/>
            <w:vAlign w:val="bottom"/>
            <w:shd w:val="clear" w:color="auto" w:fill="0171B9"/>
          </w:tcPr>
          <w:p>
            <w:pPr>
              <w:jc w:val="right"/>
              <w:ind w:right="199"/>
              <w:spacing w:after="0"/>
              <w:rPr>
                <w:sz w:val="20"/>
                <w:szCs w:val="20"/>
                <w:color w:val="auto"/>
              </w:rPr>
            </w:pPr>
            <w:r>
              <w:rPr>
                <w:rFonts w:ascii="Arial" w:cs="Arial" w:eastAsia="Arial" w:hAnsi="Arial"/>
                <w:sz w:val="16"/>
                <w:szCs w:val="16"/>
                <w:b w:val="1"/>
                <w:bCs w:val="1"/>
                <w:color w:val="FFFFFF"/>
              </w:rPr>
              <w:t>Control($)</w:t>
            </w:r>
          </w:p>
        </w:tc>
        <w:tc>
          <w:tcPr>
            <w:tcW w:w="1740" w:type="dxa"/>
            <w:vAlign w:val="bottom"/>
            <w:shd w:val="clear" w:color="auto" w:fill="0171B9"/>
          </w:tcPr>
          <w:p>
            <w:pPr>
              <w:jc w:val="right"/>
              <w:ind w:right="399"/>
              <w:spacing w:after="0"/>
              <w:rPr>
                <w:sz w:val="20"/>
                <w:szCs w:val="20"/>
                <w:color w:val="auto"/>
              </w:rPr>
            </w:pPr>
            <w:r>
              <w:rPr>
                <w:rFonts w:ascii="Arial" w:cs="Arial" w:eastAsia="Arial" w:hAnsi="Arial"/>
                <w:sz w:val="16"/>
                <w:szCs w:val="16"/>
                <w:b w:val="1"/>
                <w:bCs w:val="1"/>
                <w:color w:val="FFFFFF"/>
              </w:rPr>
              <w:t>Termination($)</w:t>
            </w:r>
          </w:p>
        </w:tc>
        <w:tc>
          <w:tcPr>
            <w:tcW w:w="1760" w:type="dxa"/>
            <w:vAlign w:val="bottom"/>
            <w:shd w:val="clear" w:color="auto" w:fill="0171B9"/>
          </w:tcPr>
          <w:p>
            <w:pPr>
              <w:jc w:val="right"/>
              <w:ind w:right="299"/>
              <w:spacing w:after="0"/>
              <w:rPr>
                <w:sz w:val="20"/>
                <w:szCs w:val="20"/>
                <w:color w:val="auto"/>
              </w:rPr>
            </w:pPr>
            <w:r>
              <w:rPr>
                <w:rFonts w:ascii="Arial" w:cs="Arial" w:eastAsia="Arial" w:hAnsi="Arial"/>
                <w:sz w:val="16"/>
                <w:szCs w:val="16"/>
                <w:b w:val="1"/>
                <w:bCs w:val="1"/>
                <w:color w:val="FFFFFF"/>
              </w:rPr>
              <w:t>Retirement($)</w:t>
            </w:r>
          </w:p>
        </w:tc>
        <w:tc>
          <w:tcPr>
            <w:tcW w:w="150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Disability($)</w:t>
            </w:r>
          </w:p>
        </w:tc>
        <w:tc>
          <w:tcPr>
            <w:tcW w:w="0" w:type="dxa"/>
            <w:vAlign w:val="bottom"/>
          </w:tcPr>
          <w:p>
            <w:pPr>
              <w:spacing w:after="0"/>
              <w:rPr>
                <w:sz w:val="1"/>
                <w:szCs w:val="1"/>
                <w:color w:val="auto"/>
              </w:rPr>
            </w:pPr>
          </w:p>
        </w:tc>
      </w:tr>
      <w:tr>
        <w:trPr>
          <w:trHeight w:val="290"/>
        </w:trPr>
        <w:tc>
          <w:tcPr>
            <w:tcW w:w="488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6"/>
                <w:szCs w:val="16"/>
                <w:color w:val="auto"/>
              </w:rPr>
              <w:t>Lump sum cash severance payment</w:t>
            </w:r>
          </w:p>
        </w:tc>
        <w:tc>
          <w:tcPr>
            <w:tcW w:w="1140" w:type="dxa"/>
            <w:vAlign w:val="bottom"/>
            <w:tcBorders>
              <w:bottom w:val="single" w:sz="8" w:color="CCE2F1"/>
            </w:tcBorders>
            <w:shd w:val="clear" w:color="auto" w:fill="CCE2F1"/>
          </w:tcPr>
          <w:p>
            <w:pPr>
              <w:jc w:val="right"/>
              <w:ind w:right="199"/>
              <w:spacing w:after="0"/>
              <w:rPr>
                <w:sz w:val="20"/>
                <w:szCs w:val="20"/>
                <w:color w:val="auto"/>
              </w:rPr>
            </w:pPr>
            <w:r>
              <w:rPr>
                <w:rFonts w:ascii="Arial" w:cs="Arial" w:eastAsia="Arial" w:hAnsi="Arial"/>
                <w:sz w:val="16"/>
                <w:szCs w:val="16"/>
                <w:color w:val="auto"/>
              </w:rPr>
              <w:t>0</w:t>
            </w:r>
          </w:p>
        </w:tc>
        <w:tc>
          <w:tcPr>
            <w:tcW w:w="1740" w:type="dxa"/>
            <w:vAlign w:val="bottom"/>
            <w:tcBorders>
              <w:bottom w:val="single" w:sz="8" w:color="CCE2F1"/>
            </w:tcBorders>
            <w:shd w:val="clear" w:color="auto" w:fill="CCE2F1"/>
          </w:tcPr>
          <w:p>
            <w:pPr>
              <w:jc w:val="right"/>
              <w:ind w:right="399"/>
              <w:spacing w:after="0"/>
              <w:rPr>
                <w:sz w:val="20"/>
                <w:szCs w:val="20"/>
                <w:color w:val="auto"/>
              </w:rPr>
            </w:pPr>
            <w:r>
              <w:rPr>
                <w:rFonts w:ascii="Arial" w:cs="Arial" w:eastAsia="Arial" w:hAnsi="Arial"/>
                <w:sz w:val="16"/>
                <w:szCs w:val="16"/>
                <w:color w:val="auto"/>
              </w:rPr>
              <w:t>4,436,000</w:t>
            </w:r>
          </w:p>
        </w:tc>
        <w:tc>
          <w:tcPr>
            <w:tcW w:w="1760" w:type="dxa"/>
            <w:vAlign w:val="bottom"/>
            <w:tcBorders>
              <w:bottom w:val="single" w:sz="8" w:color="CCE2F1"/>
            </w:tcBorders>
            <w:shd w:val="clear" w:color="auto" w:fill="CCE2F1"/>
          </w:tcPr>
          <w:p>
            <w:pPr>
              <w:jc w:val="right"/>
              <w:ind w:right="299"/>
              <w:spacing w:after="0"/>
              <w:rPr>
                <w:sz w:val="20"/>
                <w:szCs w:val="20"/>
                <w:color w:val="auto"/>
              </w:rPr>
            </w:pPr>
            <w:r>
              <w:rPr>
                <w:rFonts w:ascii="Arial" w:cs="Arial" w:eastAsia="Arial" w:hAnsi="Arial"/>
                <w:sz w:val="16"/>
                <w:szCs w:val="16"/>
                <w:color w:val="auto"/>
              </w:rPr>
              <w:t>0</w:t>
            </w:r>
          </w:p>
        </w:tc>
        <w:tc>
          <w:tcPr>
            <w:tcW w:w="150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0"/>
        </w:trPr>
        <w:tc>
          <w:tcPr>
            <w:tcW w:w="4880" w:type="dxa"/>
            <w:vAlign w:val="bottom"/>
          </w:tcPr>
          <w:p>
            <w:pPr>
              <w:ind w:left="80"/>
              <w:spacing w:after="0"/>
              <w:rPr>
                <w:sz w:val="20"/>
                <w:szCs w:val="20"/>
                <w:color w:val="auto"/>
              </w:rPr>
            </w:pPr>
            <w:r>
              <w:rPr>
                <w:rFonts w:ascii="Arial" w:cs="Arial" w:eastAsia="Arial" w:hAnsi="Arial"/>
                <w:sz w:val="16"/>
                <w:szCs w:val="16"/>
                <w:color w:val="auto"/>
              </w:rPr>
              <w:t>Intrinsic value of accelerated unvested stock options</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1740" w:type="dxa"/>
            <w:vAlign w:val="bottom"/>
          </w:tcPr>
          <w:p>
            <w:pPr>
              <w:jc w:val="right"/>
              <w:ind w:right="399"/>
              <w:spacing w:after="0"/>
              <w:rPr>
                <w:sz w:val="20"/>
                <w:szCs w:val="20"/>
                <w:color w:val="auto"/>
              </w:rPr>
            </w:pPr>
            <w:r>
              <w:rPr>
                <w:rFonts w:ascii="Arial" w:cs="Arial" w:eastAsia="Arial" w:hAnsi="Arial"/>
                <w:sz w:val="16"/>
                <w:szCs w:val="16"/>
                <w:color w:val="auto"/>
              </w:rPr>
              <w:t>3,608,761</w:t>
            </w: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0</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3,608,761</w:t>
            </w:r>
          </w:p>
        </w:tc>
        <w:tc>
          <w:tcPr>
            <w:tcW w:w="0" w:type="dxa"/>
            <w:vAlign w:val="bottom"/>
          </w:tcPr>
          <w:p>
            <w:pPr>
              <w:spacing w:after="0"/>
              <w:rPr>
                <w:sz w:val="1"/>
                <w:szCs w:val="1"/>
                <w:color w:val="auto"/>
              </w:rPr>
            </w:pPr>
          </w:p>
        </w:tc>
      </w:tr>
      <w:tr>
        <w:trPr>
          <w:trHeight w:val="60"/>
        </w:trPr>
        <w:tc>
          <w:tcPr>
            <w:tcW w:w="4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880" w:type="dxa"/>
            <w:vAlign w:val="bottom"/>
            <w:shd w:val="clear" w:color="auto" w:fill="CCE2F1"/>
          </w:tcPr>
          <w:p>
            <w:pPr>
              <w:ind w:left="80"/>
              <w:spacing w:after="0"/>
              <w:rPr>
                <w:sz w:val="20"/>
                <w:szCs w:val="20"/>
                <w:color w:val="auto"/>
              </w:rPr>
            </w:pPr>
            <w:r>
              <w:rPr>
                <w:rFonts w:ascii="Arial" w:cs="Arial" w:eastAsia="Arial" w:hAnsi="Arial"/>
                <w:sz w:val="16"/>
                <w:szCs w:val="16"/>
                <w:color w:val="auto"/>
              </w:rPr>
              <w:t>Intrinsic value of accelerated unvested RSU’s</w:t>
            </w:r>
          </w:p>
        </w:tc>
        <w:tc>
          <w:tcPr>
            <w:tcW w:w="1140" w:type="dxa"/>
            <w:vAlign w:val="bottom"/>
            <w:shd w:val="clear" w:color="auto" w:fill="CCE2F1"/>
          </w:tcPr>
          <w:p>
            <w:pPr>
              <w:jc w:val="right"/>
              <w:ind w:right="199"/>
              <w:spacing w:after="0"/>
              <w:rPr>
                <w:sz w:val="20"/>
                <w:szCs w:val="20"/>
                <w:color w:val="auto"/>
              </w:rPr>
            </w:pPr>
            <w:r>
              <w:rPr>
                <w:rFonts w:ascii="Arial" w:cs="Arial" w:eastAsia="Arial" w:hAnsi="Arial"/>
                <w:sz w:val="16"/>
                <w:szCs w:val="16"/>
                <w:color w:val="auto"/>
              </w:rPr>
              <w:t>0</w:t>
            </w:r>
          </w:p>
        </w:tc>
        <w:tc>
          <w:tcPr>
            <w:tcW w:w="1740" w:type="dxa"/>
            <w:vAlign w:val="bottom"/>
            <w:shd w:val="clear" w:color="auto" w:fill="CCE2F1"/>
          </w:tcPr>
          <w:p>
            <w:pPr>
              <w:jc w:val="right"/>
              <w:ind w:right="399"/>
              <w:spacing w:after="0"/>
              <w:rPr>
                <w:sz w:val="20"/>
                <w:szCs w:val="20"/>
                <w:color w:val="auto"/>
              </w:rPr>
            </w:pPr>
            <w:r>
              <w:rPr>
                <w:rFonts w:ascii="Arial" w:cs="Arial" w:eastAsia="Arial" w:hAnsi="Arial"/>
                <w:sz w:val="16"/>
                <w:szCs w:val="16"/>
                <w:color w:val="auto"/>
              </w:rPr>
              <w:t>3,433,755</w:t>
            </w:r>
          </w:p>
        </w:tc>
        <w:tc>
          <w:tcPr>
            <w:tcW w:w="1760" w:type="dxa"/>
            <w:vAlign w:val="bottom"/>
            <w:shd w:val="clear" w:color="auto" w:fill="CCE2F1"/>
          </w:tcPr>
          <w:p>
            <w:pPr>
              <w:jc w:val="right"/>
              <w:ind w:right="299"/>
              <w:spacing w:after="0"/>
              <w:rPr>
                <w:sz w:val="20"/>
                <w:szCs w:val="20"/>
                <w:color w:val="auto"/>
              </w:rPr>
            </w:pPr>
            <w:r>
              <w:rPr>
                <w:rFonts w:ascii="Arial" w:cs="Arial" w:eastAsia="Arial" w:hAnsi="Arial"/>
                <w:sz w:val="16"/>
                <w:szCs w:val="16"/>
                <w:color w:val="auto"/>
              </w:rPr>
              <w:t>0</w:t>
            </w:r>
          </w:p>
        </w:tc>
        <w:tc>
          <w:tcPr>
            <w:tcW w:w="150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3,433,755</w:t>
            </w:r>
          </w:p>
        </w:tc>
        <w:tc>
          <w:tcPr>
            <w:tcW w:w="0" w:type="dxa"/>
            <w:vAlign w:val="bottom"/>
          </w:tcPr>
          <w:p>
            <w:pPr>
              <w:spacing w:after="0"/>
              <w:rPr>
                <w:sz w:val="1"/>
                <w:szCs w:val="1"/>
                <w:color w:val="auto"/>
              </w:rPr>
            </w:pPr>
          </w:p>
        </w:tc>
      </w:tr>
      <w:tr>
        <w:trPr>
          <w:trHeight w:val="60"/>
        </w:trPr>
        <w:tc>
          <w:tcPr>
            <w:tcW w:w="4880" w:type="dxa"/>
            <w:vAlign w:val="bottom"/>
            <w:shd w:val="clear" w:color="auto" w:fill="CCE2F1"/>
          </w:tcPr>
          <w:p>
            <w:pPr>
              <w:spacing w:after="0"/>
              <w:rPr>
                <w:sz w:val="5"/>
                <w:szCs w:val="5"/>
                <w:color w:val="auto"/>
              </w:rPr>
            </w:pPr>
          </w:p>
        </w:tc>
        <w:tc>
          <w:tcPr>
            <w:tcW w:w="1140" w:type="dxa"/>
            <w:vAlign w:val="bottom"/>
            <w:shd w:val="clear" w:color="auto" w:fill="CCE2F1"/>
          </w:tcPr>
          <w:p>
            <w:pPr>
              <w:spacing w:after="0"/>
              <w:rPr>
                <w:sz w:val="5"/>
                <w:szCs w:val="5"/>
                <w:color w:val="auto"/>
              </w:rPr>
            </w:pPr>
          </w:p>
        </w:tc>
        <w:tc>
          <w:tcPr>
            <w:tcW w:w="1740" w:type="dxa"/>
            <w:vAlign w:val="bottom"/>
            <w:shd w:val="clear" w:color="auto" w:fill="CCE2F1"/>
          </w:tcPr>
          <w:p>
            <w:pPr>
              <w:spacing w:after="0"/>
              <w:rPr>
                <w:sz w:val="5"/>
                <w:szCs w:val="5"/>
                <w:color w:val="auto"/>
              </w:rPr>
            </w:pPr>
          </w:p>
        </w:tc>
        <w:tc>
          <w:tcPr>
            <w:tcW w:w="1760" w:type="dxa"/>
            <w:vAlign w:val="bottom"/>
            <w:shd w:val="clear" w:color="auto" w:fill="CCE2F1"/>
          </w:tcPr>
          <w:p>
            <w:pPr>
              <w:spacing w:after="0"/>
              <w:rPr>
                <w:sz w:val="5"/>
                <w:szCs w:val="5"/>
                <w:color w:val="auto"/>
              </w:rPr>
            </w:pPr>
          </w:p>
        </w:tc>
        <w:tc>
          <w:tcPr>
            <w:tcW w:w="1500" w:type="dxa"/>
            <w:vAlign w:val="bottom"/>
            <w:shd w:val="clear" w:color="auto" w:fill="CCE2F1"/>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4880" w:type="dxa"/>
            <w:vAlign w:val="bottom"/>
          </w:tcPr>
          <w:p>
            <w:pPr>
              <w:ind w:left="80"/>
              <w:spacing w:after="0"/>
              <w:rPr>
                <w:sz w:val="20"/>
                <w:szCs w:val="20"/>
                <w:color w:val="auto"/>
              </w:rPr>
            </w:pPr>
            <w:r>
              <w:rPr>
                <w:rFonts w:ascii="Arial" w:cs="Arial" w:eastAsia="Arial" w:hAnsi="Arial"/>
                <w:sz w:val="16"/>
                <w:szCs w:val="16"/>
                <w:color w:val="auto"/>
              </w:rPr>
              <w:t>Value of 2022-2024 performance units</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2,713,334</w:t>
            </w:r>
            <w:r>
              <w:rPr>
                <w:rFonts w:ascii="Arial" w:cs="Arial" w:eastAsia="Arial" w:hAnsi="Arial"/>
                <w:sz w:val="24"/>
                <w:szCs w:val="24"/>
                <w:color w:val="auto"/>
                <w:vertAlign w:val="superscript"/>
              </w:rPr>
              <w:t>(1)</w:t>
            </w:r>
          </w:p>
        </w:tc>
        <w:tc>
          <w:tcPr>
            <w:tcW w:w="1740" w:type="dxa"/>
            <w:vAlign w:val="bottom"/>
          </w:tcPr>
          <w:p>
            <w:pPr>
              <w:jc w:val="right"/>
              <w:ind w:right="239"/>
              <w:spacing w:after="0"/>
              <w:rPr>
                <w:sz w:val="20"/>
                <w:szCs w:val="20"/>
                <w:color w:val="auto"/>
              </w:rPr>
            </w:pPr>
            <w:r>
              <w:rPr>
                <w:rFonts w:ascii="Arial" w:cs="Arial" w:eastAsia="Arial" w:hAnsi="Arial"/>
                <w:sz w:val="16"/>
                <w:szCs w:val="16"/>
                <w:color w:val="auto"/>
              </w:rPr>
              <w:t>2,713,334</w:t>
            </w:r>
            <w:r>
              <w:rPr>
                <w:rFonts w:ascii="Arial" w:cs="Arial" w:eastAsia="Arial" w:hAnsi="Arial"/>
                <w:sz w:val="24"/>
                <w:szCs w:val="24"/>
                <w:color w:val="auto"/>
                <w:vertAlign w:val="superscript"/>
              </w:rPr>
              <w:t>(1)</w:t>
            </w: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0</w:t>
            </w:r>
          </w:p>
        </w:tc>
        <w:tc>
          <w:tcPr>
            <w:tcW w:w="1500" w:type="dxa"/>
            <w:vAlign w:val="bottom"/>
          </w:tcPr>
          <w:p>
            <w:pPr>
              <w:jc w:val="right"/>
              <w:spacing w:after="0"/>
              <w:rPr>
                <w:sz w:val="20"/>
                <w:szCs w:val="20"/>
                <w:color w:val="auto"/>
              </w:rPr>
            </w:pPr>
            <w:r>
              <w:rPr>
                <w:rFonts w:ascii="Arial" w:cs="Arial" w:eastAsia="Arial" w:hAnsi="Arial"/>
                <w:sz w:val="16"/>
                <w:szCs w:val="16"/>
                <w:color w:val="auto"/>
              </w:rPr>
              <w:t>3,540,650</w:t>
            </w:r>
            <w:r>
              <w:rPr>
                <w:rFonts w:ascii="Arial" w:cs="Arial" w:eastAsia="Arial" w:hAnsi="Arial"/>
                <w:sz w:val="24"/>
                <w:szCs w:val="24"/>
                <w:color w:val="auto"/>
                <w:vertAlign w:val="superscript"/>
              </w:rPr>
              <w:t>(2)</w:t>
            </w:r>
          </w:p>
        </w:tc>
        <w:tc>
          <w:tcPr>
            <w:tcW w:w="0" w:type="dxa"/>
            <w:vAlign w:val="bottom"/>
          </w:tcPr>
          <w:p>
            <w:pPr>
              <w:spacing w:after="0"/>
              <w:rPr>
                <w:sz w:val="1"/>
                <w:szCs w:val="1"/>
                <w:color w:val="auto"/>
              </w:rPr>
            </w:pPr>
          </w:p>
        </w:tc>
      </w:tr>
      <w:tr>
        <w:trPr>
          <w:trHeight w:val="310"/>
        </w:trPr>
        <w:tc>
          <w:tcPr>
            <w:tcW w:w="4880" w:type="dxa"/>
            <w:vAlign w:val="bottom"/>
            <w:shd w:val="clear" w:color="auto" w:fill="CCE2F1"/>
          </w:tcPr>
          <w:p>
            <w:pPr>
              <w:ind w:left="80"/>
              <w:spacing w:after="0"/>
              <w:rPr>
                <w:sz w:val="20"/>
                <w:szCs w:val="20"/>
                <w:color w:val="auto"/>
              </w:rPr>
            </w:pPr>
            <w:r>
              <w:rPr>
                <w:rFonts w:ascii="Arial" w:cs="Arial" w:eastAsia="Arial" w:hAnsi="Arial"/>
                <w:sz w:val="16"/>
                <w:szCs w:val="16"/>
                <w:color w:val="auto"/>
              </w:rPr>
              <w:t>Value of 2021-2023 performance units</w:t>
            </w:r>
          </w:p>
        </w:tc>
        <w:tc>
          <w:tcPr>
            <w:tcW w:w="1140" w:type="dxa"/>
            <w:vAlign w:val="bottom"/>
            <w:shd w:val="clear" w:color="auto" w:fill="CCE2F1"/>
          </w:tcPr>
          <w:p>
            <w:pPr>
              <w:jc w:val="right"/>
              <w:ind w:right="59"/>
              <w:spacing w:after="0"/>
              <w:rPr>
                <w:sz w:val="20"/>
                <w:szCs w:val="20"/>
                <w:color w:val="auto"/>
              </w:rPr>
            </w:pPr>
            <w:r>
              <w:rPr>
                <w:rFonts w:ascii="Arial" w:cs="Arial" w:eastAsia="Arial" w:hAnsi="Arial"/>
                <w:sz w:val="16"/>
                <w:szCs w:val="16"/>
                <w:color w:val="auto"/>
              </w:rPr>
              <w:t>3,037,957</w:t>
            </w:r>
            <w:r>
              <w:rPr>
                <w:rFonts w:ascii="Arial" w:cs="Arial" w:eastAsia="Arial" w:hAnsi="Arial"/>
                <w:sz w:val="24"/>
                <w:szCs w:val="24"/>
                <w:color w:val="auto"/>
                <w:vertAlign w:val="superscript"/>
              </w:rPr>
              <w:t>(1)</w:t>
            </w:r>
          </w:p>
        </w:tc>
        <w:tc>
          <w:tcPr>
            <w:tcW w:w="1740" w:type="dxa"/>
            <w:vAlign w:val="bottom"/>
            <w:shd w:val="clear" w:color="auto" w:fill="CCE2F1"/>
          </w:tcPr>
          <w:p>
            <w:pPr>
              <w:jc w:val="right"/>
              <w:ind w:right="239"/>
              <w:spacing w:after="0"/>
              <w:rPr>
                <w:sz w:val="20"/>
                <w:szCs w:val="20"/>
                <w:color w:val="auto"/>
              </w:rPr>
            </w:pPr>
            <w:r>
              <w:rPr>
                <w:rFonts w:ascii="Arial" w:cs="Arial" w:eastAsia="Arial" w:hAnsi="Arial"/>
                <w:sz w:val="16"/>
                <w:szCs w:val="16"/>
                <w:color w:val="auto"/>
              </w:rPr>
              <w:t>3,037,957</w:t>
            </w:r>
            <w:r>
              <w:rPr>
                <w:rFonts w:ascii="Arial" w:cs="Arial" w:eastAsia="Arial" w:hAnsi="Arial"/>
                <w:sz w:val="24"/>
                <w:szCs w:val="24"/>
                <w:color w:val="auto"/>
                <w:vertAlign w:val="superscript"/>
              </w:rPr>
              <w:t>(1)</w:t>
            </w:r>
          </w:p>
        </w:tc>
        <w:tc>
          <w:tcPr>
            <w:tcW w:w="1760" w:type="dxa"/>
            <w:vAlign w:val="bottom"/>
            <w:shd w:val="clear" w:color="auto" w:fill="CCE2F1"/>
          </w:tcPr>
          <w:p>
            <w:pPr>
              <w:jc w:val="right"/>
              <w:ind w:right="299"/>
              <w:spacing w:after="0"/>
              <w:rPr>
                <w:sz w:val="20"/>
                <w:szCs w:val="20"/>
                <w:color w:val="auto"/>
              </w:rPr>
            </w:pPr>
            <w:r>
              <w:rPr>
                <w:rFonts w:ascii="Arial" w:cs="Arial" w:eastAsia="Arial" w:hAnsi="Arial"/>
                <w:sz w:val="16"/>
                <w:szCs w:val="16"/>
                <w:color w:val="auto"/>
              </w:rPr>
              <w:t>0</w:t>
            </w:r>
          </w:p>
        </w:tc>
        <w:tc>
          <w:tcPr>
            <w:tcW w:w="1500" w:type="dxa"/>
            <w:vAlign w:val="bottom"/>
            <w:shd w:val="clear" w:color="auto" w:fill="CCE2F1"/>
          </w:tcPr>
          <w:p>
            <w:pPr>
              <w:jc w:val="right"/>
              <w:spacing w:after="0"/>
              <w:rPr>
                <w:sz w:val="20"/>
                <w:szCs w:val="20"/>
                <w:color w:val="auto"/>
              </w:rPr>
            </w:pPr>
            <w:r>
              <w:rPr>
                <w:rFonts w:ascii="Arial" w:cs="Arial" w:eastAsia="Arial" w:hAnsi="Arial"/>
                <w:sz w:val="16"/>
                <w:szCs w:val="16"/>
                <w:color w:val="auto"/>
              </w:rPr>
              <w:t>3,644,918</w:t>
            </w:r>
            <w:r>
              <w:rPr>
                <w:rFonts w:ascii="Arial" w:cs="Arial" w:eastAsia="Arial" w:hAnsi="Arial"/>
                <w:sz w:val="24"/>
                <w:szCs w:val="24"/>
                <w:color w:val="auto"/>
                <w:vertAlign w:val="superscript"/>
              </w:rPr>
              <w:t>(2)</w:t>
            </w:r>
          </w:p>
        </w:tc>
        <w:tc>
          <w:tcPr>
            <w:tcW w:w="0" w:type="dxa"/>
            <w:vAlign w:val="bottom"/>
          </w:tcPr>
          <w:p>
            <w:pPr>
              <w:spacing w:after="0"/>
              <w:rPr>
                <w:sz w:val="1"/>
                <w:szCs w:val="1"/>
                <w:color w:val="auto"/>
              </w:rPr>
            </w:pPr>
          </w:p>
        </w:tc>
      </w:tr>
      <w:tr>
        <w:trPr>
          <w:trHeight w:val="311"/>
        </w:trPr>
        <w:tc>
          <w:tcPr>
            <w:tcW w:w="4880" w:type="dxa"/>
            <w:vAlign w:val="bottom"/>
          </w:tcPr>
          <w:p>
            <w:pPr>
              <w:ind w:left="80"/>
              <w:spacing w:after="0"/>
              <w:rPr>
                <w:sz w:val="20"/>
                <w:szCs w:val="20"/>
                <w:color w:val="auto"/>
              </w:rPr>
            </w:pPr>
            <w:r>
              <w:rPr>
                <w:rFonts w:ascii="Arial" w:cs="Arial" w:eastAsia="Arial" w:hAnsi="Arial"/>
                <w:sz w:val="16"/>
                <w:szCs w:val="16"/>
                <w:color w:val="auto"/>
              </w:rPr>
              <w:t>Continuing health care benefits for 18 months</w:t>
            </w:r>
            <w:r>
              <w:rPr>
                <w:rFonts w:ascii="Arial" w:cs="Arial" w:eastAsia="Arial" w:hAnsi="Arial"/>
                <w:sz w:val="24"/>
                <w:szCs w:val="24"/>
                <w:color w:val="auto"/>
                <w:vertAlign w:val="superscript"/>
              </w:rPr>
              <w:t>(3)</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1740" w:type="dxa"/>
            <w:vAlign w:val="bottom"/>
          </w:tcPr>
          <w:p>
            <w:pPr>
              <w:jc w:val="right"/>
              <w:ind w:right="399"/>
              <w:spacing w:after="0"/>
              <w:rPr>
                <w:sz w:val="20"/>
                <w:szCs w:val="20"/>
                <w:color w:val="auto"/>
              </w:rPr>
            </w:pPr>
            <w:r>
              <w:rPr>
                <w:rFonts w:ascii="Arial" w:cs="Arial" w:eastAsia="Arial" w:hAnsi="Arial"/>
                <w:sz w:val="16"/>
                <w:szCs w:val="16"/>
                <w:color w:val="auto"/>
              </w:rPr>
              <w:t>43,045</w:t>
            </w: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0</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11"/>
        </w:trPr>
        <w:tc>
          <w:tcPr>
            <w:tcW w:w="4880" w:type="dxa"/>
            <w:vAlign w:val="bottom"/>
            <w:tcBorders>
              <w:bottom w:val="single" w:sz="8" w:color="0171B9"/>
            </w:tcBorders>
            <w:shd w:val="clear" w:color="auto" w:fill="CCE2F1"/>
          </w:tcPr>
          <w:p>
            <w:pPr>
              <w:ind w:left="80"/>
              <w:spacing w:after="0"/>
              <w:rPr>
                <w:sz w:val="20"/>
                <w:szCs w:val="20"/>
                <w:color w:val="auto"/>
              </w:rPr>
            </w:pPr>
            <w:r>
              <w:rPr>
                <w:rFonts w:ascii="Arial" w:cs="Arial" w:eastAsia="Arial" w:hAnsi="Arial"/>
                <w:sz w:val="16"/>
                <w:szCs w:val="16"/>
                <w:color w:val="auto"/>
              </w:rPr>
              <w:t>Continuing retirement plan contributions for two years</w:t>
            </w:r>
            <w:r>
              <w:rPr>
                <w:rFonts w:ascii="Arial" w:cs="Arial" w:eastAsia="Arial" w:hAnsi="Arial"/>
                <w:sz w:val="24"/>
                <w:szCs w:val="24"/>
                <w:color w:val="auto"/>
                <w:vertAlign w:val="superscript"/>
              </w:rPr>
              <w:t>(4)</w:t>
            </w:r>
          </w:p>
        </w:tc>
        <w:tc>
          <w:tcPr>
            <w:tcW w:w="1140" w:type="dxa"/>
            <w:vAlign w:val="bottom"/>
            <w:tcBorders>
              <w:bottom w:val="single" w:sz="8" w:color="0171B9"/>
            </w:tcBorders>
            <w:shd w:val="clear" w:color="auto" w:fill="CCE2F1"/>
          </w:tcPr>
          <w:p>
            <w:pPr>
              <w:jc w:val="right"/>
              <w:ind w:right="199"/>
              <w:spacing w:after="0"/>
              <w:rPr>
                <w:sz w:val="20"/>
                <w:szCs w:val="20"/>
                <w:color w:val="auto"/>
              </w:rPr>
            </w:pPr>
            <w:r>
              <w:rPr>
                <w:rFonts w:ascii="Arial" w:cs="Arial" w:eastAsia="Arial" w:hAnsi="Arial"/>
                <w:sz w:val="16"/>
                <w:szCs w:val="16"/>
                <w:color w:val="auto"/>
              </w:rPr>
              <w:t>0</w:t>
            </w:r>
          </w:p>
        </w:tc>
        <w:tc>
          <w:tcPr>
            <w:tcW w:w="1740" w:type="dxa"/>
            <w:vAlign w:val="bottom"/>
            <w:tcBorders>
              <w:bottom w:val="single" w:sz="8" w:color="0171B9"/>
            </w:tcBorders>
            <w:shd w:val="clear" w:color="auto" w:fill="CCE2F1"/>
          </w:tcPr>
          <w:p>
            <w:pPr>
              <w:jc w:val="right"/>
              <w:ind w:right="399"/>
              <w:spacing w:after="0"/>
              <w:rPr>
                <w:sz w:val="20"/>
                <w:szCs w:val="20"/>
                <w:color w:val="auto"/>
              </w:rPr>
            </w:pPr>
            <w:r>
              <w:rPr>
                <w:rFonts w:ascii="Arial" w:cs="Arial" w:eastAsia="Arial" w:hAnsi="Arial"/>
                <w:sz w:val="16"/>
                <w:szCs w:val="16"/>
                <w:color w:val="auto"/>
              </w:rPr>
              <w:t>448,600</w:t>
            </w:r>
          </w:p>
        </w:tc>
        <w:tc>
          <w:tcPr>
            <w:tcW w:w="1760" w:type="dxa"/>
            <w:vAlign w:val="bottom"/>
            <w:tcBorders>
              <w:bottom w:val="single" w:sz="8" w:color="0171B9"/>
            </w:tcBorders>
            <w:shd w:val="clear" w:color="auto" w:fill="CCE2F1"/>
          </w:tcPr>
          <w:p>
            <w:pPr>
              <w:jc w:val="right"/>
              <w:ind w:right="299"/>
              <w:spacing w:after="0"/>
              <w:rPr>
                <w:sz w:val="20"/>
                <w:szCs w:val="20"/>
                <w:color w:val="auto"/>
              </w:rPr>
            </w:pPr>
            <w:r>
              <w:rPr>
                <w:rFonts w:ascii="Arial" w:cs="Arial" w:eastAsia="Arial" w:hAnsi="Arial"/>
                <w:sz w:val="16"/>
                <w:szCs w:val="16"/>
                <w:color w:val="auto"/>
              </w:rPr>
              <w:t>0</w:t>
            </w:r>
          </w:p>
        </w:tc>
        <w:tc>
          <w:tcPr>
            <w:tcW w:w="1500" w:type="dxa"/>
            <w:vAlign w:val="bottom"/>
            <w:tcBorders>
              <w:bottom w:val="single" w:sz="8" w:color="0171B9"/>
            </w:tcBorders>
            <w:shd w:val="clear" w:color="auto" w:fill="CCE2F1"/>
          </w:tcPr>
          <w:p>
            <w:pPr>
              <w:jc w:val="right"/>
              <w:ind w:right="1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1"/>
        </w:trPr>
        <w:tc>
          <w:tcPr>
            <w:tcW w:w="4880" w:type="dxa"/>
            <w:vAlign w:val="bottom"/>
          </w:tcPr>
          <w:p>
            <w:pPr>
              <w:ind w:left="260"/>
              <w:spacing w:after="0"/>
              <w:rPr>
                <w:sz w:val="20"/>
                <w:szCs w:val="20"/>
                <w:color w:val="auto"/>
              </w:rPr>
            </w:pPr>
            <w:r>
              <w:rPr>
                <w:rFonts w:ascii="Arial" w:cs="Arial" w:eastAsia="Arial" w:hAnsi="Arial"/>
                <w:sz w:val="16"/>
                <w:szCs w:val="16"/>
                <w:color w:val="auto"/>
              </w:rPr>
              <w:t>Total</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5,751,291</w:t>
            </w:r>
          </w:p>
        </w:tc>
        <w:tc>
          <w:tcPr>
            <w:tcW w:w="1740" w:type="dxa"/>
            <w:vAlign w:val="bottom"/>
          </w:tcPr>
          <w:p>
            <w:pPr>
              <w:jc w:val="right"/>
              <w:ind w:right="399"/>
              <w:spacing w:after="0"/>
              <w:rPr>
                <w:sz w:val="20"/>
                <w:szCs w:val="20"/>
                <w:color w:val="auto"/>
              </w:rPr>
            </w:pPr>
            <w:r>
              <w:rPr>
                <w:rFonts w:ascii="Arial" w:cs="Arial" w:eastAsia="Arial" w:hAnsi="Arial"/>
                <w:sz w:val="16"/>
                <w:szCs w:val="16"/>
                <w:color w:val="auto"/>
              </w:rPr>
              <w:t>17,721,452</w:t>
            </w: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0</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14,228,084</w:t>
            </w:r>
          </w:p>
        </w:tc>
        <w:tc>
          <w:tcPr>
            <w:tcW w:w="0" w:type="dxa"/>
            <w:vAlign w:val="bottom"/>
          </w:tcPr>
          <w:p>
            <w:pPr>
              <w:spacing w:after="0"/>
              <w:rPr>
                <w:sz w:val="1"/>
                <w:szCs w:val="1"/>
                <w:color w:val="auto"/>
              </w:rPr>
            </w:pPr>
          </w:p>
        </w:tc>
      </w:tr>
      <w:tr>
        <w:trPr>
          <w:trHeight w:val="60"/>
        </w:trPr>
        <w:tc>
          <w:tcPr>
            <w:tcW w:w="4880" w:type="dxa"/>
            <w:vAlign w:val="bottom"/>
            <w:tcBorders>
              <w:bottom w:val="single" w:sz="8" w:color="0171B9"/>
            </w:tcBorders>
          </w:tcPr>
          <w:p>
            <w:pPr>
              <w:spacing w:after="0"/>
              <w:rPr>
                <w:sz w:val="5"/>
                <w:szCs w:val="5"/>
                <w:color w:val="auto"/>
              </w:rPr>
            </w:pPr>
          </w:p>
        </w:tc>
        <w:tc>
          <w:tcPr>
            <w:tcW w:w="1140" w:type="dxa"/>
            <w:vAlign w:val="bottom"/>
            <w:tcBorders>
              <w:bottom w:val="single" w:sz="8" w:color="0171B9"/>
            </w:tcBorders>
          </w:tcPr>
          <w:p>
            <w:pPr>
              <w:spacing w:after="0"/>
              <w:rPr>
                <w:sz w:val="5"/>
                <w:szCs w:val="5"/>
                <w:color w:val="auto"/>
              </w:rPr>
            </w:pPr>
          </w:p>
        </w:tc>
        <w:tc>
          <w:tcPr>
            <w:tcW w:w="1740" w:type="dxa"/>
            <w:vAlign w:val="bottom"/>
            <w:tcBorders>
              <w:bottom w:val="single" w:sz="8" w:color="0171B9"/>
            </w:tcBorders>
          </w:tcPr>
          <w:p>
            <w:pPr>
              <w:spacing w:after="0"/>
              <w:rPr>
                <w:sz w:val="5"/>
                <w:szCs w:val="5"/>
                <w:color w:val="auto"/>
              </w:rPr>
            </w:pPr>
          </w:p>
        </w:tc>
        <w:tc>
          <w:tcPr>
            <w:tcW w:w="1760" w:type="dxa"/>
            <w:vAlign w:val="bottom"/>
            <w:tcBorders>
              <w:bottom w:val="single" w:sz="8" w:color="0171B9"/>
            </w:tcBorders>
          </w:tcPr>
          <w:p>
            <w:pPr>
              <w:spacing w:after="0"/>
              <w:rPr>
                <w:sz w:val="5"/>
                <w:szCs w:val="5"/>
                <w:color w:val="auto"/>
              </w:rPr>
            </w:pPr>
          </w:p>
        </w:tc>
        <w:tc>
          <w:tcPr>
            <w:tcW w:w="1500" w:type="dxa"/>
            <w:vAlign w:val="bottom"/>
            <w:tcBorders>
              <w:bottom w:val="single" w:sz="8" w:color="0171B9"/>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-1584960</wp:posOffset>
            </wp:positionV>
            <wp:extent cx="699516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-1953895</wp:posOffset>
            </wp:positionV>
            <wp:extent cx="372872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728720" cy="8890"/>
                    </a:xfrm>
                    <a:prstGeom prst="rect">
                      <a:avLst/>
                    </a:prstGeom>
                    <a:noFill/>
                  </pic:spPr>
                </pic:pic>
              </a:graphicData>
            </a:graphic>
          </wp:anchor>
        </w:drawing>
      </w:r>
    </w:p>
    <w:p>
      <w:pPr>
        <w:sectPr>
          <w:pgSz w:w="11900" w:h="16838" w:orient="portrait"/>
          <w:cols w:equalWidth="0" w:num="1">
            <w:col w:w="11140"/>
          </w:cols>
          <w:pgMar w:left="320" w:top="486" w:right="439" w:bottom="919" w:gutter="0" w:footer="0" w:header="0"/>
          <w:type w:val="continuous"/>
        </w:sectPr>
      </w:pPr>
    </w:p>
    <w:p>
      <w:pPr>
        <w:spacing w:after="0" w:line="132"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86</w:t>
      </w:r>
      <w:r>
        <w:rPr>
          <w:sz w:val="20"/>
          <w:szCs w:val="20"/>
          <w:color w:val="auto"/>
        </w:rPr>
        <w:tab/>
      </w:r>
      <w:r>
        <w:rPr>
          <w:sz w:val="1"/>
          <w:szCs w:val="1"/>
          <w:color w:val="auto"/>
        </w:rPr>
        <w:drawing>
          <wp:inline distT="0" distB="0" distL="0" distR="0">
            <wp:extent cx="582930" cy="137160"/>
            <wp:effectExtent l="0" t="0" r="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919"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7760"/>
        <w:spacing w:after="0"/>
        <w:rPr>
          <w:sz w:val="20"/>
          <w:szCs w:val="20"/>
          <w:color w:val="auto"/>
        </w:rPr>
      </w:pPr>
      <w:r>
        <w:rPr>
          <w:rFonts w:ascii="Arial" w:cs="Arial" w:eastAsia="Arial" w:hAnsi="Arial"/>
          <w:sz w:val="22"/>
          <w:szCs w:val="22"/>
          <w:b w:val="1"/>
          <w:bCs w:val="1"/>
          <w:color w:val="FFFFFF"/>
          <w:shd w:val="clear" w:color="auto" w:fill="0171B9"/>
        </w:rPr>
        <w:t>Executive Compensation Tables</w:t>
      </w: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i w:val="1"/>
          <w:iCs w:val="1"/>
          <w:color w:val="auto"/>
        </w:rPr>
        <w:t>Estimated Payments to David M. Reese</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960" w:type="dxa"/>
            <w:vAlign w:val="bottom"/>
            <w:shd w:val="clear" w:color="auto" w:fill="0171B9"/>
          </w:tcPr>
          <w:p>
            <w:pPr>
              <w:spacing w:after="0"/>
              <w:rPr>
                <w:sz w:val="16"/>
                <w:szCs w:val="16"/>
                <w:color w:val="auto"/>
              </w:rPr>
            </w:pPr>
          </w:p>
        </w:tc>
        <w:tc>
          <w:tcPr>
            <w:tcW w:w="1140" w:type="dxa"/>
            <w:vAlign w:val="bottom"/>
            <w:shd w:val="clear" w:color="auto" w:fill="0171B9"/>
          </w:tcPr>
          <w:p>
            <w:pPr>
              <w:spacing w:after="0"/>
              <w:rPr>
                <w:sz w:val="16"/>
                <w:szCs w:val="16"/>
                <w:color w:val="auto"/>
              </w:rPr>
            </w:pPr>
          </w:p>
        </w:tc>
        <w:tc>
          <w:tcPr>
            <w:tcW w:w="3500" w:type="dxa"/>
            <w:vAlign w:val="bottom"/>
            <w:gridSpan w:val="2"/>
            <w:shd w:val="clear" w:color="auto" w:fill="0171B9"/>
          </w:tcPr>
          <w:p>
            <w:pPr>
              <w:jc w:val="right"/>
              <w:ind w:right="979"/>
              <w:spacing w:after="0"/>
              <w:rPr>
                <w:sz w:val="20"/>
                <w:szCs w:val="20"/>
                <w:color w:val="auto"/>
              </w:rPr>
            </w:pPr>
            <w:r>
              <w:rPr>
                <w:rFonts w:ascii="Arial" w:cs="Arial" w:eastAsia="Arial" w:hAnsi="Arial"/>
                <w:sz w:val="16"/>
                <w:szCs w:val="16"/>
                <w:b w:val="1"/>
                <w:bCs w:val="1"/>
                <w:color w:val="FFFFFF"/>
              </w:rPr>
              <w:t>Triggering Event</w:t>
            </w:r>
          </w:p>
        </w:tc>
        <w:tc>
          <w:tcPr>
            <w:tcW w:w="1420" w:type="dxa"/>
            <w:vAlign w:val="bottom"/>
            <w:shd w:val="clear" w:color="auto" w:fill="0171B9"/>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60" w:type="dxa"/>
            <w:vAlign w:val="bottom"/>
            <w:shd w:val="clear" w:color="auto" w:fill="0171B9"/>
          </w:tcPr>
          <w:p>
            <w:pPr>
              <w:spacing w:after="0"/>
              <w:rPr>
                <w:sz w:val="16"/>
                <w:szCs w:val="16"/>
                <w:color w:val="auto"/>
              </w:rPr>
            </w:pPr>
          </w:p>
        </w:tc>
        <w:tc>
          <w:tcPr>
            <w:tcW w:w="1140" w:type="dxa"/>
            <w:vAlign w:val="bottom"/>
            <w:vMerge w:val="restart"/>
            <w:shd w:val="clear" w:color="auto" w:fill="0171B9"/>
          </w:tcPr>
          <w:p>
            <w:pPr>
              <w:jc w:val="right"/>
              <w:ind w:right="219"/>
              <w:spacing w:after="0"/>
              <w:rPr>
                <w:sz w:val="20"/>
                <w:szCs w:val="20"/>
                <w:color w:val="auto"/>
              </w:rPr>
            </w:pPr>
            <w:r>
              <w:rPr>
                <w:rFonts w:ascii="Arial" w:cs="Arial" w:eastAsia="Arial" w:hAnsi="Arial"/>
                <w:sz w:val="16"/>
                <w:szCs w:val="16"/>
                <w:b w:val="1"/>
                <w:bCs w:val="1"/>
                <w:color w:val="FFFFFF"/>
              </w:rPr>
              <w:t>Change in</w:t>
            </w:r>
          </w:p>
        </w:tc>
        <w:tc>
          <w:tcPr>
            <w:tcW w:w="1700" w:type="dxa"/>
            <w:vAlign w:val="bottom"/>
            <w:shd w:val="clear" w:color="auto" w:fill="0171B9"/>
          </w:tcPr>
          <w:p>
            <w:pPr>
              <w:jc w:val="right"/>
              <w:ind w:right="359"/>
              <w:spacing w:after="0"/>
              <w:rPr>
                <w:sz w:val="20"/>
                <w:szCs w:val="20"/>
                <w:color w:val="auto"/>
              </w:rPr>
            </w:pPr>
            <w:r>
              <w:rPr>
                <w:rFonts w:ascii="Arial" w:cs="Arial" w:eastAsia="Arial" w:hAnsi="Arial"/>
                <w:sz w:val="16"/>
                <w:szCs w:val="16"/>
                <w:b w:val="1"/>
                <w:bCs w:val="1"/>
                <w:color w:val="FFFFFF"/>
              </w:rPr>
              <w:t>Change in</w:t>
            </w:r>
          </w:p>
        </w:tc>
        <w:tc>
          <w:tcPr>
            <w:tcW w:w="1800" w:type="dxa"/>
            <w:vAlign w:val="bottom"/>
            <w:shd w:val="clear" w:color="auto" w:fill="0171B9"/>
          </w:tcPr>
          <w:p>
            <w:pPr>
              <w:spacing w:after="0"/>
              <w:rPr>
                <w:sz w:val="16"/>
                <w:szCs w:val="16"/>
                <w:color w:val="auto"/>
              </w:rPr>
            </w:pPr>
          </w:p>
        </w:tc>
        <w:tc>
          <w:tcPr>
            <w:tcW w:w="1420" w:type="dxa"/>
            <w:vAlign w:val="bottom"/>
            <w:shd w:val="clear" w:color="auto" w:fill="0171B9"/>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960" w:type="dxa"/>
            <w:vAlign w:val="bottom"/>
            <w:shd w:val="clear" w:color="auto" w:fill="0171B9"/>
          </w:tcPr>
          <w:p>
            <w:pPr>
              <w:spacing w:after="0"/>
              <w:rPr>
                <w:sz w:val="15"/>
                <w:szCs w:val="15"/>
                <w:color w:val="auto"/>
              </w:rPr>
            </w:pPr>
          </w:p>
        </w:tc>
        <w:tc>
          <w:tcPr>
            <w:tcW w:w="1140" w:type="dxa"/>
            <w:vAlign w:val="bottom"/>
            <w:vMerge w:val="continue"/>
            <w:shd w:val="clear" w:color="auto" w:fill="0171B9"/>
          </w:tcPr>
          <w:p>
            <w:pPr>
              <w:spacing w:after="0"/>
              <w:rPr>
                <w:sz w:val="15"/>
                <w:szCs w:val="15"/>
                <w:color w:val="auto"/>
              </w:rPr>
            </w:pPr>
          </w:p>
        </w:tc>
        <w:tc>
          <w:tcPr>
            <w:tcW w:w="1700" w:type="dxa"/>
            <w:vAlign w:val="bottom"/>
            <w:shd w:val="clear" w:color="auto" w:fill="0171B9"/>
          </w:tcPr>
          <w:p>
            <w:pPr>
              <w:jc w:val="right"/>
              <w:ind w:right="359"/>
              <w:spacing w:after="0" w:line="175" w:lineRule="exact"/>
              <w:rPr>
                <w:sz w:val="20"/>
                <w:szCs w:val="20"/>
                <w:color w:val="auto"/>
              </w:rPr>
            </w:pPr>
            <w:r>
              <w:rPr>
                <w:rFonts w:ascii="Arial" w:cs="Arial" w:eastAsia="Arial" w:hAnsi="Arial"/>
                <w:sz w:val="16"/>
                <w:szCs w:val="16"/>
                <w:b w:val="1"/>
                <w:bCs w:val="1"/>
                <w:color w:val="FFFFFF"/>
              </w:rPr>
              <w:t>Control and</w:t>
            </w:r>
          </w:p>
        </w:tc>
        <w:tc>
          <w:tcPr>
            <w:tcW w:w="1800" w:type="dxa"/>
            <w:vAlign w:val="bottom"/>
            <w:shd w:val="clear" w:color="auto" w:fill="0171B9"/>
          </w:tcPr>
          <w:p>
            <w:pPr>
              <w:spacing w:after="0"/>
              <w:rPr>
                <w:sz w:val="15"/>
                <w:szCs w:val="15"/>
                <w:color w:val="auto"/>
              </w:rPr>
            </w:pPr>
          </w:p>
        </w:tc>
        <w:tc>
          <w:tcPr>
            <w:tcW w:w="1420" w:type="dxa"/>
            <w:vAlign w:val="bottom"/>
            <w:shd w:val="clear" w:color="auto" w:fill="0171B9"/>
          </w:tcPr>
          <w:p>
            <w:pPr>
              <w:jc w:val="right"/>
              <w:ind w:right="139"/>
              <w:spacing w:after="0" w:line="175" w:lineRule="exact"/>
              <w:rPr>
                <w:sz w:val="20"/>
                <w:szCs w:val="20"/>
                <w:color w:val="auto"/>
              </w:rPr>
            </w:pPr>
            <w:r>
              <w:rPr>
                <w:rFonts w:ascii="Arial" w:cs="Arial" w:eastAsia="Arial" w:hAnsi="Arial"/>
                <w:sz w:val="16"/>
                <w:szCs w:val="16"/>
                <w:b w:val="1"/>
                <w:bCs w:val="1"/>
                <w:color w:val="FFFFFF"/>
              </w:rPr>
              <w:t>Death or</w:t>
            </w:r>
          </w:p>
        </w:tc>
        <w:tc>
          <w:tcPr>
            <w:tcW w:w="0" w:type="dxa"/>
            <w:vAlign w:val="bottom"/>
          </w:tcPr>
          <w:p>
            <w:pPr>
              <w:spacing w:after="0"/>
              <w:rPr>
                <w:sz w:val="1"/>
                <w:szCs w:val="1"/>
                <w:color w:val="auto"/>
              </w:rPr>
            </w:pPr>
          </w:p>
        </w:tc>
      </w:tr>
      <w:tr>
        <w:trPr>
          <w:trHeight w:val="221"/>
        </w:trPr>
        <w:tc>
          <w:tcPr>
            <w:tcW w:w="4960" w:type="dxa"/>
            <w:vAlign w:val="bottom"/>
            <w:shd w:val="clear" w:color="auto" w:fill="0171B9"/>
          </w:tcPr>
          <w:p>
            <w:pPr>
              <w:ind w:left="80"/>
              <w:spacing w:after="0"/>
              <w:rPr>
                <w:sz w:val="20"/>
                <w:szCs w:val="20"/>
                <w:color w:val="auto"/>
              </w:rPr>
            </w:pPr>
            <w:r>
              <w:rPr>
                <w:rFonts w:ascii="Arial" w:cs="Arial" w:eastAsia="Arial" w:hAnsi="Arial"/>
                <w:sz w:val="16"/>
                <w:szCs w:val="16"/>
                <w:b w:val="1"/>
                <w:bCs w:val="1"/>
                <w:color w:val="FFFFFF"/>
              </w:rPr>
              <w:t>Estimated Potential Payment or Benefit</w:t>
            </w:r>
          </w:p>
        </w:tc>
        <w:tc>
          <w:tcPr>
            <w:tcW w:w="1140" w:type="dxa"/>
            <w:vAlign w:val="bottom"/>
            <w:shd w:val="clear" w:color="auto" w:fill="0171B9"/>
          </w:tcPr>
          <w:p>
            <w:pPr>
              <w:jc w:val="right"/>
              <w:ind w:right="219"/>
              <w:spacing w:after="0"/>
              <w:rPr>
                <w:sz w:val="20"/>
                <w:szCs w:val="20"/>
                <w:color w:val="auto"/>
              </w:rPr>
            </w:pPr>
            <w:r>
              <w:rPr>
                <w:rFonts w:ascii="Arial" w:cs="Arial" w:eastAsia="Arial" w:hAnsi="Arial"/>
                <w:sz w:val="16"/>
                <w:szCs w:val="16"/>
                <w:b w:val="1"/>
                <w:bCs w:val="1"/>
                <w:color w:val="FFFFFF"/>
              </w:rPr>
              <w:t>Control($)</w:t>
            </w:r>
          </w:p>
        </w:tc>
        <w:tc>
          <w:tcPr>
            <w:tcW w:w="1700" w:type="dxa"/>
            <w:vAlign w:val="bottom"/>
            <w:shd w:val="clear" w:color="auto" w:fill="0171B9"/>
          </w:tcPr>
          <w:p>
            <w:pPr>
              <w:jc w:val="right"/>
              <w:ind w:right="359"/>
              <w:spacing w:after="0"/>
              <w:rPr>
                <w:sz w:val="20"/>
                <w:szCs w:val="20"/>
                <w:color w:val="auto"/>
              </w:rPr>
            </w:pPr>
            <w:r>
              <w:rPr>
                <w:rFonts w:ascii="Arial" w:cs="Arial" w:eastAsia="Arial" w:hAnsi="Arial"/>
                <w:sz w:val="16"/>
                <w:szCs w:val="16"/>
                <w:b w:val="1"/>
                <w:bCs w:val="1"/>
                <w:color w:val="FFFFFF"/>
              </w:rPr>
              <w:t>Termination($)</w:t>
            </w:r>
          </w:p>
        </w:tc>
        <w:tc>
          <w:tcPr>
            <w:tcW w:w="1800" w:type="dxa"/>
            <w:vAlign w:val="bottom"/>
            <w:shd w:val="clear" w:color="auto" w:fill="0171B9"/>
          </w:tcPr>
          <w:p>
            <w:pPr>
              <w:jc w:val="right"/>
              <w:ind w:right="379"/>
              <w:spacing w:after="0"/>
              <w:rPr>
                <w:sz w:val="20"/>
                <w:szCs w:val="20"/>
                <w:color w:val="auto"/>
              </w:rPr>
            </w:pPr>
            <w:r>
              <w:rPr>
                <w:rFonts w:ascii="Arial" w:cs="Arial" w:eastAsia="Arial" w:hAnsi="Arial"/>
                <w:sz w:val="16"/>
                <w:szCs w:val="16"/>
                <w:b w:val="1"/>
                <w:bCs w:val="1"/>
                <w:color w:val="FFFFFF"/>
              </w:rPr>
              <w:t>Retirement($)</w:t>
            </w:r>
          </w:p>
        </w:tc>
        <w:tc>
          <w:tcPr>
            <w:tcW w:w="142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Disability($)</w:t>
            </w:r>
          </w:p>
        </w:tc>
        <w:tc>
          <w:tcPr>
            <w:tcW w:w="0" w:type="dxa"/>
            <w:vAlign w:val="bottom"/>
          </w:tcPr>
          <w:p>
            <w:pPr>
              <w:spacing w:after="0"/>
              <w:rPr>
                <w:sz w:val="1"/>
                <w:szCs w:val="1"/>
                <w:color w:val="auto"/>
              </w:rPr>
            </w:pPr>
          </w:p>
        </w:tc>
      </w:tr>
      <w:tr>
        <w:trPr>
          <w:trHeight w:val="291"/>
        </w:trPr>
        <w:tc>
          <w:tcPr>
            <w:tcW w:w="496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6"/>
                <w:szCs w:val="16"/>
                <w:color w:val="auto"/>
              </w:rPr>
              <w:t>Lump sum cash severance payment</w:t>
            </w:r>
          </w:p>
        </w:tc>
        <w:tc>
          <w:tcPr>
            <w:tcW w:w="1140" w:type="dxa"/>
            <w:vAlign w:val="bottom"/>
            <w:tcBorders>
              <w:bottom w:val="single" w:sz="8" w:color="CCE2F1"/>
            </w:tcBorders>
            <w:shd w:val="clear" w:color="auto" w:fill="CCE2F1"/>
          </w:tcPr>
          <w:p>
            <w:pPr>
              <w:jc w:val="right"/>
              <w:ind w:right="219"/>
              <w:spacing w:after="0"/>
              <w:rPr>
                <w:sz w:val="20"/>
                <w:szCs w:val="20"/>
                <w:color w:val="auto"/>
              </w:rPr>
            </w:pPr>
            <w:r>
              <w:rPr>
                <w:rFonts w:ascii="Arial" w:cs="Arial" w:eastAsia="Arial" w:hAnsi="Arial"/>
                <w:sz w:val="16"/>
                <w:szCs w:val="16"/>
                <w:color w:val="auto"/>
              </w:rPr>
              <w:t>0</w:t>
            </w:r>
          </w:p>
        </w:tc>
        <w:tc>
          <w:tcPr>
            <w:tcW w:w="1700" w:type="dxa"/>
            <w:vAlign w:val="bottom"/>
            <w:tcBorders>
              <w:bottom w:val="single" w:sz="8" w:color="CCE2F1"/>
            </w:tcBorders>
            <w:shd w:val="clear" w:color="auto" w:fill="CCE2F1"/>
          </w:tcPr>
          <w:p>
            <w:pPr>
              <w:jc w:val="right"/>
              <w:ind w:right="359"/>
              <w:spacing w:after="0"/>
              <w:rPr>
                <w:sz w:val="20"/>
                <w:szCs w:val="20"/>
                <w:color w:val="auto"/>
              </w:rPr>
            </w:pPr>
            <w:r>
              <w:rPr>
                <w:rFonts w:ascii="Arial" w:cs="Arial" w:eastAsia="Arial" w:hAnsi="Arial"/>
                <w:sz w:val="16"/>
                <w:szCs w:val="16"/>
                <w:color w:val="auto"/>
              </w:rPr>
              <w:t>4,700,000</w:t>
            </w:r>
          </w:p>
        </w:tc>
        <w:tc>
          <w:tcPr>
            <w:tcW w:w="1800" w:type="dxa"/>
            <w:vAlign w:val="bottom"/>
            <w:tcBorders>
              <w:bottom w:val="single" w:sz="8" w:color="CCE2F1"/>
            </w:tcBorders>
            <w:shd w:val="clear" w:color="auto" w:fill="CCE2F1"/>
          </w:tcPr>
          <w:p>
            <w:pPr>
              <w:jc w:val="right"/>
              <w:ind w:right="379"/>
              <w:spacing w:after="0"/>
              <w:rPr>
                <w:sz w:val="20"/>
                <w:szCs w:val="20"/>
                <w:color w:val="auto"/>
              </w:rPr>
            </w:pPr>
            <w:r>
              <w:rPr>
                <w:rFonts w:ascii="Arial" w:cs="Arial" w:eastAsia="Arial" w:hAnsi="Arial"/>
                <w:sz w:val="16"/>
                <w:szCs w:val="16"/>
                <w:color w:val="auto"/>
              </w:rPr>
              <w:t>0</w:t>
            </w:r>
          </w:p>
        </w:tc>
        <w:tc>
          <w:tcPr>
            <w:tcW w:w="142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1"/>
        </w:trPr>
        <w:tc>
          <w:tcPr>
            <w:tcW w:w="4960" w:type="dxa"/>
            <w:vAlign w:val="bottom"/>
          </w:tcPr>
          <w:p>
            <w:pPr>
              <w:ind w:left="80"/>
              <w:spacing w:after="0"/>
              <w:rPr>
                <w:sz w:val="20"/>
                <w:szCs w:val="20"/>
                <w:color w:val="auto"/>
              </w:rPr>
            </w:pPr>
            <w:r>
              <w:rPr>
                <w:rFonts w:ascii="Arial" w:cs="Arial" w:eastAsia="Arial" w:hAnsi="Arial"/>
                <w:sz w:val="16"/>
                <w:szCs w:val="16"/>
                <w:color w:val="auto"/>
              </w:rPr>
              <w:t>Intrinsic value of accelerated unvested stock options</w:t>
            </w: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3,463,304</w:t>
            </w:r>
          </w:p>
        </w:tc>
        <w:tc>
          <w:tcPr>
            <w:tcW w:w="1800" w:type="dxa"/>
            <w:vAlign w:val="bottom"/>
          </w:tcPr>
          <w:p>
            <w:pPr>
              <w:jc w:val="right"/>
              <w:ind w:right="379"/>
              <w:spacing w:after="0"/>
              <w:rPr>
                <w:sz w:val="20"/>
                <w:szCs w:val="20"/>
                <w:color w:val="auto"/>
              </w:rPr>
            </w:pPr>
            <w:r>
              <w:rPr>
                <w:rFonts w:ascii="Arial" w:cs="Arial" w:eastAsia="Arial" w:hAnsi="Arial"/>
                <w:sz w:val="16"/>
                <w:szCs w:val="16"/>
                <w:color w:val="auto"/>
              </w:rPr>
              <w:t>3,463,304</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3,463,304</w:t>
            </w:r>
          </w:p>
        </w:tc>
        <w:tc>
          <w:tcPr>
            <w:tcW w:w="0" w:type="dxa"/>
            <w:vAlign w:val="bottom"/>
          </w:tcPr>
          <w:p>
            <w:pPr>
              <w:spacing w:after="0"/>
              <w:rPr>
                <w:sz w:val="1"/>
                <w:szCs w:val="1"/>
                <w:color w:val="auto"/>
              </w:rPr>
            </w:pPr>
          </w:p>
        </w:tc>
      </w:tr>
      <w:tr>
        <w:trPr>
          <w:trHeight w:val="60"/>
        </w:trPr>
        <w:tc>
          <w:tcPr>
            <w:tcW w:w="49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496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6"/>
                <w:szCs w:val="16"/>
                <w:color w:val="auto"/>
              </w:rPr>
              <w:t>Intrinsic value of accelerated unvested RSU’s</w:t>
            </w:r>
          </w:p>
        </w:tc>
        <w:tc>
          <w:tcPr>
            <w:tcW w:w="1140" w:type="dxa"/>
            <w:vAlign w:val="bottom"/>
            <w:tcBorders>
              <w:bottom w:val="single" w:sz="8" w:color="CCE2F1"/>
            </w:tcBorders>
            <w:shd w:val="clear" w:color="auto" w:fill="CCE2F1"/>
          </w:tcPr>
          <w:p>
            <w:pPr>
              <w:jc w:val="right"/>
              <w:ind w:right="219"/>
              <w:spacing w:after="0"/>
              <w:rPr>
                <w:sz w:val="20"/>
                <w:szCs w:val="20"/>
                <w:color w:val="auto"/>
              </w:rPr>
            </w:pPr>
            <w:r>
              <w:rPr>
                <w:rFonts w:ascii="Arial" w:cs="Arial" w:eastAsia="Arial" w:hAnsi="Arial"/>
                <w:sz w:val="16"/>
                <w:szCs w:val="16"/>
                <w:color w:val="auto"/>
              </w:rPr>
              <w:t>0</w:t>
            </w:r>
          </w:p>
        </w:tc>
        <w:tc>
          <w:tcPr>
            <w:tcW w:w="1700" w:type="dxa"/>
            <w:vAlign w:val="bottom"/>
            <w:tcBorders>
              <w:bottom w:val="single" w:sz="8" w:color="CCE2F1"/>
            </w:tcBorders>
            <w:shd w:val="clear" w:color="auto" w:fill="CCE2F1"/>
          </w:tcPr>
          <w:p>
            <w:pPr>
              <w:jc w:val="right"/>
              <w:ind w:right="359"/>
              <w:spacing w:after="0"/>
              <w:rPr>
                <w:sz w:val="20"/>
                <w:szCs w:val="20"/>
                <w:color w:val="auto"/>
              </w:rPr>
            </w:pPr>
            <w:r>
              <w:rPr>
                <w:rFonts w:ascii="Arial" w:cs="Arial" w:eastAsia="Arial" w:hAnsi="Arial"/>
                <w:sz w:val="16"/>
                <w:szCs w:val="16"/>
                <w:color w:val="auto"/>
              </w:rPr>
              <w:t>3,271,444</w:t>
            </w:r>
          </w:p>
        </w:tc>
        <w:tc>
          <w:tcPr>
            <w:tcW w:w="1800" w:type="dxa"/>
            <w:vAlign w:val="bottom"/>
            <w:tcBorders>
              <w:bottom w:val="single" w:sz="8" w:color="CCE2F1"/>
            </w:tcBorders>
            <w:shd w:val="clear" w:color="auto" w:fill="CCE2F1"/>
          </w:tcPr>
          <w:p>
            <w:pPr>
              <w:jc w:val="right"/>
              <w:ind w:right="379"/>
              <w:spacing w:after="0"/>
              <w:rPr>
                <w:sz w:val="20"/>
                <w:szCs w:val="20"/>
                <w:color w:val="auto"/>
              </w:rPr>
            </w:pPr>
            <w:r>
              <w:rPr>
                <w:rFonts w:ascii="Arial" w:cs="Arial" w:eastAsia="Arial" w:hAnsi="Arial"/>
                <w:sz w:val="16"/>
                <w:szCs w:val="16"/>
                <w:color w:val="auto"/>
              </w:rPr>
              <w:t>3,271,444</w:t>
            </w:r>
          </w:p>
        </w:tc>
        <w:tc>
          <w:tcPr>
            <w:tcW w:w="142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3,271,444</w:t>
            </w:r>
          </w:p>
        </w:tc>
        <w:tc>
          <w:tcPr>
            <w:tcW w:w="0" w:type="dxa"/>
            <w:vAlign w:val="bottom"/>
          </w:tcPr>
          <w:p>
            <w:pPr>
              <w:spacing w:after="0"/>
              <w:rPr>
                <w:sz w:val="1"/>
                <w:szCs w:val="1"/>
                <w:color w:val="auto"/>
              </w:rPr>
            </w:pPr>
          </w:p>
        </w:tc>
      </w:tr>
      <w:tr>
        <w:trPr>
          <w:trHeight w:val="311"/>
        </w:trPr>
        <w:tc>
          <w:tcPr>
            <w:tcW w:w="4960" w:type="dxa"/>
            <w:vAlign w:val="bottom"/>
          </w:tcPr>
          <w:p>
            <w:pPr>
              <w:ind w:left="80"/>
              <w:spacing w:after="0"/>
              <w:rPr>
                <w:sz w:val="20"/>
                <w:szCs w:val="20"/>
                <w:color w:val="auto"/>
              </w:rPr>
            </w:pPr>
            <w:r>
              <w:rPr>
                <w:rFonts w:ascii="Arial" w:cs="Arial" w:eastAsia="Arial" w:hAnsi="Arial"/>
                <w:sz w:val="16"/>
                <w:szCs w:val="16"/>
                <w:color w:val="auto"/>
              </w:rPr>
              <w:t>Value of 2022-2024 performance units</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2,442,027</w:t>
            </w:r>
            <w:r>
              <w:rPr>
                <w:rFonts w:ascii="Arial" w:cs="Arial" w:eastAsia="Arial" w:hAnsi="Arial"/>
                <w:sz w:val="24"/>
                <w:szCs w:val="24"/>
                <w:color w:val="auto"/>
                <w:vertAlign w:val="superscript"/>
              </w:rPr>
              <w:t>(1)</w:t>
            </w:r>
          </w:p>
        </w:tc>
        <w:tc>
          <w:tcPr>
            <w:tcW w:w="1700" w:type="dxa"/>
            <w:vAlign w:val="bottom"/>
          </w:tcPr>
          <w:p>
            <w:pPr>
              <w:jc w:val="right"/>
              <w:ind w:right="219"/>
              <w:spacing w:after="0"/>
              <w:rPr>
                <w:sz w:val="20"/>
                <w:szCs w:val="20"/>
                <w:color w:val="auto"/>
              </w:rPr>
            </w:pPr>
            <w:r>
              <w:rPr>
                <w:rFonts w:ascii="Arial" w:cs="Arial" w:eastAsia="Arial" w:hAnsi="Arial"/>
                <w:sz w:val="16"/>
                <w:szCs w:val="16"/>
                <w:color w:val="auto"/>
              </w:rPr>
              <w:t>2,442,027</w:t>
            </w:r>
            <w:r>
              <w:rPr>
                <w:rFonts w:ascii="Arial" w:cs="Arial" w:eastAsia="Arial" w:hAnsi="Arial"/>
                <w:sz w:val="24"/>
                <w:szCs w:val="24"/>
                <w:color w:val="auto"/>
                <w:vertAlign w:val="superscript"/>
              </w:rPr>
              <w:t>(1)</w:t>
            </w:r>
          </w:p>
        </w:tc>
        <w:tc>
          <w:tcPr>
            <w:tcW w:w="1800" w:type="dxa"/>
            <w:vAlign w:val="bottom"/>
          </w:tcPr>
          <w:p>
            <w:pPr>
              <w:jc w:val="right"/>
              <w:ind w:right="219"/>
              <w:spacing w:after="0"/>
              <w:rPr>
                <w:sz w:val="20"/>
                <w:szCs w:val="20"/>
                <w:color w:val="auto"/>
              </w:rPr>
            </w:pPr>
            <w:r>
              <w:rPr>
                <w:rFonts w:ascii="Arial" w:cs="Arial" w:eastAsia="Arial" w:hAnsi="Arial"/>
                <w:sz w:val="16"/>
                <w:szCs w:val="16"/>
                <w:color w:val="auto"/>
              </w:rPr>
              <w:t>3,186,611</w:t>
            </w:r>
            <w:r>
              <w:rPr>
                <w:rFonts w:ascii="Arial" w:cs="Arial" w:eastAsia="Arial" w:hAnsi="Arial"/>
                <w:sz w:val="24"/>
                <w:szCs w:val="24"/>
                <w:color w:val="auto"/>
                <w:vertAlign w:val="superscript"/>
              </w:rPr>
              <w:t>(2)</w:t>
            </w:r>
          </w:p>
        </w:tc>
        <w:tc>
          <w:tcPr>
            <w:tcW w:w="1420" w:type="dxa"/>
            <w:vAlign w:val="bottom"/>
          </w:tcPr>
          <w:p>
            <w:pPr>
              <w:jc w:val="right"/>
              <w:spacing w:after="0"/>
              <w:rPr>
                <w:sz w:val="20"/>
                <w:szCs w:val="20"/>
                <w:color w:val="auto"/>
              </w:rPr>
            </w:pPr>
            <w:r>
              <w:rPr>
                <w:rFonts w:ascii="Arial" w:cs="Arial" w:eastAsia="Arial" w:hAnsi="Arial"/>
                <w:sz w:val="16"/>
                <w:szCs w:val="16"/>
                <w:color w:val="auto"/>
              </w:rPr>
              <w:t>3,186,611</w:t>
            </w:r>
            <w:r>
              <w:rPr>
                <w:rFonts w:ascii="Arial" w:cs="Arial" w:eastAsia="Arial" w:hAnsi="Arial"/>
                <w:sz w:val="24"/>
                <w:szCs w:val="24"/>
                <w:color w:val="auto"/>
                <w:vertAlign w:val="superscript"/>
              </w:rPr>
              <w:t>(2)</w:t>
            </w:r>
          </w:p>
        </w:tc>
        <w:tc>
          <w:tcPr>
            <w:tcW w:w="0" w:type="dxa"/>
            <w:vAlign w:val="bottom"/>
          </w:tcPr>
          <w:p>
            <w:pPr>
              <w:spacing w:after="0"/>
              <w:rPr>
                <w:sz w:val="1"/>
                <w:szCs w:val="1"/>
                <w:color w:val="auto"/>
              </w:rPr>
            </w:pPr>
          </w:p>
        </w:tc>
      </w:tr>
      <w:tr>
        <w:trPr>
          <w:trHeight w:val="310"/>
        </w:trPr>
        <w:tc>
          <w:tcPr>
            <w:tcW w:w="4960" w:type="dxa"/>
            <w:vAlign w:val="bottom"/>
            <w:shd w:val="clear" w:color="auto" w:fill="CCE2F1"/>
          </w:tcPr>
          <w:p>
            <w:pPr>
              <w:ind w:left="80"/>
              <w:spacing w:after="0"/>
              <w:rPr>
                <w:sz w:val="20"/>
                <w:szCs w:val="20"/>
                <w:color w:val="auto"/>
              </w:rPr>
            </w:pPr>
            <w:r>
              <w:rPr>
                <w:rFonts w:ascii="Arial" w:cs="Arial" w:eastAsia="Arial" w:hAnsi="Arial"/>
                <w:sz w:val="16"/>
                <w:szCs w:val="16"/>
                <w:color w:val="auto"/>
              </w:rPr>
              <w:t>Value of 2021-2023 performance units</w:t>
            </w:r>
          </w:p>
        </w:tc>
        <w:tc>
          <w:tcPr>
            <w:tcW w:w="1140" w:type="dxa"/>
            <w:vAlign w:val="bottom"/>
            <w:shd w:val="clear" w:color="auto" w:fill="CCE2F1"/>
          </w:tcPr>
          <w:p>
            <w:pPr>
              <w:jc w:val="right"/>
              <w:ind w:right="79"/>
              <w:spacing w:after="0"/>
              <w:rPr>
                <w:sz w:val="20"/>
                <w:szCs w:val="20"/>
                <w:color w:val="auto"/>
              </w:rPr>
            </w:pPr>
            <w:r>
              <w:rPr>
                <w:rFonts w:ascii="Arial" w:cs="Arial" w:eastAsia="Arial" w:hAnsi="Arial"/>
                <w:sz w:val="16"/>
                <w:szCs w:val="16"/>
                <w:color w:val="auto"/>
              </w:rPr>
              <w:t>2,916,355</w:t>
            </w:r>
            <w:r>
              <w:rPr>
                <w:rFonts w:ascii="Arial" w:cs="Arial" w:eastAsia="Arial" w:hAnsi="Arial"/>
                <w:sz w:val="24"/>
                <w:szCs w:val="24"/>
                <w:color w:val="auto"/>
                <w:vertAlign w:val="superscript"/>
              </w:rPr>
              <w:t>(1)</w:t>
            </w:r>
          </w:p>
        </w:tc>
        <w:tc>
          <w:tcPr>
            <w:tcW w:w="1700" w:type="dxa"/>
            <w:vAlign w:val="bottom"/>
            <w:shd w:val="clear" w:color="auto" w:fill="CCE2F1"/>
          </w:tcPr>
          <w:p>
            <w:pPr>
              <w:jc w:val="right"/>
              <w:ind w:right="219"/>
              <w:spacing w:after="0"/>
              <w:rPr>
                <w:sz w:val="20"/>
                <w:szCs w:val="20"/>
                <w:color w:val="auto"/>
              </w:rPr>
            </w:pPr>
            <w:r>
              <w:rPr>
                <w:rFonts w:ascii="Arial" w:cs="Arial" w:eastAsia="Arial" w:hAnsi="Arial"/>
                <w:sz w:val="16"/>
                <w:szCs w:val="16"/>
                <w:color w:val="auto"/>
              </w:rPr>
              <w:t>2,916,355</w:t>
            </w:r>
            <w:r>
              <w:rPr>
                <w:rFonts w:ascii="Arial" w:cs="Arial" w:eastAsia="Arial" w:hAnsi="Arial"/>
                <w:sz w:val="24"/>
                <w:szCs w:val="24"/>
                <w:color w:val="auto"/>
                <w:vertAlign w:val="superscript"/>
              </w:rPr>
              <w:t>(1)</w:t>
            </w:r>
          </w:p>
        </w:tc>
        <w:tc>
          <w:tcPr>
            <w:tcW w:w="1800" w:type="dxa"/>
            <w:vAlign w:val="bottom"/>
            <w:shd w:val="clear" w:color="auto" w:fill="CCE2F1"/>
          </w:tcPr>
          <w:p>
            <w:pPr>
              <w:jc w:val="right"/>
              <w:ind w:right="219"/>
              <w:spacing w:after="0"/>
              <w:rPr>
                <w:sz w:val="20"/>
                <w:szCs w:val="20"/>
                <w:color w:val="auto"/>
              </w:rPr>
            </w:pPr>
            <w:r>
              <w:rPr>
                <w:rFonts w:ascii="Arial" w:cs="Arial" w:eastAsia="Arial" w:hAnsi="Arial"/>
                <w:sz w:val="16"/>
                <w:szCs w:val="16"/>
                <w:color w:val="auto"/>
              </w:rPr>
              <w:t>3,499,153</w:t>
            </w:r>
            <w:r>
              <w:rPr>
                <w:rFonts w:ascii="Arial" w:cs="Arial" w:eastAsia="Arial" w:hAnsi="Arial"/>
                <w:sz w:val="24"/>
                <w:szCs w:val="24"/>
                <w:color w:val="auto"/>
                <w:vertAlign w:val="superscript"/>
              </w:rPr>
              <w:t>(2)</w:t>
            </w:r>
          </w:p>
        </w:tc>
        <w:tc>
          <w:tcPr>
            <w:tcW w:w="1420" w:type="dxa"/>
            <w:vAlign w:val="bottom"/>
            <w:shd w:val="clear" w:color="auto" w:fill="CCE2F1"/>
          </w:tcPr>
          <w:p>
            <w:pPr>
              <w:jc w:val="right"/>
              <w:spacing w:after="0"/>
              <w:rPr>
                <w:sz w:val="20"/>
                <w:szCs w:val="20"/>
                <w:color w:val="auto"/>
              </w:rPr>
            </w:pPr>
            <w:r>
              <w:rPr>
                <w:rFonts w:ascii="Arial" w:cs="Arial" w:eastAsia="Arial" w:hAnsi="Arial"/>
                <w:sz w:val="16"/>
                <w:szCs w:val="16"/>
                <w:color w:val="auto"/>
              </w:rPr>
              <w:t>3,499,153</w:t>
            </w:r>
            <w:r>
              <w:rPr>
                <w:rFonts w:ascii="Arial" w:cs="Arial" w:eastAsia="Arial" w:hAnsi="Arial"/>
                <w:sz w:val="24"/>
                <w:szCs w:val="24"/>
                <w:color w:val="auto"/>
                <w:vertAlign w:val="superscript"/>
              </w:rPr>
              <w:t>(2)</w:t>
            </w:r>
          </w:p>
        </w:tc>
        <w:tc>
          <w:tcPr>
            <w:tcW w:w="0" w:type="dxa"/>
            <w:vAlign w:val="bottom"/>
          </w:tcPr>
          <w:p>
            <w:pPr>
              <w:spacing w:after="0"/>
              <w:rPr>
                <w:sz w:val="1"/>
                <w:szCs w:val="1"/>
                <w:color w:val="auto"/>
              </w:rPr>
            </w:pPr>
          </w:p>
        </w:tc>
      </w:tr>
      <w:tr>
        <w:trPr>
          <w:trHeight w:val="311"/>
        </w:trPr>
        <w:tc>
          <w:tcPr>
            <w:tcW w:w="4960" w:type="dxa"/>
            <w:vAlign w:val="bottom"/>
          </w:tcPr>
          <w:p>
            <w:pPr>
              <w:ind w:left="80"/>
              <w:spacing w:after="0"/>
              <w:rPr>
                <w:sz w:val="20"/>
                <w:szCs w:val="20"/>
                <w:color w:val="auto"/>
              </w:rPr>
            </w:pPr>
            <w:r>
              <w:rPr>
                <w:rFonts w:ascii="Arial" w:cs="Arial" w:eastAsia="Arial" w:hAnsi="Arial"/>
                <w:sz w:val="16"/>
                <w:szCs w:val="16"/>
                <w:color w:val="auto"/>
              </w:rPr>
              <w:t>Continuing health care benefits for 18 months</w:t>
            </w:r>
            <w:r>
              <w:rPr>
                <w:rFonts w:ascii="Arial" w:cs="Arial" w:eastAsia="Arial" w:hAnsi="Arial"/>
                <w:sz w:val="24"/>
                <w:szCs w:val="24"/>
                <w:color w:val="auto"/>
                <w:vertAlign w:val="superscript"/>
              </w:rPr>
              <w:t>(3)</w:t>
            </w: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43,045</w:t>
            </w:r>
          </w:p>
        </w:tc>
        <w:tc>
          <w:tcPr>
            <w:tcW w:w="180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10"/>
        </w:trPr>
        <w:tc>
          <w:tcPr>
            <w:tcW w:w="4960" w:type="dxa"/>
            <w:vAlign w:val="bottom"/>
            <w:tcBorders>
              <w:bottom w:val="single" w:sz="8" w:color="0171B9"/>
            </w:tcBorders>
            <w:shd w:val="clear" w:color="auto" w:fill="CCE2F1"/>
          </w:tcPr>
          <w:p>
            <w:pPr>
              <w:ind w:left="80"/>
              <w:spacing w:after="0"/>
              <w:rPr>
                <w:sz w:val="20"/>
                <w:szCs w:val="20"/>
                <w:color w:val="auto"/>
              </w:rPr>
            </w:pPr>
            <w:r>
              <w:rPr>
                <w:rFonts w:ascii="Arial" w:cs="Arial" w:eastAsia="Arial" w:hAnsi="Arial"/>
                <w:sz w:val="16"/>
                <w:szCs w:val="16"/>
                <w:color w:val="auto"/>
              </w:rPr>
              <w:t>Continuing retirement plan contributions for two years</w:t>
            </w:r>
            <w:r>
              <w:rPr>
                <w:rFonts w:ascii="Arial" w:cs="Arial" w:eastAsia="Arial" w:hAnsi="Arial"/>
                <w:sz w:val="24"/>
                <w:szCs w:val="24"/>
                <w:color w:val="auto"/>
                <w:vertAlign w:val="superscript"/>
              </w:rPr>
              <w:t>(4)</w:t>
            </w:r>
          </w:p>
        </w:tc>
        <w:tc>
          <w:tcPr>
            <w:tcW w:w="1140" w:type="dxa"/>
            <w:vAlign w:val="bottom"/>
            <w:tcBorders>
              <w:bottom w:val="single" w:sz="8" w:color="0171B9"/>
            </w:tcBorders>
            <w:shd w:val="clear" w:color="auto" w:fill="CCE2F1"/>
          </w:tcPr>
          <w:p>
            <w:pPr>
              <w:jc w:val="right"/>
              <w:ind w:right="219"/>
              <w:spacing w:after="0"/>
              <w:rPr>
                <w:sz w:val="20"/>
                <w:szCs w:val="20"/>
                <w:color w:val="auto"/>
              </w:rPr>
            </w:pPr>
            <w:r>
              <w:rPr>
                <w:rFonts w:ascii="Arial" w:cs="Arial" w:eastAsia="Arial" w:hAnsi="Arial"/>
                <w:sz w:val="16"/>
                <w:szCs w:val="16"/>
                <w:color w:val="auto"/>
              </w:rPr>
              <w:t>0</w:t>
            </w:r>
          </w:p>
        </w:tc>
        <w:tc>
          <w:tcPr>
            <w:tcW w:w="1700" w:type="dxa"/>
            <w:vAlign w:val="bottom"/>
            <w:tcBorders>
              <w:bottom w:val="single" w:sz="8" w:color="0171B9"/>
            </w:tcBorders>
            <w:shd w:val="clear" w:color="auto" w:fill="CCE2F1"/>
          </w:tcPr>
          <w:p>
            <w:pPr>
              <w:jc w:val="right"/>
              <w:ind w:right="359"/>
              <w:spacing w:after="0"/>
              <w:rPr>
                <w:sz w:val="20"/>
                <w:szCs w:val="20"/>
                <w:color w:val="auto"/>
              </w:rPr>
            </w:pPr>
            <w:r>
              <w:rPr>
                <w:rFonts w:ascii="Arial" w:cs="Arial" w:eastAsia="Arial" w:hAnsi="Arial"/>
                <w:sz w:val="16"/>
                <w:szCs w:val="16"/>
                <w:color w:val="auto"/>
              </w:rPr>
              <w:t>475,000</w:t>
            </w:r>
          </w:p>
        </w:tc>
        <w:tc>
          <w:tcPr>
            <w:tcW w:w="1800" w:type="dxa"/>
            <w:vAlign w:val="bottom"/>
            <w:tcBorders>
              <w:bottom w:val="single" w:sz="8" w:color="0171B9"/>
            </w:tcBorders>
            <w:shd w:val="clear" w:color="auto" w:fill="CCE2F1"/>
          </w:tcPr>
          <w:p>
            <w:pPr>
              <w:jc w:val="right"/>
              <w:ind w:right="379"/>
              <w:spacing w:after="0"/>
              <w:rPr>
                <w:sz w:val="20"/>
                <w:szCs w:val="20"/>
                <w:color w:val="auto"/>
              </w:rPr>
            </w:pPr>
            <w:r>
              <w:rPr>
                <w:rFonts w:ascii="Arial" w:cs="Arial" w:eastAsia="Arial" w:hAnsi="Arial"/>
                <w:sz w:val="16"/>
                <w:szCs w:val="16"/>
                <w:color w:val="auto"/>
              </w:rPr>
              <w:t>0</w:t>
            </w:r>
          </w:p>
        </w:tc>
        <w:tc>
          <w:tcPr>
            <w:tcW w:w="1420" w:type="dxa"/>
            <w:vAlign w:val="bottom"/>
            <w:tcBorders>
              <w:bottom w:val="single" w:sz="8" w:color="0171B9"/>
            </w:tcBorders>
            <w:shd w:val="clear" w:color="auto" w:fill="CCE2F1"/>
          </w:tcPr>
          <w:p>
            <w:pPr>
              <w:jc w:val="right"/>
              <w:ind w:right="1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1"/>
        </w:trPr>
        <w:tc>
          <w:tcPr>
            <w:tcW w:w="4960" w:type="dxa"/>
            <w:vAlign w:val="bottom"/>
          </w:tcPr>
          <w:p>
            <w:pPr>
              <w:ind w:left="260"/>
              <w:spacing w:after="0"/>
              <w:rPr>
                <w:sz w:val="20"/>
                <w:szCs w:val="20"/>
                <w:color w:val="auto"/>
              </w:rPr>
            </w:pPr>
            <w:r>
              <w:rPr>
                <w:rFonts w:ascii="Arial" w:cs="Arial" w:eastAsia="Arial" w:hAnsi="Arial"/>
                <w:sz w:val="16"/>
                <w:szCs w:val="16"/>
                <w:color w:val="auto"/>
              </w:rPr>
              <w:t>Total</w:t>
            </w: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5,358,382</w:t>
            </w: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17,311,175</w:t>
            </w:r>
          </w:p>
        </w:tc>
        <w:tc>
          <w:tcPr>
            <w:tcW w:w="1800" w:type="dxa"/>
            <w:vAlign w:val="bottom"/>
          </w:tcPr>
          <w:p>
            <w:pPr>
              <w:jc w:val="right"/>
              <w:ind w:right="379"/>
              <w:spacing w:after="0"/>
              <w:rPr>
                <w:sz w:val="20"/>
                <w:szCs w:val="20"/>
                <w:color w:val="auto"/>
              </w:rPr>
            </w:pPr>
            <w:r>
              <w:rPr>
                <w:rFonts w:ascii="Arial" w:cs="Arial" w:eastAsia="Arial" w:hAnsi="Arial"/>
                <w:sz w:val="16"/>
                <w:szCs w:val="16"/>
                <w:color w:val="auto"/>
              </w:rPr>
              <w:t>13,420,512</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13,420,512</w:t>
            </w:r>
          </w:p>
        </w:tc>
        <w:tc>
          <w:tcPr>
            <w:tcW w:w="0" w:type="dxa"/>
            <w:vAlign w:val="bottom"/>
          </w:tcPr>
          <w:p>
            <w:pPr>
              <w:spacing w:after="0"/>
              <w:rPr>
                <w:sz w:val="1"/>
                <w:szCs w:val="1"/>
                <w:color w:val="auto"/>
              </w:rPr>
            </w:pPr>
          </w:p>
        </w:tc>
      </w:tr>
      <w:tr>
        <w:trPr>
          <w:trHeight w:val="60"/>
        </w:trPr>
        <w:tc>
          <w:tcPr>
            <w:tcW w:w="4960" w:type="dxa"/>
            <w:vAlign w:val="bottom"/>
            <w:tcBorders>
              <w:bottom w:val="single" w:sz="8" w:color="0171B9"/>
            </w:tcBorders>
          </w:tcPr>
          <w:p>
            <w:pPr>
              <w:spacing w:after="0"/>
              <w:rPr>
                <w:sz w:val="5"/>
                <w:szCs w:val="5"/>
                <w:color w:val="auto"/>
              </w:rPr>
            </w:pPr>
          </w:p>
        </w:tc>
        <w:tc>
          <w:tcPr>
            <w:tcW w:w="1140" w:type="dxa"/>
            <w:vAlign w:val="bottom"/>
            <w:tcBorders>
              <w:bottom w:val="single" w:sz="8" w:color="0171B9"/>
            </w:tcBorders>
          </w:tcPr>
          <w:p>
            <w:pPr>
              <w:spacing w:after="0"/>
              <w:rPr>
                <w:sz w:val="5"/>
                <w:szCs w:val="5"/>
                <w:color w:val="auto"/>
              </w:rPr>
            </w:pPr>
          </w:p>
        </w:tc>
        <w:tc>
          <w:tcPr>
            <w:tcW w:w="1700" w:type="dxa"/>
            <w:vAlign w:val="bottom"/>
            <w:tcBorders>
              <w:bottom w:val="single" w:sz="8" w:color="0171B9"/>
            </w:tcBorders>
          </w:tcPr>
          <w:p>
            <w:pPr>
              <w:spacing w:after="0"/>
              <w:rPr>
                <w:sz w:val="5"/>
                <w:szCs w:val="5"/>
                <w:color w:val="auto"/>
              </w:rPr>
            </w:pPr>
          </w:p>
        </w:tc>
        <w:tc>
          <w:tcPr>
            <w:tcW w:w="1800" w:type="dxa"/>
            <w:vAlign w:val="bottom"/>
            <w:tcBorders>
              <w:bottom w:val="single" w:sz="8" w:color="0171B9"/>
            </w:tcBorders>
          </w:tcPr>
          <w:p>
            <w:pPr>
              <w:spacing w:after="0"/>
              <w:rPr>
                <w:sz w:val="5"/>
                <w:szCs w:val="5"/>
                <w:color w:val="auto"/>
              </w:rPr>
            </w:pPr>
          </w:p>
        </w:tc>
        <w:tc>
          <w:tcPr>
            <w:tcW w:w="1420" w:type="dxa"/>
            <w:vAlign w:val="bottom"/>
            <w:tcBorders>
              <w:bottom w:val="single" w:sz="8" w:color="0171B9"/>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-1585595</wp:posOffset>
            </wp:positionV>
            <wp:extent cx="699516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-1953895</wp:posOffset>
            </wp:positionV>
            <wp:extent cx="368617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i w:val="1"/>
          <w:iCs w:val="1"/>
          <w:color w:val="auto"/>
        </w:rPr>
        <w:t>Estimated Payments to Peter H. Griffith</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880" w:type="dxa"/>
            <w:vAlign w:val="bottom"/>
            <w:shd w:val="clear" w:color="auto" w:fill="0171B9"/>
          </w:tcPr>
          <w:p>
            <w:pPr>
              <w:spacing w:after="0"/>
              <w:rPr>
                <w:sz w:val="16"/>
                <w:szCs w:val="16"/>
                <w:color w:val="auto"/>
              </w:rPr>
            </w:pPr>
          </w:p>
        </w:tc>
        <w:tc>
          <w:tcPr>
            <w:tcW w:w="1140" w:type="dxa"/>
            <w:vAlign w:val="bottom"/>
            <w:shd w:val="clear" w:color="auto" w:fill="0171B9"/>
          </w:tcPr>
          <w:p>
            <w:pPr>
              <w:spacing w:after="0"/>
              <w:rPr>
                <w:sz w:val="16"/>
                <w:szCs w:val="16"/>
                <w:color w:val="auto"/>
              </w:rPr>
            </w:pPr>
          </w:p>
        </w:tc>
        <w:tc>
          <w:tcPr>
            <w:tcW w:w="3500" w:type="dxa"/>
            <w:vAlign w:val="bottom"/>
            <w:gridSpan w:val="2"/>
            <w:shd w:val="clear" w:color="auto" w:fill="0171B9"/>
          </w:tcPr>
          <w:p>
            <w:pPr>
              <w:jc w:val="right"/>
              <w:ind w:right="919"/>
              <w:spacing w:after="0"/>
              <w:rPr>
                <w:sz w:val="20"/>
                <w:szCs w:val="20"/>
                <w:color w:val="auto"/>
              </w:rPr>
            </w:pPr>
            <w:r>
              <w:rPr>
                <w:rFonts w:ascii="Arial" w:cs="Arial" w:eastAsia="Arial" w:hAnsi="Arial"/>
                <w:sz w:val="16"/>
                <w:szCs w:val="16"/>
                <w:b w:val="1"/>
                <w:bCs w:val="1"/>
                <w:color w:val="FFFFFF"/>
              </w:rPr>
              <w:t>Triggering Event</w:t>
            </w:r>
          </w:p>
        </w:tc>
        <w:tc>
          <w:tcPr>
            <w:tcW w:w="1500" w:type="dxa"/>
            <w:vAlign w:val="bottom"/>
            <w:shd w:val="clear" w:color="auto" w:fill="0171B9"/>
          </w:tcPr>
          <w:p>
            <w:pPr>
              <w:spacing w:after="0"/>
              <w:rPr>
                <w:sz w:val="16"/>
                <w:szCs w:val="16"/>
                <w:color w:val="auto"/>
              </w:rPr>
            </w:pPr>
          </w:p>
        </w:tc>
      </w:tr>
      <w:tr>
        <w:trPr>
          <w:trHeight w:val="184"/>
        </w:trPr>
        <w:tc>
          <w:tcPr>
            <w:tcW w:w="4880" w:type="dxa"/>
            <w:vAlign w:val="bottom"/>
            <w:shd w:val="clear" w:color="auto" w:fill="0171B9"/>
          </w:tcPr>
          <w:p>
            <w:pPr>
              <w:spacing w:after="0"/>
              <w:rPr>
                <w:sz w:val="16"/>
                <w:szCs w:val="16"/>
                <w:color w:val="auto"/>
              </w:rPr>
            </w:pPr>
          </w:p>
        </w:tc>
        <w:tc>
          <w:tcPr>
            <w:tcW w:w="1140" w:type="dxa"/>
            <w:vAlign w:val="bottom"/>
            <w:shd w:val="clear" w:color="auto" w:fill="0171B9"/>
          </w:tcPr>
          <w:p>
            <w:pPr>
              <w:spacing w:after="0"/>
              <w:rPr>
                <w:sz w:val="16"/>
                <w:szCs w:val="16"/>
                <w:color w:val="auto"/>
              </w:rPr>
            </w:pPr>
          </w:p>
        </w:tc>
        <w:tc>
          <w:tcPr>
            <w:tcW w:w="1740" w:type="dxa"/>
            <w:vAlign w:val="bottom"/>
            <w:shd w:val="clear" w:color="auto" w:fill="0171B9"/>
          </w:tcPr>
          <w:p>
            <w:pPr>
              <w:jc w:val="right"/>
              <w:ind w:right="399"/>
              <w:spacing w:after="0"/>
              <w:rPr>
                <w:sz w:val="20"/>
                <w:szCs w:val="20"/>
                <w:color w:val="auto"/>
              </w:rPr>
            </w:pPr>
            <w:r>
              <w:rPr>
                <w:rFonts w:ascii="Arial" w:cs="Arial" w:eastAsia="Arial" w:hAnsi="Arial"/>
                <w:sz w:val="16"/>
                <w:szCs w:val="16"/>
                <w:b w:val="1"/>
                <w:bCs w:val="1"/>
                <w:color w:val="FFFFFF"/>
              </w:rPr>
              <w:t>Change in</w:t>
            </w:r>
          </w:p>
        </w:tc>
        <w:tc>
          <w:tcPr>
            <w:tcW w:w="1760" w:type="dxa"/>
            <w:vAlign w:val="bottom"/>
            <w:shd w:val="clear" w:color="auto" w:fill="0171B9"/>
          </w:tcPr>
          <w:p>
            <w:pPr>
              <w:spacing w:after="0"/>
              <w:rPr>
                <w:sz w:val="16"/>
                <w:szCs w:val="16"/>
                <w:color w:val="auto"/>
              </w:rPr>
            </w:pPr>
          </w:p>
        </w:tc>
        <w:tc>
          <w:tcPr>
            <w:tcW w:w="1500" w:type="dxa"/>
            <w:vAlign w:val="bottom"/>
            <w:shd w:val="clear" w:color="auto" w:fill="0171B9"/>
          </w:tcPr>
          <w:p>
            <w:pPr>
              <w:spacing w:after="0"/>
              <w:rPr>
                <w:sz w:val="16"/>
                <w:szCs w:val="16"/>
                <w:color w:val="auto"/>
              </w:rPr>
            </w:pPr>
          </w:p>
        </w:tc>
      </w:tr>
      <w:tr>
        <w:trPr>
          <w:trHeight w:val="189"/>
        </w:trPr>
        <w:tc>
          <w:tcPr>
            <w:tcW w:w="4880" w:type="dxa"/>
            <w:vAlign w:val="bottom"/>
            <w:shd w:val="clear" w:color="auto" w:fill="0171B9"/>
          </w:tcPr>
          <w:p>
            <w:pPr>
              <w:spacing w:after="0"/>
              <w:rPr>
                <w:sz w:val="16"/>
                <w:szCs w:val="16"/>
                <w:color w:val="auto"/>
              </w:rPr>
            </w:pPr>
          </w:p>
        </w:tc>
        <w:tc>
          <w:tcPr>
            <w:tcW w:w="1140" w:type="dxa"/>
            <w:vAlign w:val="bottom"/>
            <w:shd w:val="clear" w:color="auto" w:fill="0171B9"/>
          </w:tcPr>
          <w:p>
            <w:pPr>
              <w:jc w:val="right"/>
              <w:ind w:right="199"/>
              <w:spacing w:after="0"/>
              <w:rPr>
                <w:sz w:val="20"/>
                <w:szCs w:val="20"/>
                <w:color w:val="auto"/>
              </w:rPr>
            </w:pPr>
            <w:r>
              <w:rPr>
                <w:rFonts w:ascii="Arial" w:cs="Arial" w:eastAsia="Arial" w:hAnsi="Arial"/>
                <w:sz w:val="16"/>
                <w:szCs w:val="16"/>
                <w:b w:val="1"/>
                <w:bCs w:val="1"/>
                <w:color w:val="FFFFFF"/>
              </w:rPr>
              <w:t>Change in</w:t>
            </w:r>
          </w:p>
        </w:tc>
        <w:tc>
          <w:tcPr>
            <w:tcW w:w="1740" w:type="dxa"/>
            <w:vAlign w:val="bottom"/>
            <w:shd w:val="clear" w:color="auto" w:fill="0171B9"/>
          </w:tcPr>
          <w:p>
            <w:pPr>
              <w:jc w:val="right"/>
              <w:ind w:right="399"/>
              <w:spacing w:after="0"/>
              <w:rPr>
                <w:sz w:val="20"/>
                <w:szCs w:val="20"/>
                <w:color w:val="auto"/>
              </w:rPr>
            </w:pPr>
            <w:r>
              <w:rPr>
                <w:rFonts w:ascii="Arial" w:cs="Arial" w:eastAsia="Arial" w:hAnsi="Arial"/>
                <w:sz w:val="16"/>
                <w:szCs w:val="16"/>
                <w:b w:val="1"/>
                <w:bCs w:val="1"/>
                <w:color w:val="FFFFFF"/>
              </w:rPr>
              <w:t>Control and</w:t>
            </w:r>
          </w:p>
        </w:tc>
        <w:tc>
          <w:tcPr>
            <w:tcW w:w="1760" w:type="dxa"/>
            <w:vAlign w:val="bottom"/>
            <w:shd w:val="clear" w:color="auto" w:fill="0171B9"/>
          </w:tcPr>
          <w:p>
            <w:pPr>
              <w:spacing w:after="0"/>
              <w:rPr>
                <w:sz w:val="16"/>
                <w:szCs w:val="16"/>
                <w:color w:val="auto"/>
              </w:rPr>
            </w:pPr>
          </w:p>
        </w:tc>
        <w:tc>
          <w:tcPr>
            <w:tcW w:w="150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Death or</w:t>
            </w:r>
          </w:p>
        </w:tc>
      </w:tr>
      <w:tr>
        <w:trPr>
          <w:trHeight w:val="221"/>
        </w:trPr>
        <w:tc>
          <w:tcPr>
            <w:tcW w:w="4880" w:type="dxa"/>
            <w:vAlign w:val="bottom"/>
            <w:shd w:val="clear" w:color="auto" w:fill="0171B9"/>
          </w:tcPr>
          <w:p>
            <w:pPr>
              <w:ind w:left="80"/>
              <w:spacing w:after="0"/>
              <w:rPr>
                <w:sz w:val="20"/>
                <w:szCs w:val="20"/>
                <w:color w:val="auto"/>
              </w:rPr>
            </w:pPr>
            <w:r>
              <w:rPr>
                <w:rFonts w:ascii="Arial" w:cs="Arial" w:eastAsia="Arial" w:hAnsi="Arial"/>
                <w:sz w:val="16"/>
                <w:szCs w:val="16"/>
                <w:b w:val="1"/>
                <w:bCs w:val="1"/>
                <w:color w:val="FFFFFF"/>
              </w:rPr>
              <w:t>Estimated Potential Payment or Benefit</w:t>
            </w:r>
          </w:p>
        </w:tc>
        <w:tc>
          <w:tcPr>
            <w:tcW w:w="1140" w:type="dxa"/>
            <w:vAlign w:val="bottom"/>
            <w:shd w:val="clear" w:color="auto" w:fill="0171B9"/>
          </w:tcPr>
          <w:p>
            <w:pPr>
              <w:jc w:val="right"/>
              <w:ind w:right="199"/>
              <w:spacing w:after="0"/>
              <w:rPr>
                <w:sz w:val="20"/>
                <w:szCs w:val="20"/>
                <w:color w:val="auto"/>
              </w:rPr>
            </w:pPr>
            <w:r>
              <w:rPr>
                <w:rFonts w:ascii="Arial" w:cs="Arial" w:eastAsia="Arial" w:hAnsi="Arial"/>
                <w:sz w:val="16"/>
                <w:szCs w:val="16"/>
                <w:b w:val="1"/>
                <w:bCs w:val="1"/>
                <w:color w:val="FFFFFF"/>
              </w:rPr>
              <w:t>Control($)</w:t>
            </w:r>
          </w:p>
        </w:tc>
        <w:tc>
          <w:tcPr>
            <w:tcW w:w="1740" w:type="dxa"/>
            <w:vAlign w:val="bottom"/>
            <w:shd w:val="clear" w:color="auto" w:fill="0171B9"/>
          </w:tcPr>
          <w:p>
            <w:pPr>
              <w:jc w:val="right"/>
              <w:ind w:right="399"/>
              <w:spacing w:after="0"/>
              <w:rPr>
                <w:sz w:val="20"/>
                <w:szCs w:val="20"/>
                <w:color w:val="auto"/>
              </w:rPr>
            </w:pPr>
            <w:r>
              <w:rPr>
                <w:rFonts w:ascii="Arial" w:cs="Arial" w:eastAsia="Arial" w:hAnsi="Arial"/>
                <w:sz w:val="16"/>
                <w:szCs w:val="16"/>
                <w:b w:val="1"/>
                <w:bCs w:val="1"/>
                <w:color w:val="FFFFFF"/>
              </w:rPr>
              <w:t>Termination($)</w:t>
            </w:r>
          </w:p>
        </w:tc>
        <w:tc>
          <w:tcPr>
            <w:tcW w:w="1760" w:type="dxa"/>
            <w:vAlign w:val="bottom"/>
            <w:shd w:val="clear" w:color="auto" w:fill="0171B9"/>
          </w:tcPr>
          <w:p>
            <w:pPr>
              <w:jc w:val="right"/>
              <w:ind w:right="299"/>
              <w:spacing w:after="0"/>
              <w:rPr>
                <w:sz w:val="20"/>
                <w:szCs w:val="20"/>
                <w:color w:val="auto"/>
              </w:rPr>
            </w:pPr>
            <w:r>
              <w:rPr>
                <w:rFonts w:ascii="Arial" w:cs="Arial" w:eastAsia="Arial" w:hAnsi="Arial"/>
                <w:sz w:val="16"/>
                <w:szCs w:val="16"/>
                <w:b w:val="1"/>
                <w:bCs w:val="1"/>
                <w:color w:val="FFFFFF"/>
              </w:rPr>
              <w:t>Retirement($)</w:t>
            </w:r>
          </w:p>
        </w:tc>
        <w:tc>
          <w:tcPr>
            <w:tcW w:w="150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Disability($)</w:t>
            </w:r>
          </w:p>
        </w:tc>
      </w:tr>
      <w:tr>
        <w:trPr>
          <w:trHeight w:val="290"/>
        </w:trPr>
        <w:tc>
          <w:tcPr>
            <w:tcW w:w="488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6"/>
                <w:szCs w:val="16"/>
                <w:color w:val="auto"/>
              </w:rPr>
              <w:t>Lump sum cash severance payment</w:t>
            </w:r>
          </w:p>
        </w:tc>
        <w:tc>
          <w:tcPr>
            <w:tcW w:w="1140" w:type="dxa"/>
            <w:vAlign w:val="bottom"/>
            <w:tcBorders>
              <w:bottom w:val="single" w:sz="8" w:color="CCE2F1"/>
            </w:tcBorders>
            <w:shd w:val="clear" w:color="auto" w:fill="CCE2F1"/>
          </w:tcPr>
          <w:p>
            <w:pPr>
              <w:jc w:val="right"/>
              <w:ind w:right="199"/>
              <w:spacing w:after="0"/>
              <w:rPr>
                <w:sz w:val="20"/>
                <w:szCs w:val="20"/>
                <w:color w:val="auto"/>
              </w:rPr>
            </w:pPr>
            <w:r>
              <w:rPr>
                <w:rFonts w:ascii="Arial" w:cs="Arial" w:eastAsia="Arial" w:hAnsi="Arial"/>
                <w:sz w:val="16"/>
                <w:szCs w:val="16"/>
                <w:color w:val="auto"/>
              </w:rPr>
              <w:t>0</w:t>
            </w:r>
          </w:p>
        </w:tc>
        <w:tc>
          <w:tcPr>
            <w:tcW w:w="1740" w:type="dxa"/>
            <w:vAlign w:val="bottom"/>
            <w:tcBorders>
              <w:bottom w:val="single" w:sz="8" w:color="CCE2F1"/>
            </w:tcBorders>
            <w:shd w:val="clear" w:color="auto" w:fill="CCE2F1"/>
          </w:tcPr>
          <w:p>
            <w:pPr>
              <w:jc w:val="right"/>
              <w:ind w:right="399"/>
              <w:spacing w:after="0"/>
              <w:rPr>
                <w:sz w:val="20"/>
                <w:szCs w:val="20"/>
                <w:color w:val="auto"/>
              </w:rPr>
            </w:pPr>
            <w:r>
              <w:rPr>
                <w:rFonts w:ascii="Arial" w:cs="Arial" w:eastAsia="Arial" w:hAnsi="Arial"/>
                <w:sz w:val="16"/>
                <w:szCs w:val="16"/>
                <w:color w:val="auto"/>
              </w:rPr>
              <w:t>4,200,000</w:t>
            </w:r>
          </w:p>
        </w:tc>
        <w:tc>
          <w:tcPr>
            <w:tcW w:w="1760" w:type="dxa"/>
            <w:vAlign w:val="bottom"/>
            <w:tcBorders>
              <w:bottom w:val="single" w:sz="8" w:color="CCE2F1"/>
            </w:tcBorders>
            <w:shd w:val="clear" w:color="auto" w:fill="CCE2F1"/>
          </w:tcPr>
          <w:p>
            <w:pPr>
              <w:jc w:val="right"/>
              <w:ind w:right="299"/>
              <w:spacing w:after="0"/>
              <w:rPr>
                <w:sz w:val="20"/>
                <w:szCs w:val="20"/>
                <w:color w:val="auto"/>
              </w:rPr>
            </w:pPr>
            <w:r>
              <w:rPr>
                <w:rFonts w:ascii="Arial" w:cs="Arial" w:eastAsia="Arial" w:hAnsi="Arial"/>
                <w:sz w:val="16"/>
                <w:szCs w:val="16"/>
                <w:color w:val="auto"/>
              </w:rPr>
              <w:t>0</w:t>
            </w:r>
          </w:p>
        </w:tc>
        <w:tc>
          <w:tcPr>
            <w:tcW w:w="150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0</w:t>
            </w:r>
          </w:p>
        </w:tc>
      </w:tr>
      <w:tr>
        <w:trPr>
          <w:trHeight w:val="250"/>
        </w:trPr>
        <w:tc>
          <w:tcPr>
            <w:tcW w:w="4880" w:type="dxa"/>
            <w:vAlign w:val="bottom"/>
          </w:tcPr>
          <w:p>
            <w:pPr>
              <w:ind w:left="80"/>
              <w:spacing w:after="0"/>
              <w:rPr>
                <w:sz w:val="20"/>
                <w:szCs w:val="20"/>
                <w:color w:val="auto"/>
              </w:rPr>
            </w:pPr>
            <w:r>
              <w:rPr>
                <w:rFonts w:ascii="Arial" w:cs="Arial" w:eastAsia="Arial" w:hAnsi="Arial"/>
                <w:sz w:val="16"/>
                <w:szCs w:val="16"/>
                <w:color w:val="auto"/>
              </w:rPr>
              <w:t>Intrinsic value of accelerated unvested stock options</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1740" w:type="dxa"/>
            <w:vAlign w:val="bottom"/>
          </w:tcPr>
          <w:p>
            <w:pPr>
              <w:jc w:val="right"/>
              <w:ind w:right="399"/>
              <w:spacing w:after="0"/>
              <w:rPr>
                <w:sz w:val="20"/>
                <w:szCs w:val="20"/>
                <w:color w:val="auto"/>
              </w:rPr>
            </w:pPr>
            <w:r>
              <w:rPr>
                <w:rFonts w:ascii="Arial" w:cs="Arial" w:eastAsia="Arial" w:hAnsi="Arial"/>
                <w:sz w:val="16"/>
                <w:szCs w:val="16"/>
                <w:color w:val="auto"/>
              </w:rPr>
              <w:t>2,174,921</w:t>
            </w: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0</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2,174,921</w:t>
            </w:r>
          </w:p>
        </w:tc>
      </w:tr>
      <w:tr>
        <w:trPr>
          <w:trHeight w:val="60"/>
        </w:trPr>
        <w:tc>
          <w:tcPr>
            <w:tcW w:w="4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90"/>
        </w:trPr>
        <w:tc>
          <w:tcPr>
            <w:tcW w:w="488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6"/>
                <w:szCs w:val="16"/>
                <w:color w:val="auto"/>
              </w:rPr>
              <w:t>Intrinsic value of accelerated unvested RSU’s</w:t>
            </w:r>
          </w:p>
        </w:tc>
        <w:tc>
          <w:tcPr>
            <w:tcW w:w="1140" w:type="dxa"/>
            <w:vAlign w:val="bottom"/>
            <w:tcBorders>
              <w:bottom w:val="single" w:sz="8" w:color="CCE2F1"/>
            </w:tcBorders>
            <w:shd w:val="clear" w:color="auto" w:fill="CCE2F1"/>
          </w:tcPr>
          <w:p>
            <w:pPr>
              <w:jc w:val="right"/>
              <w:ind w:right="199"/>
              <w:spacing w:after="0"/>
              <w:rPr>
                <w:sz w:val="20"/>
                <w:szCs w:val="20"/>
                <w:color w:val="auto"/>
              </w:rPr>
            </w:pPr>
            <w:r>
              <w:rPr>
                <w:rFonts w:ascii="Arial" w:cs="Arial" w:eastAsia="Arial" w:hAnsi="Arial"/>
                <w:sz w:val="16"/>
                <w:szCs w:val="16"/>
                <w:color w:val="auto"/>
              </w:rPr>
              <w:t>0</w:t>
            </w:r>
          </w:p>
        </w:tc>
        <w:tc>
          <w:tcPr>
            <w:tcW w:w="1740" w:type="dxa"/>
            <w:vAlign w:val="bottom"/>
            <w:tcBorders>
              <w:bottom w:val="single" w:sz="8" w:color="CCE2F1"/>
            </w:tcBorders>
            <w:shd w:val="clear" w:color="auto" w:fill="CCE2F1"/>
          </w:tcPr>
          <w:p>
            <w:pPr>
              <w:jc w:val="right"/>
              <w:ind w:right="399"/>
              <w:spacing w:after="0"/>
              <w:rPr>
                <w:sz w:val="20"/>
                <w:szCs w:val="20"/>
                <w:color w:val="auto"/>
              </w:rPr>
            </w:pPr>
            <w:r>
              <w:rPr>
                <w:rFonts w:ascii="Arial" w:cs="Arial" w:eastAsia="Arial" w:hAnsi="Arial"/>
                <w:sz w:val="16"/>
                <w:szCs w:val="16"/>
                <w:color w:val="auto"/>
              </w:rPr>
              <w:t>4,423,908</w:t>
            </w:r>
          </w:p>
        </w:tc>
        <w:tc>
          <w:tcPr>
            <w:tcW w:w="1760" w:type="dxa"/>
            <w:vAlign w:val="bottom"/>
            <w:tcBorders>
              <w:bottom w:val="single" w:sz="8" w:color="CCE2F1"/>
            </w:tcBorders>
            <w:shd w:val="clear" w:color="auto" w:fill="CCE2F1"/>
          </w:tcPr>
          <w:p>
            <w:pPr>
              <w:jc w:val="right"/>
              <w:ind w:right="299"/>
              <w:spacing w:after="0"/>
              <w:rPr>
                <w:sz w:val="20"/>
                <w:szCs w:val="20"/>
                <w:color w:val="auto"/>
              </w:rPr>
            </w:pPr>
            <w:r>
              <w:rPr>
                <w:rFonts w:ascii="Arial" w:cs="Arial" w:eastAsia="Arial" w:hAnsi="Arial"/>
                <w:sz w:val="16"/>
                <w:szCs w:val="16"/>
                <w:color w:val="auto"/>
              </w:rPr>
              <w:t>0</w:t>
            </w:r>
          </w:p>
        </w:tc>
        <w:tc>
          <w:tcPr>
            <w:tcW w:w="150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4,423,908</w:t>
            </w:r>
          </w:p>
        </w:tc>
      </w:tr>
      <w:tr>
        <w:trPr>
          <w:trHeight w:val="311"/>
        </w:trPr>
        <w:tc>
          <w:tcPr>
            <w:tcW w:w="4880" w:type="dxa"/>
            <w:vAlign w:val="bottom"/>
          </w:tcPr>
          <w:p>
            <w:pPr>
              <w:ind w:left="80"/>
              <w:spacing w:after="0"/>
              <w:rPr>
                <w:sz w:val="20"/>
                <w:szCs w:val="20"/>
                <w:color w:val="auto"/>
              </w:rPr>
            </w:pPr>
            <w:r>
              <w:rPr>
                <w:rFonts w:ascii="Arial" w:cs="Arial" w:eastAsia="Arial" w:hAnsi="Arial"/>
                <w:sz w:val="16"/>
                <w:szCs w:val="16"/>
                <w:color w:val="auto"/>
              </w:rPr>
              <w:t>Value of 2022-2024 performance units</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2,442,027</w:t>
            </w:r>
            <w:r>
              <w:rPr>
                <w:rFonts w:ascii="Arial" w:cs="Arial" w:eastAsia="Arial" w:hAnsi="Arial"/>
                <w:sz w:val="24"/>
                <w:szCs w:val="24"/>
                <w:color w:val="auto"/>
                <w:vertAlign w:val="superscript"/>
              </w:rPr>
              <w:t>(1)</w:t>
            </w:r>
          </w:p>
        </w:tc>
        <w:tc>
          <w:tcPr>
            <w:tcW w:w="1740" w:type="dxa"/>
            <w:vAlign w:val="bottom"/>
          </w:tcPr>
          <w:p>
            <w:pPr>
              <w:jc w:val="right"/>
              <w:ind w:right="239"/>
              <w:spacing w:after="0"/>
              <w:rPr>
                <w:sz w:val="20"/>
                <w:szCs w:val="20"/>
                <w:color w:val="auto"/>
              </w:rPr>
            </w:pPr>
            <w:r>
              <w:rPr>
                <w:rFonts w:ascii="Arial" w:cs="Arial" w:eastAsia="Arial" w:hAnsi="Arial"/>
                <w:sz w:val="16"/>
                <w:szCs w:val="16"/>
                <w:color w:val="auto"/>
              </w:rPr>
              <w:t>2,442,027</w:t>
            </w:r>
            <w:r>
              <w:rPr>
                <w:rFonts w:ascii="Arial" w:cs="Arial" w:eastAsia="Arial" w:hAnsi="Arial"/>
                <w:sz w:val="24"/>
                <w:szCs w:val="24"/>
                <w:color w:val="auto"/>
                <w:vertAlign w:val="superscript"/>
              </w:rPr>
              <w:t>(1)</w:t>
            </w: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0</w:t>
            </w:r>
          </w:p>
        </w:tc>
        <w:tc>
          <w:tcPr>
            <w:tcW w:w="1500" w:type="dxa"/>
            <w:vAlign w:val="bottom"/>
          </w:tcPr>
          <w:p>
            <w:pPr>
              <w:jc w:val="right"/>
              <w:spacing w:after="0"/>
              <w:rPr>
                <w:sz w:val="20"/>
                <w:szCs w:val="20"/>
                <w:color w:val="auto"/>
              </w:rPr>
            </w:pPr>
            <w:r>
              <w:rPr>
                <w:rFonts w:ascii="Arial" w:cs="Arial" w:eastAsia="Arial" w:hAnsi="Arial"/>
                <w:sz w:val="16"/>
                <w:szCs w:val="16"/>
                <w:color w:val="auto"/>
              </w:rPr>
              <w:t>3,186,611</w:t>
            </w:r>
            <w:r>
              <w:rPr>
                <w:rFonts w:ascii="Arial" w:cs="Arial" w:eastAsia="Arial" w:hAnsi="Arial"/>
                <w:sz w:val="24"/>
                <w:szCs w:val="24"/>
                <w:color w:val="auto"/>
                <w:vertAlign w:val="superscript"/>
              </w:rPr>
              <w:t>(2)</w:t>
            </w:r>
          </w:p>
        </w:tc>
      </w:tr>
      <w:tr>
        <w:trPr>
          <w:trHeight w:val="310"/>
        </w:trPr>
        <w:tc>
          <w:tcPr>
            <w:tcW w:w="4880" w:type="dxa"/>
            <w:vAlign w:val="bottom"/>
            <w:shd w:val="clear" w:color="auto" w:fill="CCE2F1"/>
          </w:tcPr>
          <w:p>
            <w:pPr>
              <w:ind w:left="80"/>
              <w:spacing w:after="0"/>
              <w:rPr>
                <w:sz w:val="20"/>
                <w:szCs w:val="20"/>
                <w:color w:val="auto"/>
              </w:rPr>
            </w:pPr>
            <w:r>
              <w:rPr>
                <w:rFonts w:ascii="Arial" w:cs="Arial" w:eastAsia="Arial" w:hAnsi="Arial"/>
                <w:sz w:val="16"/>
                <w:szCs w:val="16"/>
                <w:color w:val="auto"/>
              </w:rPr>
              <w:t>Value of 2021-2023 performance units</w:t>
            </w:r>
          </w:p>
        </w:tc>
        <w:tc>
          <w:tcPr>
            <w:tcW w:w="1140" w:type="dxa"/>
            <w:vAlign w:val="bottom"/>
            <w:shd w:val="clear" w:color="auto" w:fill="CCE2F1"/>
          </w:tcPr>
          <w:p>
            <w:pPr>
              <w:jc w:val="right"/>
              <w:ind w:right="59"/>
              <w:spacing w:after="0"/>
              <w:rPr>
                <w:sz w:val="20"/>
                <w:szCs w:val="20"/>
                <w:color w:val="auto"/>
              </w:rPr>
            </w:pPr>
            <w:r>
              <w:rPr>
                <w:rFonts w:ascii="Arial" w:cs="Arial" w:eastAsia="Arial" w:hAnsi="Arial"/>
                <w:sz w:val="16"/>
                <w:szCs w:val="16"/>
                <w:color w:val="auto"/>
              </w:rPr>
              <w:t>2,429,945</w:t>
            </w:r>
            <w:r>
              <w:rPr>
                <w:rFonts w:ascii="Arial" w:cs="Arial" w:eastAsia="Arial" w:hAnsi="Arial"/>
                <w:sz w:val="24"/>
                <w:szCs w:val="24"/>
                <w:color w:val="auto"/>
                <w:vertAlign w:val="superscript"/>
              </w:rPr>
              <w:t>(1)</w:t>
            </w:r>
          </w:p>
        </w:tc>
        <w:tc>
          <w:tcPr>
            <w:tcW w:w="1740" w:type="dxa"/>
            <w:vAlign w:val="bottom"/>
            <w:shd w:val="clear" w:color="auto" w:fill="CCE2F1"/>
          </w:tcPr>
          <w:p>
            <w:pPr>
              <w:jc w:val="right"/>
              <w:ind w:right="239"/>
              <w:spacing w:after="0"/>
              <w:rPr>
                <w:sz w:val="20"/>
                <w:szCs w:val="20"/>
                <w:color w:val="auto"/>
              </w:rPr>
            </w:pPr>
            <w:r>
              <w:rPr>
                <w:rFonts w:ascii="Arial" w:cs="Arial" w:eastAsia="Arial" w:hAnsi="Arial"/>
                <w:sz w:val="16"/>
                <w:szCs w:val="16"/>
                <w:color w:val="auto"/>
              </w:rPr>
              <w:t>2,429,945</w:t>
            </w:r>
            <w:r>
              <w:rPr>
                <w:rFonts w:ascii="Arial" w:cs="Arial" w:eastAsia="Arial" w:hAnsi="Arial"/>
                <w:sz w:val="24"/>
                <w:szCs w:val="24"/>
                <w:color w:val="auto"/>
                <w:vertAlign w:val="superscript"/>
              </w:rPr>
              <w:t>(1)</w:t>
            </w:r>
          </w:p>
        </w:tc>
        <w:tc>
          <w:tcPr>
            <w:tcW w:w="1760" w:type="dxa"/>
            <w:vAlign w:val="bottom"/>
            <w:shd w:val="clear" w:color="auto" w:fill="CCE2F1"/>
          </w:tcPr>
          <w:p>
            <w:pPr>
              <w:jc w:val="right"/>
              <w:ind w:right="299"/>
              <w:spacing w:after="0"/>
              <w:rPr>
                <w:sz w:val="20"/>
                <w:szCs w:val="20"/>
                <w:color w:val="auto"/>
              </w:rPr>
            </w:pPr>
            <w:r>
              <w:rPr>
                <w:rFonts w:ascii="Arial" w:cs="Arial" w:eastAsia="Arial" w:hAnsi="Arial"/>
                <w:sz w:val="16"/>
                <w:szCs w:val="16"/>
                <w:color w:val="auto"/>
              </w:rPr>
              <w:t>0</w:t>
            </w:r>
          </w:p>
        </w:tc>
        <w:tc>
          <w:tcPr>
            <w:tcW w:w="1500" w:type="dxa"/>
            <w:vAlign w:val="bottom"/>
            <w:shd w:val="clear" w:color="auto" w:fill="CCE2F1"/>
          </w:tcPr>
          <w:p>
            <w:pPr>
              <w:jc w:val="right"/>
              <w:spacing w:after="0"/>
              <w:rPr>
                <w:sz w:val="20"/>
                <w:szCs w:val="20"/>
                <w:color w:val="auto"/>
              </w:rPr>
            </w:pPr>
            <w:r>
              <w:rPr>
                <w:rFonts w:ascii="Arial" w:cs="Arial" w:eastAsia="Arial" w:hAnsi="Arial"/>
                <w:sz w:val="16"/>
                <w:szCs w:val="16"/>
                <w:color w:val="auto"/>
              </w:rPr>
              <w:t>2,915,567</w:t>
            </w:r>
            <w:r>
              <w:rPr>
                <w:rFonts w:ascii="Arial" w:cs="Arial" w:eastAsia="Arial" w:hAnsi="Arial"/>
                <w:sz w:val="24"/>
                <w:szCs w:val="24"/>
                <w:color w:val="auto"/>
                <w:vertAlign w:val="superscript"/>
              </w:rPr>
              <w:t>(2)</w:t>
            </w:r>
          </w:p>
        </w:tc>
      </w:tr>
      <w:tr>
        <w:trPr>
          <w:trHeight w:val="310"/>
        </w:trPr>
        <w:tc>
          <w:tcPr>
            <w:tcW w:w="4880" w:type="dxa"/>
            <w:vAlign w:val="bottom"/>
          </w:tcPr>
          <w:p>
            <w:pPr>
              <w:ind w:left="80"/>
              <w:spacing w:after="0"/>
              <w:rPr>
                <w:sz w:val="20"/>
                <w:szCs w:val="20"/>
                <w:color w:val="auto"/>
              </w:rPr>
            </w:pPr>
            <w:r>
              <w:rPr>
                <w:rFonts w:ascii="Arial" w:cs="Arial" w:eastAsia="Arial" w:hAnsi="Arial"/>
                <w:sz w:val="16"/>
                <w:szCs w:val="16"/>
                <w:color w:val="auto"/>
              </w:rPr>
              <w:t>Continuing health care benefits for 18 months</w:t>
            </w:r>
            <w:r>
              <w:rPr>
                <w:rFonts w:ascii="Arial" w:cs="Arial" w:eastAsia="Arial" w:hAnsi="Arial"/>
                <w:sz w:val="24"/>
                <w:szCs w:val="24"/>
                <w:color w:val="auto"/>
                <w:vertAlign w:val="superscript"/>
              </w:rPr>
              <w:t>(3)</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0</w:t>
            </w:r>
          </w:p>
        </w:tc>
        <w:tc>
          <w:tcPr>
            <w:tcW w:w="1740" w:type="dxa"/>
            <w:vAlign w:val="bottom"/>
          </w:tcPr>
          <w:p>
            <w:pPr>
              <w:jc w:val="right"/>
              <w:ind w:right="399"/>
              <w:spacing w:after="0"/>
              <w:rPr>
                <w:sz w:val="20"/>
                <w:szCs w:val="20"/>
                <w:color w:val="auto"/>
              </w:rPr>
            </w:pPr>
            <w:r>
              <w:rPr>
                <w:rFonts w:ascii="Arial" w:cs="Arial" w:eastAsia="Arial" w:hAnsi="Arial"/>
                <w:sz w:val="16"/>
                <w:szCs w:val="16"/>
                <w:color w:val="auto"/>
              </w:rPr>
              <w:t>43,045</w:t>
            </w: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0</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0</w:t>
            </w:r>
          </w:p>
        </w:tc>
      </w:tr>
      <w:tr>
        <w:trPr>
          <w:trHeight w:val="310"/>
        </w:trPr>
        <w:tc>
          <w:tcPr>
            <w:tcW w:w="4880" w:type="dxa"/>
            <w:vAlign w:val="bottom"/>
            <w:tcBorders>
              <w:bottom w:val="single" w:sz="8" w:color="0171B9"/>
            </w:tcBorders>
            <w:shd w:val="clear" w:color="auto" w:fill="CCE2F1"/>
          </w:tcPr>
          <w:p>
            <w:pPr>
              <w:ind w:left="80"/>
              <w:spacing w:after="0"/>
              <w:rPr>
                <w:sz w:val="20"/>
                <w:szCs w:val="20"/>
                <w:color w:val="auto"/>
              </w:rPr>
            </w:pPr>
            <w:r>
              <w:rPr>
                <w:rFonts w:ascii="Arial" w:cs="Arial" w:eastAsia="Arial" w:hAnsi="Arial"/>
                <w:sz w:val="16"/>
                <w:szCs w:val="16"/>
                <w:color w:val="auto"/>
              </w:rPr>
              <w:t>Continuing retirement plan contributions for two years</w:t>
            </w:r>
            <w:r>
              <w:rPr>
                <w:rFonts w:ascii="Arial" w:cs="Arial" w:eastAsia="Arial" w:hAnsi="Arial"/>
                <w:sz w:val="24"/>
                <w:szCs w:val="24"/>
                <w:color w:val="auto"/>
                <w:vertAlign w:val="superscript"/>
              </w:rPr>
              <w:t>(4)</w:t>
            </w:r>
          </w:p>
        </w:tc>
        <w:tc>
          <w:tcPr>
            <w:tcW w:w="1140" w:type="dxa"/>
            <w:vAlign w:val="bottom"/>
            <w:tcBorders>
              <w:bottom w:val="single" w:sz="8" w:color="0171B9"/>
            </w:tcBorders>
            <w:shd w:val="clear" w:color="auto" w:fill="CCE2F1"/>
          </w:tcPr>
          <w:p>
            <w:pPr>
              <w:jc w:val="right"/>
              <w:ind w:right="199"/>
              <w:spacing w:after="0"/>
              <w:rPr>
                <w:sz w:val="20"/>
                <w:szCs w:val="20"/>
                <w:color w:val="auto"/>
              </w:rPr>
            </w:pPr>
            <w:r>
              <w:rPr>
                <w:rFonts w:ascii="Arial" w:cs="Arial" w:eastAsia="Arial" w:hAnsi="Arial"/>
                <w:sz w:val="16"/>
                <w:szCs w:val="16"/>
                <w:color w:val="auto"/>
              </w:rPr>
              <w:t>0</w:t>
            </w:r>
          </w:p>
        </w:tc>
        <w:tc>
          <w:tcPr>
            <w:tcW w:w="1740" w:type="dxa"/>
            <w:vAlign w:val="bottom"/>
            <w:tcBorders>
              <w:bottom w:val="single" w:sz="8" w:color="0171B9"/>
            </w:tcBorders>
            <w:shd w:val="clear" w:color="auto" w:fill="CCE2F1"/>
          </w:tcPr>
          <w:p>
            <w:pPr>
              <w:jc w:val="right"/>
              <w:ind w:right="399"/>
              <w:spacing w:after="0"/>
              <w:rPr>
                <w:sz w:val="20"/>
                <w:szCs w:val="20"/>
                <w:color w:val="auto"/>
              </w:rPr>
            </w:pPr>
            <w:r>
              <w:rPr>
                <w:rFonts w:ascii="Arial" w:cs="Arial" w:eastAsia="Arial" w:hAnsi="Arial"/>
                <w:sz w:val="16"/>
                <w:szCs w:val="16"/>
                <w:color w:val="auto"/>
              </w:rPr>
              <w:t>425,000</w:t>
            </w:r>
          </w:p>
        </w:tc>
        <w:tc>
          <w:tcPr>
            <w:tcW w:w="1760" w:type="dxa"/>
            <w:vAlign w:val="bottom"/>
            <w:tcBorders>
              <w:bottom w:val="single" w:sz="8" w:color="0171B9"/>
            </w:tcBorders>
            <w:shd w:val="clear" w:color="auto" w:fill="CCE2F1"/>
          </w:tcPr>
          <w:p>
            <w:pPr>
              <w:jc w:val="right"/>
              <w:ind w:right="299"/>
              <w:spacing w:after="0"/>
              <w:rPr>
                <w:sz w:val="20"/>
                <w:szCs w:val="20"/>
                <w:color w:val="auto"/>
              </w:rPr>
            </w:pPr>
            <w:r>
              <w:rPr>
                <w:rFonts w:ascii="Arial" w:cs="Arial" w:eastAsia="Arial" w:hAnsi="Arial"/>
                <w:sz w:val="16"/>
                <w:szCs w:val="16"/>
                <w:color w:val="auto"/>
              </w:rPr>
              <w:t>0</w:t>
            </w:r>
          </w:p>
        </w:tc>
        <w:tc>
          <w:tcPr>
            <w:tcW w:w="1500" w:type="dxa"/>
            <w:vAlign w:val="bottom"/>
            <w:tcBorders>
              <w:bottom w:val="single" w:sz="8" w:color="0171B9"/>
            </w:tcBorders>
            <w:shd w:val="clear" w:color="auto" w:fill="CCE2F1"/>
          </w:tcPr>
          <w:p>
            <w:pPr>
              <w:jc w:val="right"/>
              <w:ind w:right="139"/>
              <w:spacing w:after="0"/>
              <w:rPr>
                <w:sz w:val="20"/>
                <w:szCs w:val="20"/>
                <w:color w:val="auto"/>
              </w:rPr>
            </w:pPr>
            <w:r>
              <w:rPr>
                <w:rFonts w:ascii="Arial" w:cs="Arial" w:eastAsia="Arial" w:hAnsi="Arial"/>
                <w:sz w:val="16"/>
                <w:szCs w:val="16"/>
                <w:color w:val="auto"/>
              </w:rPr>
              <w:t>0</w:t>
            </w:r>
          </w:p>
        </w:tc>
      </w:tr>
      <w:tr>
        <w:trPr>
          <w:trHeight w:val="230"/>
        </w:trPr>
        <w:tc>
          <w:tcPr>
            <w:tcW w:w="4880" w:type="dxa"/>
            <w:vAlign w:val="bottom"/>
          </w:tcPr>
          <w:p>
            <w:pPr>
              <w:ind w:left="260"/>
              <w:spacing w:after="0"/>
              <w:rPr>
                <w:sz w:val="20"/>
                <w:szCs w:val="20"/>
                <w:color w:val="auto"/>
              </w:rPr>
            </w:pPr>
            <w:r>
              <w:rPr>
                <w:rFonts w:ascii="Arial" w:cs="Arial" w:eastAsia="Arial" w:hAnsi="Arial"/>
                <w:sz w:val="16"/>
                <w:szCs w:val="16"/>
                <w:color w:val="auto"/>
              </w:rPr>
              <w:t>Total</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4,871,972</w:t>
            </w:r>
          </w:p>
        </w:tc>
        <w:tc>
          <w:tcPr>
            <w:tcW w:w="1740" w:type="dxa"/>
            <w:vAlign w:val="bottom"/>
          </w:tcPr>
          <w:p>
            <w:pPr>
              <w:jc w:val="right"/>
              <w:ind w:right="399"/>
              <w:spacing w:after="0"/>
              <w:rPr>
                <w:sz w:val="20"/>
                <w:szCs w:val="20"/>
                <w:color w:val="auto"/>
              </w:rPr>
            </w:pPr>
            <w:r>
              <w:rPr>
                <w:rFonts w:ascii="Arial" w:cs="Arial" w:eastAsia="Arial" w:hAnsi="Arial"/>
                <w:sz w:val="16"/>
                <w:szCs w:val="16"/>
                <w:color w:val="auto"/>
              </w:rPr>
              <w:t>16,138,846</w:t>
            </w: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0</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12,701,007</w:t>
            </w:r>
          </w:p>
        </w:tc>
      </w:tr>
      <w:tr>
        <w:trPr>
          <w:trHeight w:val="60"/>
        </w:trPr>
        <w:tc>
          <w:tcPr>
            <w:tcW w:w="4880" w:type="dxa"/>
            <w:vAlign w:val="bottom"/>
            <w:tcBorders>
              <w:bottom w:val="single" w:sz="8" w:color="0171B9"/>
            </w:tcBorders>
          </w:tcPr>
          <w:p>
            <w:pPr>
              <w:spacing w:after="0"/>
              <w:rPr>
                <w:sz w:val="5"/>
                <w:szCs w:val="5"/>
                <w:color w:val="auto"/>
              </w:rPr>
            </w:pPr>
          </w:p>
        </w:tc>
        <w:tc>
          <w:tcPr>
            <w:tcW w:w="1140" w:type="dxa"/>
            <w:vAlign w:val="bottom"/>
            <w:tcBorders>
              <w:bottom w:val="single" w:sz="8" w:color="0171B9"/>
            </w:tcBorders>
          </w:tcPr>
          <w:p>
            <w:pPr>
              <w:spacing w:after="0"/>
              <w:rPr>
                <w:sz w:val="5"/>
                <w:szCs w:val="5"/>
                <w:color w:val="auto"/>
              </w:rPr>
            </w:pPr>
          </w:p>
        </w:tc>
        <w:tc>
          <w:tcPr>
            <w:tcW w:w="1740" w:type="dxa"/>
            <w:vAlign w:val="bottom"/>
            <w:tcBorders>
              <w:bottom w:val="single" w:sz="8" w:color="0171B9"/>
            </w:tcBorders>
          </w:tcPr>
          <w:p>
            <w:pPr>
              <w:spacing w:after="0"/>
              <w:rPr>
                <w:sz w:val="5"/>
                <w:szCs w:val="5"/>
                <w:color w:val="auto"/>
              </w:rPr>
            </w:pPr>
          </w:p>
        </w:tc>
        <w:tc>
          <w:tcPr>
            <w:tcW w:w="1760" w:type="dxa"/>
            <w:vAlign w:val="bottom"/>
            <w:tcBorders>
              <w:bottom w:val="single" w:sz="8" w:color="0171B9"/>
            </w:tcBorders>
          </w:tcPr>
          <w:p>
            <w:pPr>
              <w:spacing w:after="0"/>
              <w:rPr>
                <w:sz w:val="5"/>
                <w:szCs w:val="5"/>
                <w:color w:val="auto"/>
              </w:rPr>
            </w:pPr>
          </w:p>
        </w:tc>
        <w:tc>
          <w:tcPr>
            <w:tcW w:w="1500" w:type="dxa"/>
            <w:vAlign w:val="bottom"/>
            <w:tcBorders>
              <w:bottom w:val="single" w:sz="8" w:color="0171B9"/>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-1585595</wp:posOffset>
            </wp:positionV>
            <wp:extent cx="699516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-1962150</wp:posOffset>
            </wp:positionV>
            <wp:extent cx="372872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i w:val="1"/>
          <w:iCs w:val="1"/>
          <w:color w:val="auto"/>
        </w:rPr>
        <w:t>Estimated Payments to Esteban Santos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960" w:type="dxa"/>
            <w:vAlign w:val="bottom"/>
            <w:shd w:val="clear" w:color="auto" w:fill="0171B9"/>
          </w:tcPr>
          <w:p>
            <w:pPr>
              <w:spacing w:after="0"/>
              <w:rPr>
                <w:sz w:val="16"/>
                <w:szCs w:val="16"/>
                <w:color w:val="auto"/>
              </w:rPr>
            </w:pPr>
          </w:p>
        </w:tc>
        <w:tc>
          <w:tcPr>
            <w:tcW w:w="1140" w:type="dxa"/>
            <w:vAlign w:val="bottom"/>
            <w:shd w:val="clear" w:color="auto" w:fill="0171B9"/>
          </w:tcPr>
          <w:p>
            <w:pPr>
              <w:spacing w:after="0"/>
              <w:rPr>
                <w:sz w:val="16"/>
                <w:szCs w:val="16"/>
                <w:color w:val="auto"/>
              </w:rPr>
            </w:pPr>
          </w:p>
        </w:tc>
        <w:tc>
          <w:tcPr>
            <w:tcW w:w="3500" w:type="dxa"/>
            <w:vAlign w:val="bottom"/>
            <w:gridSpan w:val="2"/>
            <w:shd w:val="clear" w:color="auto" w:fill="0171B9"/>
          </w:tcPr>
          <w:p>
            <w:pPr>
              <w:jc w:val="right"/>
              <w:ind w:right="979"/>
              <w:spacing w:after="0"/>
              <w:rPr>
                <w:sz w:val="20"/>
                <w:szCs w:val="20"/>
                <w:color w:val="auto"/>
              </w:rPr>
            </w:pPr>
            <w:r>
              <w:rPr>
                <w:rFonts w:ascii="Arial" w:cs="Arial" w:eastAsia="Arial" w:hAnsi="Arial"/>
                <w:sz w:val="16"/>
                <w:szCs w:val="16"/>
                <w:b w:val="1"/>
                <w:bCs w:val="1"/>
                <w:color w:val="FFFFFF"/>
              </w:rPr>
              <w:t>Triggering Event</w:t>
            </w:r>
          </w:p>
        </w:tc>
        <w:tc>
          <w:tcPr>
            <w:tcW w:w="1420" w:type="dxa"/>
            <w:vAlign w:val="bottom"/>
            <w:shd w:val="clear" w:color="auto" w:fill="0171B9"/>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60" w:type="dxa"/>
            <w:vAlign w:val="bottom"/>
            <w:shd w:val="clear" w:color="auto" w:fill="0171B9"/>
          </w:tcPr>
          <w:p>
            <w:pPr>
              <w:spacing w:after="0"/>
              <w:rPr>
                <w:sz w:val="16"/>
                <w:szCs w:val="16"/>
                <w:color w:val="auto"/>
              </w:rPr>
            </w:pPr>
          </w:p>
        </w:tc>
        <w:tc>
          <w:tcPr>
            <w:tcW w:w="1140" w:type="dxa"/>
            <w:vAlign w:val="bottom"/>
            <w:vMerge w:val="restart"/>
            <w:shd w:val="clear" w:color="auto" w:fill="0171B9"/>
          </w:tcPr>
          <w:p>
            <w:pPr>
              <w:jc w:val="right"/>
              <w:ind w:right="219"/>
              <w:spacing w:after="0"/>
              <w:rPr>
                <w:sz w:val="20"/>
                <w:szCs w:val="20"/>
                <w:color w:val="auto"/>
              </w:rPr>
            </w:pPr>
            <w:r>
              <w:rPr>
                <w:rFonts w:ascii="Arial" w:cs="Arial" w:eastAsia="Arial" w:hAnsi="Arial"/>
                <w:sz w:val="16"/>
                <w:szCs w:val="16"/>
                <w:b w:val="1"/>
                <w:bCs w:val="1"/>
                <w:color w:val="FFFFFF"/>
              </w:rPr>
              <w:t>Change in</w:t>
            </w:r>
          </w:p>
        </w:tc>
        <w:tc>
          <w:tcPr>
            <w:tcW w:w="1700" w:type="dxa"/>
            <w:vAlign w:val="bottom"/>
            <w:shd w:val="clear" w:color="auto" w:fill="0171B9"/>
          </w:tcPr>
          <w:p>
            <w:pPr>
              <w:jc w:val="right"/>
              <w:ind w:right="359"/>
              <w:spacing w:after="0"/>
              <w:rPr>
                <w:sz w:val="20"/>
                <w:szCs w:val="20"/>
                <w:color w:val="auto"/>
              </w:rPr>
            </w:pPr>
            <w:r>
              <w:rPr>
                <w:rFonts w:ascii="Arial" w:cs="Arial" w:eastAsia="Arial" w:hAnsi="Arial"/>
                <w:sz w:val="16"/>
                <w:szCs w:val="16"/>
                <w:b w:val="1"/>
                <w:bCs w:val="1"/>
                <w:color w:val="FFFFFF"/>
              </w:rPr>
              <w:t>Change in</w:t>
            </w:r>
          </w:p>
        </w:tc>
        <w:tc>
          <w:tcPr>
            <w:tcW w:w="1800" w:type="dxa"/>
            <w:vAlign w:val="bottom"/>
            <w:shd w:val="clear" w:color="auto" w:fill="0171B9"/>
          </w:tcPr>
          <w:p>
            <w:pPr>
              <w:spacing w:after="0"/>
              <w:rPr>
                <w:sz w:val="16"/>
                <w:szCs w:val="16"/>
                <w:color w:val="auto"/>
              </w:rPr>
            </w:pPr>
          </w:p>
        </w:tc>
        <w:tc>
          <w:tcPr>
            <w:tcW w:w="1420" w:type="dxa"/>
            <w:vAlign w:val="bottom"/>
            <w:shd w:val="clear" w:color="auto" w:fill="0171B9"/>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0171B9"/>
          </w:tcPr>
          <w:p>
            <w:pPr>
              <w:spacing w:after="0"/>
              <w:rPr>
                <w:sz w:val="15"/>
                <w:szCs w:val="15"/>
                <w:color w:val="auto"/>
              </w:rPr>
            </w:pPr>
          </w:p>
        </w:tc>
        <w:tc>
          <w:tcPr>
            <w:tcW w:w="1140" w:type="dxa"/>
            <w:vAlign w:val="bottom"/>
            <w:vMerge w:val="continue"/>
            <w:shd w:val="clear" w:color="auto" w:fill="0171B9"/>
          </w:tcPr>
          <w:p>
            <w:pPr>
              <w:spacing w:after="0"/>
              <w:rPr>
                <w:sz w:val="15"/>
                <w:szCs w:val="15"/>
                <w:color w:val="auto"/>
              </w:rPr>
            </w:pPr>
          </w:p>
        </w:tc>
        <w:tc>
          <w:tcPr>
            <w:tcW w:w="1700" w:type="dxa"/>
            <w:vAlign w:val="bottom"/>
            <w:shd w:val="clear" w:color="auto" w:fill="0171B9"/>
          </w:tcPr>
          <w:p>
            <w:pPr>
              <w:jc w:val="right"/>
              <w:ind w:right="359"/>
              <w:spacing w:after="0" w:line="175" w:lineRule="exact"/>
              <w:rPr>
                <w:sz w:val="20"/>
                <w:szCs w:val="20"/>
                <w:color w:val="auto"/>
              </w:rPr>
            </w:pPr>
            <w:r>
              <w:rPr>
                <w:rFonts w:ascii="Arial" w:cs="Arial" w:eastAsia="Arial" w:hAnsi="Arial"/>
                <w:sz w:val="16"/>
                <w:szCs w:val="16"/>
                <w:b w:val="1"/>
                <w:bCs w:val="1"/>
                <w:color w:val="FFFFFF"/>
              </w:rPr>
              <w:t>Control and</w:t>
            </w:r>
          </w:p>
        </w:tc>
        <w:tc>
          <w:tcPr>
            <w:tcW w:w="1800" w:type="dxa"/>
            <w:vAlign w:val="bottom"/>
            <w:shd w:val="clear" w:color="auto" w:fill="0171B9"/>
          </w:tcPr>
          <w:p>
            <w:pPr>
              <w:spacing w:after="0"/>
              <w:rPr>
                <w:sz w:val="15"/>
                <w:szCs w:val="15"/>
                <w:color w:val="auto"/>
              </w:rPr>
            </w:pPr>
          </w:p>
        </w:tc>
        <w:tc>
          <w:tcPr>
            <w:tcW w:w="1420" w:type="dxa"/>
            <w:vAlign w:val="bottom"/>
            <w:shd w:val="clear" w:color="auto" w:fill="0171B9"/>
          </w:tcPr>
          <w:p>
            <w:pPr>
              <w:jc w:val="right"/>
              <w:ind w:right="139"/>
              <w:spacing w:after="0" w:line="175" w:lineRule="exact"/>
              <w:rPr>
                <w:sz w:val="20"/>
                <w:szCs w:val="20"/>
                <w:color w:val="auto"/>
              </w:rPr>
            </w:pPr>
            <w:r>
              <w:rPr>
                <w:rFonts w:ascii="Arial" w:cs="Arial" w:eastAsia="Arial" w:hAnsi="Arial"/>
                <w:sz w:val="16"/>
                <w:szCs w:val="16"/>
                <w:b w:val="1"/>
                <w:bCs w:val="1"/>
                <w:color w:val="FFFFFF"/>
              </w:rPr>
              <w:t>Death or</w:t>
            </w:r>
          </w:p>
        </w:tc>
        <w:tc>
          <w:tcPr>
            <w:tcW w:w="0" w:type="dxa"/>
            <w:vAlign w:val="bottom"/>
          </w:tcPr>
          <w:p>
            <w:pPr>
              <w:spacing w:after="0"/>
              <w:rPr>
                <w:sz w:val="1"/>
                <w:szCs w:val="1"/>
                <w:color w:val="auto"/>
              </w:rPr>
            </w:pPr>
          </w:p>
        </w:tc>
      </w:tr>
      <w:tr>
        <w:trPr>
          <w:trHeight w:val="221"/>
        </w:trPr>
        <w:tc>
          <w:tcPr>
            <w:tcW w:w="4960" w:type="dxa"/>
            <w:vAlign w:val="bottom"/>
            <w:shd w:val="clear" w:color="auto" w:fill="0171B9"/>
          </w:tcPr>
          <w:p>
            <w:pPr>
              <w:ind w:left="80"/>
              <w:spacing w:after="0"/>
              <w:rPr>
                <w:sz w:val="20"/>
                <w:szCs w:val="20"/>
                <w:color w:val="auto"/>
              </w:rPr>
            </w:pPr>
            <w:r>
              <w:rPr>
                <w:rFonts w:ascii="Arial" w:cs="Arial" w:eastAsia="Arial" w:hAnsi="Arial"/>
                <w:sz w:val="16"/>
                <w:szCs w:val="16"/>
                <w:b w:val="1"/>
                <w:bCs w:val="1"/>
                <w:color w:val="FFFFFF"/>
              </w:rPr>
              <w:t>Estimated Potential Payment or Benefit</w:t>
            </w:r>
          </w:p>
        </w:tc>
        <w:tc>
          <w:tcPr>
            <w:tcW w:w="1140" w:type="dxa"/>
            <w:vAlign w:val="bottom"/>
            <w:shd w:val="clear" w:color="auto" w:fill="0171B9"/>
          </w:tcPr>
          <w:p>
            <w:pPr>
              <w:jc w:val="right"/>
              <w:ind w:right="219"/>
              <w:spacing w:after="0"/>
              <w:rPr>
                <w:sz w:val="20"/>
                <w:szCs w:val="20"/>
                <w:color w:val="auto"/>
              </w:rPr>
            </w:pPr>
            <w:r>
              <w:rPr>
                <w:rFonts w:ascii="Arial" w:cs="Arial" w:eastAsia="Arial" w:hAnsi="Arial"/>
                <w:sz w:val="16"/>
                <w:szCs w:val="16"/>
                <w:b w:val="1"/>
                <w:bCs w:val="1"/>
                <w:color w:val="FFFFFF"/>
              </w:rPr>
              <w:t>Control($)</w:t>
            </w:r>
          </w:p>
        </w:tc>
        <w:tc>
          <w:tcPr>
            <w:tcW w:w="1700" w:type="dxa"/>
            <w:vAlign w:val="bottom"/>
            <w:shd w:val="clear" w:color="auto" w:fill="0171B9"/>
          </w:tcPr>
          <w:p>
            <w:pPr>
              <w:jc w:val="right"/>
              <w:ind w:right="359"/>
              <w:spacing w:after="0"/>
              <w:rPr>
                <w:sz w:val="20"/>
                <w:szCs w:val="20"/>
                <w:color w:val="auto"/>
              </w:rPr>
            </w:pPr>
            <w:r>
              <w:rPr>
                <w:rFonts w:ascii="Arial" w:cs="Arial" w:eastAsia="Arial" w:hAnsi="Arial"/>
                <w:sz w:val="16"/>
                <w:szCs w:val="16"/>
                <w:b w:val="1"/>
                <w:bCs w:val="1"/>
                <w:color w:val="FFFFFF"/>
              </w:rPr>
              <w:t>Termination($)</w:t>
            </w:r>
          </w:p>
        </w:tc>
        <w:tc>
          <w:tcPr>
            <w:tcW w:w="1800" w:type="dxa"/>
            <w:vAlign w:val="bottom"/>
            <w:shd w:val="clear" w:color="auto" w:fill="0171B9"/>
          </w:tcPr>
          <w:p>
            <w:pPr>
              <w:jc w:val="right"/>
              <w:ind w:right="379"/>
              <w:spacing w:after="0"/>
              <w:rPr>
                <w:sz w:val="20"/>
                <w:szCs w:val="20"/>
                <w:color w:val="auto"/>
              </w:rPr>
            </w:pPr>
            <w:r>
              <w:rPr>
                <w:rFonts w:ascii="Arial" w:cs="Arial" w:eastAsia="Arial" w:hAnsi="Arial"/>
                <w:sz w:val="16"/>
                <w:szCs w:val="16"/>
                <w:b w:val="1"/>
                <w:bCs w:val="1"/>
                <w:color w:val="FFFFFF"/>
              </w:rPr>
              <w:t>Retirement($)</w:t>
            </w:r>
          </w:p>
        </w:tc>
        <w:tc>
          <w:tcPr>
            <w:tcW w:w="142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Disability($)</w:t>
            </w:r>
          </w:p>
        </w:tc>
        <w:tc>
          <w:tcPr>
            <w:tcW w:w="0" w:type="dxa"/>
            <w:vAlign w:val="bottom"/>
          </w:tcPr>
          <w:p>
            <w:pPr>
              <w:spacing w:after="0"/>
              <w:rPr>
                <w:sz w:val="1"/>
                <w:szCs w:val="1"/>
                <w:color w:val="auto"/>
              </w:rPr>
            </w:pPr>
          </w:p>
        </w:tc>
      </w:tr>
      <w:tr>
        <w:trPr>
          <w:trHeight w:val="290"/>
        </w:trPr>
        <w:tc>
          <w:tcPr>
            <w:tcW w:w="496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6"/>
                <w:szCs w:val="16"/>
                <w:color w:val="auto"/>
              </w:rPr>
              <w:t>Lump sum cash severance payment</w:t>
            </w:r>
          </w:p>
        </w:tc>
        <w:tc>
          <w:tcPr>
            <w:tcW w:w="1140" w:type="dxa"/>
            <w:vAlign w:val="bottom"/>
            <w:tcBorders>
              <w:bottom w:val="single" w:sz="8" w:color="CCE2F1"/>
            </w:tcBorders>
            <w:shd w:val="clear" w:color="auto" w:fill="CCE2F1"/>
          </w:tcPr>
          <w:p>
            <w:pPr>
              <w:jc w:val="right"/>
              <w:ind w:right="219"/>
              <w:spacing w:after="0"/>
              <w:rPr>
                <w:sz w:val="20"/>
                <w:szCs w:val="20"/>
                <w:color w:val="auto"/>
              </w:rPr>
            </w:pPr>
            <w:r>
              <w:rPr>
                <w:rFonts w:ascii="Arial" w:cs="Arial" w:eastAsia="Arial" w:hAnsi="Arial"/>
                <w:sz w:val="16"/>
                <w:szCs w:val="16"/>
                <w:color w:val="auto"/>
              </w:rPr>
              <w:t>0</w:t>
            </w:r>
          </w:p>
        </w:tc>
        <w:tc>
          <w:tcPr>
            <w:tcW w:w="1700" w:type="dxa"/>
            <w:vAlign w:val="bottom"/>
            <w:tcBorders>
              <w:bottom w:val="single" w:sz="8" w:color="CCE2F1"/>
            </w:tcBorders>
            <w:shd w:val="clear" w:color="auto" w:fill="CCE2F1"/>
          </w:tcPr>
          <w:p>
            <w:pPr>
              <w:jc w:val="right"/>
              <w:ind w:right="359"/>
              <w:spacing w:after="0"/>
              <w:rPr>
                <w:sz w:val="20"/>
                <w:szCs w:val="20"/>
                <w:color w:val="auto"/>
              </w:rPr>
            </w:pPr>
            <w:r>
              <w:rPr>
                <w:rFonts w:ascii="Arial" w:cs="Arial" w:eastAsia="Arial" w:hAnsi="Arial"/>
                <w:sz w:val="16"/>
                <w:szCs w:val="16"/>
                <w:color w:val="auto"/>
              </w:rPr>
              <w:t>4,113,200</w:t>
            </w:r>
          </w:p>
        </w:tc>
        <w:tc>
          <w:tcPr>
            <w:tcW w:w="1800" w:type="dxa"/>
            <w:vAlign w:val="bottom"/>
            <w:tcBorders>
              <w:bottom w:val="single" w:sz="8" w:color="CCE2F1"/>
            </w:tcBorders>
            <w:shd w:val="clear" w:color="auto" w:fill="CCE2F1"/>
          </w:tcPr>
          <w:p>
            <w:pPr>
              <w:jc w:val="right"/>
              <w:ind w:right="379"/>
              <w:spacing w:after="0"/>
              <w:rPr>
                <w:sz w:val="20"/>
                <w:szCs w:val="20"/>
                <w:color w:val="auto"/>
              </w:rPr>
            </w:pPr>
            <w:r>
              <w:rPr>
                <w:rFonts w:ascii="Arial" w:cs="Arial" w:eastAsia="Arial" w:hAnsi="Arial"/>
                <w:sz w:val="16"/>
                <w:szCs w:val="16"/>
                <w:color w:val="auto"/>
              </w:rPr>
              <w:t>0</w:t>
            </w:r>
          </w:p>
        </w:tc>
        <w:tc>
          <w:tcPr>
            <w:tcW w:w="142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0"/>
        </w:trPr>
        <w:tc>
          <w:tcPr>
            <w:tcW w:w="4960" w:type="dxa"/>
            <w:vAlign w:val="bottom"/>
          </w:tcPr>
          <w:p>
            <w:pPr>
              <w:ind w:left="80"/>
              <w:spacing w:after="0"/>
              <w:rPr>
                <w:sz w:val="20"/>
                <w:szCs w:val="20"/>
                <w:color w:val="auto"/>
              </w:rPr>
            </w:pPr>
            <w:r>
              <w:rPr>
                <w:rFonts w:ascii="Arial" w:cs="Arial" w:eastAsia="Arial" w:hAnsi="Arial"/>
                <w:sz w:val="16"/>
                <w:szCs w:val="16"/>
                <w:color w:val="auto"/>
              </w:rPr>
              <w:t>Intrinsic value of accelerated unvested stock options</w:t>
            </w: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3,232,428</w:t>
            </w:r>
          </w:p>
        </w:tc>
        <w:tc>
          <w:tcPr>
            <w:tcW w:w="1800" w:type="dxa"/>
            <w:vAlign w:val="bottom"/>
          </w:tcPr>
          <w:p>
            <w:pPr>
              <w:jc w:val="right"/>
              <w:ind w:right="379"/>
              <w:spacing w:after="0"/>
              <w:rPr>
                <w:sz w:val="20"/>
                <w:szCs w:val="20"/>
                <w:color w:val="auto"/>
              </w:rPr>
            </w:pPr>
            <w:r>
              <w:rPr>
                <w:rFonts w:ascii="Arial" w:cs="Arial" w:eastAsia="Arial" w:hAnsi="Arial"/>
                <w:sz w:val="16"/>
                <w:szCs w:val="16"/>
                <w:color w:val="auto"/>
              </w:rPr>
              <w:t>3,232,428</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3,232,428</w:t>
            </w:r>
          </w:p>
        </w:tc>
        <w:tc>
          <w:tcPr>
            <w:tcW w:w="0" w:type="dxa"/>
            <w:vAlign w:val="bottom"/>
          </w:tcPr>
          <w:p>
            <w:pPr>
              <w:spacing w:after="0"/>
              <w:rPr>
                <w:sz w:val="1"/>
                <w:szCs w:val="1"/>
                <w:color w:val="auto"/>
              </w:rPr>
            </w:pPr>
          </w:p>
        </w:tc>
      </w:tr>
      <w:tr>
        <w:trPr>
          <w:trHeight w:val="60"/>
        </w:trPr>
        <w:tc>
          <w:tcPr>
            <w:tcW w:w="49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960" w:type="dxa"/>
            <w:vAlign w:val="bottom"/>
            <w:shd w:val="clear" w:color="auto" w:fill="CCE2F1"/>
          </w:tcPr>
          <w:p>
            <w:pPr>
              <w:ind w:left="80"/>
              <w:spacing w:after="0"/>
              <w:rPr>
                <w:sz w:val="20"/>
                <w:szCs w:val="20"/>
                <w:color w:val="auto"/>
              </w:rPr>
            </w:pPr>
            <w:r>
              <w:rPr>
                <w:rFonts w:ascii="Arial" w:cs="Arial" w:eastAsia="Arial" w:hAnsi="Arial"/>
                <w:sz w:val="16"/>
                <w:szCs w:val="16"/>
                <w:color w:val="auto"/>
              </w:rPr>
              <w:t>Intrinsic value of accelerated unvested RSU’s</w:t>
            </w:r>
          </w:p>
        </w:tc>
        <w:tc>
          <w:tcPr>
            <w:tcW w:w="1140" w:type="dxa"/>
            <w:vAlign w:val="bottom"/>
            <w:shd w:val="clear" w:color="auto" w:fill="CCE2F1"/>
          </w:tcPr>
          <w:p>
            <w:pPr>
              <w:jc w:val="right"/>
              <w:ind w:right="219"/>
              <w:spacing w:after="0"/>
              <w:rPr>
                <w:sz w:val="20"/>
                <w:szCs w:val="20"/>
                <w:color w:val="auto"/>
              </w:rPr>
            </w:pPr>
            <w:r>
              <w:rPr>
                <w:rFonts w:ascii="Arial" w:cs="Arial" w:eastAsia="Arial" w:hAnsi="Arial"/>
                <w:sz w:val="16"/>
                <w:szCs w:val="16"/>
                <w:color w:val="auto"/>
              </w:rPr>
              <w:t>0</w:t>
            </w:r>
          </w:p>
        </w:tc>
        <w:tc>
          <w:tcPr>
            <w:tcW w:w="1700" w:type="dxa"/>
            <w:vAlign w:val="bottom"/>
            <w:shd w:val="clear" w:color="auto" w:fill="CCE2F1"/>
          </w:tcPr>
          <w:p>
            <w:pPr>
              <w:jc w:val="right"/>
              <w:ind w:right="359"/>
              <w:spacing w:after="0"/>
              <w:rPr>
                <w:sz w:val="20"/>
                <w:szCs w:val="20"/>
                <w:color w:val="auto"/>
              </w:rPr>
            </w:pPr>
            <w:r>
              <w:rPr>
                <w:rFonts w:ascii="Arial" w:cs="Arial" w:eastAsia="Arial" w:hAnsi="Arial"/>
                <w:sz w:val="16"/>
                <w:szCs w:val="16"/>
                <w:color w:val="auto"/>
              </w:rPr>
              <w:t>3,116,749</w:t>
            </w:r>
          </w:p>
        </w:tc>
        <w:tc>
          <w:tcPr>
            <w:tcW w:w="1800" w:type="dxa"/>
            <w:vAlign w:val="bottom"/>
            <w:shd w:val="clear" w:color="auto" w:fill="CCE2F1"/>
          </w:tcPr>
          <w:p>
            <w:pPr>
              <w:jc w:val="right"/>
              <w:ind w:right="379"/>
              <w:spacing w:after="0"/>
              <w:rPr>
                <w:sz w:val="20"/>
                <w:szCs w:val="20"/>
                <w:color w:val="auto"/>
              </w:rPr>
            </w:pPr>
            <w:r>
              <w:rPr>
                <w:rFonts w:ascii="Arial" w:cs="Arial" w:eastAsia="Arial" w:hAnsi="Arial"/>
                <w:sz w:val="16"/>
                <w:szCs w:val="16"/>
                <w:color w:val="auto"/>
              </w:rPr>
              <w:t>3,116,749</w:t>
            </w:r>
          </w:p>
        </w:tc>
        <w:tc>
          <w:tcPr>
            <w:tcW w:w="142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3,116,749</w:t>
            </w:r>
          </w:p>
        </w:tc>
        <w:tc>
          <w:tcPr>
            <w:tcW w:w="0" w:type="dxa"/>
            <w:vAlign w:val="bottom"/>
          </w:tcPr>
          <w:p>
            <w:pPr>
              <w:spacing w:after="0"/>
              <w:rPr>
                <w:sz w:val="1"/>
                <w:szCs w:val="1"/>
                <w:color w:val="auto"/>
              </w:rPr>
            </w:pPr>
          </w:p>
        </w:tc>
      </w:tr>
      <w:tr>
        <w:trPr>
          <w:trHeight w:val="60"/>
        </w:trPr>
        <w:tc>
          <w:tcPr>
            <w:tcW w:w="4960" w:type="dxa"/>
            <w:vAlign w:val="bottom"/>
            <w:shd w:val="clear" w:color="auto" w:fill="CCE2F1"/>
          </w:tcPr>
          <w:p>
            <w:pPr>
              <w:spacing w:after="0"/>
              <w:rPr>
                <w:sz w:val="5"/>
                <w:szCs w:val="5"/>
                <w:color w:val="auto"/>
              </w:rPr>
            </w:pPr>
          </w:p>
        </w:tc>
        <w:tc>
          <w:tcPr>
            <w:tcW w:w="1140" w:type="dxa"/>
            <w:vAlign w:val="bottom"/>
            <w:shd w:val="clear" w:color="auto" w:fill="CCE2F1"/>
          </w:tcPr>
          <w:p>
            <w:pPr>
              <w:spacing w:after="0"/>
              <w:rPr>
                <w:sz w:val="5"/>
                <w:szCs w:val="5"/>
                <w:color w:val="auto"/>
              </w:rPr>
            </w:pPr>
          </w:p>
        </w:tc>
        <w:tc>
          <w:tcPr>
            <w:tcW w:w="1700" w:type="dxa"/>
            <w:vAlign w:val="bottom"/>
            <w:shd w:val="clear" w:color="auto" w:fill="CCE2F1"/>
          </w:tcPr>
          <w:p>
            <w:pPr>
              <w:spacing w:after="0"/>
              <w:rPr>
                <w:sz w:val="5"/>
                <w:szCs w:val="5"/>
                <w:color w:val="auto"/>
              </w:rPr>
            </w:pPr>
          </w:p>
        </w:tc>
        <w:tc>
          <w:tcPr>
            <w:tcW w:w="1800" w:type="dxa"/>
            <w:vAlign w:val="bottom"/>
            <w:shd w:val="clear" w:color="auto" w:fill="CCE2F1"/>
          </w:tcPr>
          <w:p>
            <w:pPr>
              <w:spacing w:after="0"/>
              <w:rPr>
                <w:sz w:val="5"/>
                <w:szCs w:val="5"/>
                <w:color w:val="auto"/>
              </w:rPr>
            </w:pPr>
          </w:p>
        </w:tc>
        <w:tc>
          <w:tcPr>
            <w:tcW w:w="1420" w:type="dxa"/>
            <w:vAlign w:val="bottom"/>
            <w:shd w:val="clear" w:color="auto" w:fill="CCE2F1"/>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4960" w:type="dxa"/>
            <w:vAlign w:val="bottom"/>
          </w:tcPr>
          <w:p>
            <w:pPr>
              <w:ind w:left="80"/>
              <w:spacing w:after="0"/>
              <w:rPr>
                <w:sz w:val="20"/>
                <w:szCs w:val="20"/>
                <w:color w:val="auto"/>
              </w:rPr>
            </w:pPr>
            <w:r>
              <w:rPr>
                <w:rFonts w:ascii="Arial" w:cs="Arial" w:eastAsia="Arial" w:hAnsi="Arial"/>
                <w:sz w:val="16"/>
                <w:szCs w:val="16"/>
                <w:color w:val="auto"/>
              </w:rPr>
              <w:t>Value of 2022-2024 performance units</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2,279,190</w:t>
            </w:r>
            <w:r>
              <w:rPr>
                <w:rFonts w:ascii="Arial" w:cs="Arial" w:eastAsia="Arial" w:hAnsi="Arial"/>
                <w:sz w:val="24"/>
                <w:szCs w:val="24"/>
                <w:color w:val="auto"/>
                <w:vertAlign w:val="superscript"/>
              </w:rPr>
              <w:t>(1)</w:t>
            </w:r>
          </w:p>
        </w:tc>
        <w:tc>
          <w:tcPr>
            <w:tcW w:w="1700" w:type="dxa"/>
            <w:vAlign w:val="bottom"/>
          </w:tcPr>
          <w:p>
            <w:pPr>
              <w:jc w:val="right"/>
              <w:ind w:right="219"/>
              <w:spacing w:after="0"/>
              <w:rPr>
                <w:sz w:val="20"/>
                <w:szCs w:val="20"/>
                <w:color w:val="auto"/>
              </w:rPr>
            </w:pPr>
            <w:r>
              <w:rPr>
                <w:rFonts w:ascii="Arial" w:cs="Arial" w:eastAsia="Arial" w:hAnsi="Arial"/>
                <w:sz w:val="16"/>
                <w:szCs w:val="16"/>
                <w:color w:val="auto"/>
              </w:rPr>
              <w:t>2,279,190</w:t>
            </w:r>
            <w:r>
              <w:rPr>
                <w:rFonts w:ascii="Arial" w:cs="Arial" w:eastAsia="Arial" w:hAnsi="Arial"/>
                <w:sz w:val="24"/>
                <w:szCs w:val="24"/>
                <w:color w:val="auto"/>
                <w:vertAlign w:val="superscript"/>
              </w:rPr>
              <w:t>(1)</w:t>
            </w:r>
          </w:p>
        </w:tc>
        <w:tc>
          <w:tcPr>
            <w:tcW w:w="1800" w:type="dxa"/>
            <w:vAlign w:val="bottom"/>
          </w:tcPr>
          <w:p>
            <w:pPr>
              <w:jc w:val="right"/>
              <w:ind w:right="219"/>
              <w:spacing w:after="0"/>
              <w:rPr>
                <w:sz w:val="20"/>
                <w:szCs w:val="20"/>
                <w:color w:val="auto"/>
              </w:rPr>
            </w:pPr>
            <w:r>
              <w:rPr>
                <w:rFonts w:ascii="Arial" w:cs="Arial" w:eastAsia="Arial" w:hAnsi="Arial"/>
                <w:sz w:val="16"/>
                <w:szCs w:val="16"/>
                <w:color w:val="auto"/>
              </w:rPr>
              <w:t>2,974,398</w:t>
            </w:r>
            <w:r>
              <w:rPr>
                <w:rFonts w:ascii="Arial" w:cs="Arial" w:eastAsia="Arial" w:hAnsi="Arial"/>
                <w:sz w:val="24"/>
                <w:szCs w:val="24"/>
                <w:color w:val="auto"/>
                <w:vertAlign w:val="superscript"/>
              </w:rPr>
              <w:t>(2)</w:t>
            </w:r>
          </w:p>
        </w:tc>
        <w:tc>
          <w:tcPr>
            <w:tcW w:w="1420" w:type="dxa"/>
            <w:vAlign w:val="bottom"/>
          </w:tcPr>
          <w:p>
            <w:pPr>
              <w:jc w:val="right"/>
              <w:spacing w:after="0"/>
              <w:rPr>
                <w:sz w:val="20"/>
                <w:szCs w:val="20"/>
                <w:color w:val="auto"/>
              </w:rPr>
            </w:pPr>
            <w:r>
              <w:rPr>
                <w:rFonts w:ascii="Arial" w:cs="Arial" w:eastAsia="Arial" w:hAnsi="Arial"/>
                <w:sz w:val="16"/>
                <w:szCs w:val="16"/>
                <w:color w:val="auto"/>
              </w:rPr>
              <w:t>2,974,398</w:t>
            </w:r>
            <w:r>
              <w:rPr>
                <w:rFonts w:ascii="Arial" w:cs="Arial" w:eastAsia="Arial" w:hAnsi="Arial"/>
                <w:sz w:val="24"/>
                <w:szCs w:val="24"/>
                <w:color w:val="auto"/>
                <w:vertAlign w:val="superscript"/>
              </w:rPr>
              <w:t>(2)</w:t>
            </w:r>
          </w:p>
        </w:tc>
        <w:tc>
          <w:tcPr>
            <w:tcW w:w="0" w:type="dxa"/>
            <w:vAlign w:val="bottom"/>
          </w:tcPr>
          <w:p>
            <w:pPr>
              <w:spacing w:after="0"/>
              <w:rPr>
                <w:sz w:val="1"/>
                <w:szCs w:val="1"/>
                <w:color w:val="auto"/>
              </w:rPr>
            </w:pPr>
          </w:p>
        </w:tc>
      </w:tr>
      <w:tr>
        <w:trPr>
          <w:trHeight w:val="311"/>
        </w:trPr>
        <w:tc>
          <w:tcPr>
            <w:tcW w:w="4960" w:type="dxa"/>
            <w:vAlign w:val="bottom"/>
            <w:shd w:val="clear" w:color="auto" w:fill="CCE2F1"/>
          </w:tcPr>
          <w:p>
            <w:pPr>
              <w:ind w:left="80"/>
              <w:spacing w:after="0"/>
              <w:rPr>
                <w:sz w:val="20"/>
                <w:szCs w:val="20"/>
                <w:color w:val="auto"/>
              </w:rPr>
            </w:pPr>
            <w:r>
              <w:rPr>
                <w:rFonts w:ascii="Arial" w:cs="Arial" w:eastAsia="Arial" w:hAnsi="Arial"/>
                <w:sz w:val="16"/>
                <w:szCs w:val="16"/>
                <w:color w:val="auto"/>
              </w:rPr>
              <w:t>Value of 2021-2023 performance units</w:t>
            </w:r>
          </w:p>
        </w:tc>
        <w:tc>
          <w:tcPr>
            <w:tcW w:w="1140" w:type="dxa"/>
            <w:vAlign w:val="bottom"/>
            <w:shd w:val="clear" w:color="auto" w:fill="CCE2F1"/>
          </w:tcPr>
          <w:p>
            <w:pPr>
              <w:jc w:val="right"/>
              <w:ind w:right="79"/>
              <w:spacing w:after="0"/>
              <w:rPr>
                <w:sz w:val="20"/>
                <w:szCs w:val="20"/>
                <w:color w:val="auto"/>
              </w:rPr>
            </w:pPr>
            <w:r>
              <w:rPr>
                <w:rFonts w:ascii="Arial" w:cs="Arial" w:eastAsia="Arial" w:hAnsi="Arial"/>
                <w:sz w:val="16"/>
                <w:szCs w:val="16"/>
                <w:color w:val="auto"/>
              </w:rPr>
              <w:t>2,885,888</w:t>
            </w:r>
            <w:r>
              <w:rPr>
                <w:rFonts w:ascii="Arial" w:cs="Arial" w:eastAsia="Arial" w:hAnsi="Arial"/>
                <w:sz w:val="24"/>
                <w:szCs w:val="24"/>
                <w:color w:val="auto"/>
                <w:vertAlign w:val="superscript"/>
              </w:rPr>
              <w:t>(1)</w:t>
            </w:r>
          </w:p>
        </w:tc>
        <w:tc>
          <w:tcPr>
            <w:tcW w:w="1700" w:type="dxa"/>
            <w:vAlign w:val="bottom"/>
            <w:shd w:val="clear" w:color="auto" w:fill="CCE2F1"/>
          </w:tcPr>
          <w:p>
            <w:pPr>
              <w:jc w:val="right"/>
              <w:ind w:right="219"/>
              <w:spacing w:after="0"/>
              <w:rPr>
                <w:sz w:val="20"/>
                <w:szCs w:val="20"/>
                <w:color w:val="auto"/>
              </w:rPr>
            </w:pPr>
            <w:r>
              <w:rPr>
                <w:rFonts w:ascii="Arial" w:cs="Arial" w:eastAsia="Arial" w:hAnsi="Arial"/>
                <w:sz w:val="16"/>
                <w:szCs w:val="16"/>
                <w:color w:val="auto"/>
              </w:rPr>
              <w:t>2,885,888</w:t>
            </w:r>
            <w:r>
              <w:rPr>
                <w:rFonts w:ascii="Arial" w:cs="Arial" w:eastAsia="Arial" w:hAnsi="Arial"/>
                <w:sz w:val="24"/>
                <w:szCs w:val="24"/>
                <w:color w:val="auto"/>
                <w:vertAlign w:val="superscript"/>
              </w:rPr>
              <w:t>(1)</w:t>
            </w:r>
          </w:p>
        </w:tc>
        <w:tc>
          <w:tcPr>
            <w:tcW w:w="1800" w:type="dxa"/>
            <w:vAlign w:val="bottom"/>
            <w:shd w:val="clear" w:color="auto" w:fill="CCE2F1"/>
          </w:tcPr>
          <w:p>
            <w:pPr>
              <w:jc w:val="right"/>
              <w:ind w:right="219"/>
              <w:spacing w:after="0"/>
              <w:rPr>
                <w:sz w:val="20"/>
                <w:szCs w:val="20"/>
                <w:color w:val="auto"/>
              </w:rPr>
            </w:pPr>
            <w:r>
              <w:rPr>
                <w:rFonts w:ascii="Arial" w:cs="Arial" w:eastAsia="Arial" w:hAnsi="Arial"/>
                <w:sz w:val="16"/>
                <w:szCs w:val="16"/>
                <w:color w:val="auto"/>
              </w:rPr>
              <w:t>3,462,646</w:t>
            </w:r>
            <w:r>
              <w:rPr>
                <w:rFonts w:ascii="Arial" w:cs="Arial" w:eastAsia="Arial" w:hAnsi="Arial"/>
                <w:sz w:val="24"/>
                <w:szCs w:val="24"/>
                <w:color w:val="auto"/>
                <w:vertAlign w:val="superscript"/>
              </w:rPr>
              <w:t>(2)</w:t>
            </w:r>
          </w:p>
        </w:tc>
        <w:tc>
          <w:tcPr>
            <w:tcW w:w="1420" w:type="dxa"/>
            <w:vAlign w:val="bottom"/>
            <w:shd w:val="clear" w:color="auto" w:fill="CCE2F1"/>
          </w:tcPr>
          <w:p>
            <w:pPr>
              <w:jc w:val="right"/>
              <w:spacing w:after="0"/>
              <w:rPr>
                <w:sz w:val="20"/>
                <w:szCs w:val="20"/>
                <w:color w:val="auto"/>
              </w:rPr>
            </w:pPr>
            <w:r>
              <w:rPr>
                <w:rFonts w:ascii="Arial" w:cs="Arial" w:eastAsia="Arial" w:hAnsi="Arial"/>
                <w:sz w:val="16"/>
                <w:szCs w:val="16"/>
                <w:color w:val="auto"/>
              </w:rPr>
              <w:t>3,462,646</w:t>
            </w:r>
            <w:r>
              <w:rPr>
                <w:rFonts w:ascii="Arial" w:cs="Arial" w:eastAsia="Arial" w:hAnsi="Arial"/>
                <w:sz w:val="24"/>
                <w:szCs w:val="24"/>
                <w:color w:val="auto"/>
                <w:vertAlign w:val="superscript"/>
              </w:rPr>
              <w:t>(2)</w:t>
            </w:r>
          </w:p>
        </w:tc>
        <w:tc>
          <w:tcPr>
            <w:tcW w:w="0" w:type="dxa"/>
            <w:vAlign w:val="bottom"/>
          </w:tcPr>
          <w:p>
            <w:pPr>
              <w:spacing w:after="0"/>
              <w:rPr>
                <w:sz w:val="1"/>
                <w:szCs w:val="1"/>
                <w:color w:val="auto"/>
              </w:rPr>
            </w:pPr>
          </w:p>
        </w:tc>
      </w:tr>
      <w:tr>
        <w:trPr>
          <w:trHeight w:val="310"/>
        </w:trPr>
        <w:tc>
          <w:tcPr>
            <w:tcW w:w="4960" w:type="dxa"/>
            <w:vAlign w:val="bottom"/>
          </w:tcPr>
          <w:p>
            <w:pPr>
              <w:ind w:left="80"/>
              <w:spacing w:after="0"/>
              <w:rPr>
                <w:sz w:val="20"/>
                <w:szCs w:val="20"/>
                <w:color w:val="auto"/>
              </w:rPr>
            </w:pPr>
            <w:r>
              <w:rPr>
                <w:rFonts w:ascii="Arial" w:cs="Arial" w:eastAsia="Arial" w:hAnsi="Arial"/>
                <w:sz w:val="16"/>
                <w:szCs w:val="16"/>
                <w:color w:val="auto"/>
              </w:rPr>
              <w:t>Continuing health care benefits for 18 months</w:t>
            </w:r>
            <w:r>
              <w:rPr>
                <w:rFonts w:ascii="Arial" w:cs="Arial" w:eastAsia="Arial" w:hAnsi="Arial"/>
                <w:sz w:val="24"/>
                <w:szCs w:val="24"/>
                <w:color w:val="auto"/>
                <w:vertAlign w:val="superscript"/>
              </w:rPr>
              <w:t>(3)</w:t>
            </w: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0</w:t>
            </w: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47,780</w:t>
            </w:r>
          </w:p>
        </w:tc>
        <w:tc>
          <w:tcPr>
            <w:tcW w:w="180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10"/>
        </w:trPr>
        <w:tc>
          <w:tcPr>
            <w:tcW w:w="4960" w:type="dxa"/>
            <w:vAlign w:val="bottom"/>
            <w:tcBorders>
              <w:bottom w:val="single" w:sz="8" w:color="0171B9"/>
            </w:tcBorders>
            <w:shd w:val="clear" w:color="auto" w:fill="CCE2F1"/>
          </w:tcPr>
          <w:p>
            <w:pPr>
              <w:ind w:left="80"/>
              <w:spacing w:after="0"/>
              <w:rPr>
                <w:sz w:val="20"/>
                <w:szCs w:val="20"/>
                <w:color w:val="auto"/>
              </w:rPr>
            </w:pPr>
            <w:r>
              <w:rPr>
                <w:rFonts w:ascii="Arial" w:cs="Arial" w:eastAsia="Arial" w:hAnsi="Arial"/>
                <w:sz w:val="16"/>
                <w:szCs w:val="16"/>
                <w:color w:val="auto"/>
              </w:rPr>
              <w:t>Continuing retirement plan contributions for two years</w:t>
            </w:r>
            <w:r>
              <w:rPr>
                <w:rFonts w:ascii="Arial" w:cs="Arial" w:eastAsia="Arial" w:hAnsi="Arial"/>
                <w:sz w:val="24"/>
                <w:szCs w:val="24"/>
                <w:color w:val="auto"/>
                <w:vertAlign w:val="superscript"/>
              </w:rPr>
              <w:t>(4)</w:t>
            </w:r>
          </w:p>
        </w:tc>
        <w:tc>
          <w:tcPr>
            <w:tcW w:w="1140" w:type="dxa"/>
            <w:vAlign w:val="bottom"/>
            <w:tcBorders>
              <w:bottom w:val="single" w:sz="8" w:color="0171B9"/>
            </w:tcBorders>
            <w:shd w:val="clear" w:color="auto" w:fill="CCE2F1"/>
          </w:tcPr>
          <w:p>
            <w:pPr>
              <w:jc w:val="right"/>
              <w:ind w:right="219"/>
              <w:spacing w:after="0"/>
              <w:rPr>
                <w:sz w:val="20"/>
                <w:szCs w:val="20"/>
                <w:color w:val="auto"/>
              </w:rPr>
            </w:pPr>
            <w:r>
              <w:rPr>
                <w:rFonts w:ascii="Arial" w:cs="Arial" w:eastAsia="Arial" w:hAnsi="Arial"/>
                <w:sz w:val="16"/>
                <w:szCs w:val="16"/>
                <w:color w:val="auto"/>
              </w:rPr>
              <w:t>0</w:t>
            </w:r>
          </w:p>
        </w:tc>
        <w:tc>
          <w:tcPr>
            <w:tcW w:w="1700" w:type="dxa"/>
            <w:vAlign w:val="bottom"/>
            <w:tcBorders>
              <w:bottom w:val="single" w:sz="8" w:color="0171B9"/>
            </w:tcBorders>
            <w:shd w:val="clear" w:color="auto" w:fill="CCE2F1"/>
          </w:tcPr>
          <w:p>
            <w:pPr>
              <w:jc w:val="right"/>
              <w:ind w:right="359"/>
              <w:spacing w:after="0"/>
              <w:rPr>
                <w:sz w:val="20"/>
                <w:szCs w:val="20"/>
                <w:color w:val="auto"/>
              </w:rPr>
            </w:pPr>
            <w:r>
              <w:rPr>
                <w:rFonts w:ascii="Arial" w:cs="Arial" w:eastAsia="Arial" w:hAnsi="Arial"/>
                <w:sz w:val="16"/>
                <w:szCs w:val="16"/>
                <w:color w:val="auto"/>
              </w:rPr>
              <w:t>416,320</w:t>
            </w:r>
          </w:p>
        </w:tc>
        <w:tc>
          <w:tcPr>
            <w:tcW w:w="1800" w:type="dxa"/>
            <w:vAlign w:val="bottom"/>
            <w:tcBorders>
              <w:bottom w:val="single" w:sz="8" w:color="0171B9"/>
            </w:tcBorders>
            <w:shd w:val="clear" w:color="auto" w:fill="CCE2F1"/>
          </w:tcPr>
          <w:p>
            <w:pPr>
              <w:jc w:val="right"/>
              <w:ind w:right="379"/>
              <w:spacing w:after="0"/>
              <w:rPr>
                <w:sz w:val="20"/>
                <w:szCs w:val="20"/>
                <w:color w:val="auto"/>
              </w:rPr>
            </w:pPr>
            <w:r>
              <w:rPr>
                <w:rFonts w:ascii="Arial" w:cs="Arial" w:eastAsia="Arial" w:hAnsi="Arial"/>
                <w:sz w:val="16"/>
                <w:szCs w:val="16"/>
                <w:color w:val="auto"/>
              </w:rPr>
              <w:t>0</w:t>
            </w:r>
          </w:p>
        </w:tc>
        <w:tc>
          <w:tcPr>
            <w:tcW w:w="1420" w:type="dxa"/>
            <w:vAlign w:val="bottom"/>
            <w:tcBorders>
              <w:bottom w:val="single" w:sz="8" w:color="0171B9"/>
            </w:tcBorders>
            <w:shd w:val="clear" w:color="auto" w:fill="CCE2F1"/>
          </w:tcPr>
          <w:p>
            <w:pPr>
              <w:jc w:val="right"/>
              <w:ind w:right="13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16"/>
                <w:szCs w:val="16"/>
                <w:color w:val="auto"/>
              </w:rPr>
              <w:t>Total</w:t>
            </w: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5,165,078</w:t>
            </w: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16,091,555</w:t>
            </w:r>
          </w:p>
        </w:tc>
        <w:tc>
          <w:tcPr>
            <w:tcW w:w="1800" w:type="dxa"/>
            <w:vAlign w:val="bottom"/>
          </w:tcPr>
          <w:p>
            <w:pPr>
              <w:jc w:val="right"/>
              <w:ind w:right="379"/>
              <w:spacing w:after="0"/>
              <w:rPr>
                <w:sz w:val="20"/>
                <w:szCs w:val="20"/>
                <w:color w:val="auto"/>
              </w:rPr>
            </w:pPr>
            <w:r>
              <w:rPr>
                <w:rFonts w:ascii="Arial" w:cs="Arial" w:eastAsia="Arial" w:hAnsi="Arial"/>
                <w:sz w:val="16"/>
                <w:szCs w:val="16"/>
                <w:color w:val="auto"/>
              </w:rPr>
              <w:t>12,786,221</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12,786,221</w:t>
            </w:r>
          </w:p>
        </w:tc>
        <w:tc>
          <w:tcPr>
            <w:tcW w:w="0" w:type="dxa"/>
            <w:vAlign w:val="bottom"/>
          </w:tcPr>
          <w:p>
            <w:pPr>
              <w:spacing w:after="0"/>
              <w:rPr>
                <w:sz w:val="1"/>
                <w:szCs w:val="1"/>
                <w:color w:val="auto"/>
              </w:rPr>
            </w:pPr>
          </w:p>
        </w:tc>
      </w:tr>
      <w:tr>
        <w:trPr>
          <w:trHeight w:val="60"/>
        </w:trPr>
        <w:tc>
          <w:tcPr>
            <w:tcW w:w="4960" w:type="dxa"/>
            <w:vAlign w:val="bottom"/>
            <w:tcBorders>
              <w:bottom w:val="single" w:sz="8" w:color="0171B9"/>
            </w:tcBorders>
          </w:tcPr>
          <w:p>
            <w:pPr>
              <w:spacing w:after="0"/>
              <w:rPr>
                <w:sz w:val="5"/>
                <w:szCs w:val="5"/>
                <w:color w:val="auto"/>
              </w:rPr>
            </w:pPr>
          </w:p>
        </w:tc>
        <w:tc>
          <w:tcPr>
            <w:tcW w:w="1140" w:type="dxa"/>
            <w:vAlign w:val="bottom"/>
            <w:tcBorders>
              <w:bottom w:val="single" w:sz="8" w:color="0171B9"/>
            </w:tcBorders>
          </w:tcPr>
          <w:p>
            <w:pPr>
              <w:spacing w:after="0"/>
              <w:rPr>
                <w:sz w:val="5"/>
                <w:szCs w:val="5"/>
                <w:color w:val="auto"/>
              </w:rPr>
            </w:pPr>
          </w:p>
        </w:tc>
        <w:tc>
          <w:tcPr>
            <w:tcW w:w="1700" w:type="dxa"/>
            <w:vAlign w:val="bottom"/>
            <w:tcBorders>
              <w:bottom w:val="single" w:sz="8" w:color="0171B9"/>
            </w:tcBorders>
          </w:tcPr>
          <w:p>
            <w:pPr>
              <w:spacing w:after="0"/>
              <w:rPr>
                <w:sz w:val="5"/>
                <w:szCs w:val="5"/>
                <w:color w:val="auto"/>
              </w:rPr>
            </w:pPr>
          </w:p>
        </w:tc>
        <w:tc>
          <w:tcPr>
            <w:tcW w:w="1800" w:type="dxa"/>
            <w:vAlign w:val="bottom"/>
            <w:tcBorders>
              <w:bottom w:val="single" w:sz="8" w:color="0171B9"/>
            </w:tcBorders>
          </w:tcPr>
          <w:p>
            <w:pPr>
              <w:spacing w:after="0"/>
              <w:rPr>
                <w:sz w:val="5"/>
                <w:szCs w:val="5"/>
                <w:color w:val="auto"/>
              </w:rPr>
            </w:pPr>
          </w:p>
        </w:tc>
        <w:tc>
          <w:tcPr>
            <w:tcW w:w="1420" w:type="dxa"/>
            <w:vAlign w:val="bottom"/>
            <w:tcBorders>
              <w:bottom w:val="single" w:sz="8" w:color="0171B9"/>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-1584960</wp:posOffset>
            </wp:positionV>
            <wp:extent cx="699516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-1953895</wp:posOffset>
            </wp:positionV>
            <wp:extent cx="368617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106" w:lineRule="exact"/>
        <w:rPr>
          <w:sz w:val="20"/>
          <w:szCs w:val="20"/>
          <w:color w:val="auto"/>
        </w:rPr>
      </w:pPr>
    </w:p>
    <w:p>
      <w:pPr>
        <w:jc w:val="both"/>
        <w:ind w:left="540" w:hanging="424"/>
        <w:spacing w:after="0" w:line="219" w:lineRule="auto"/>
        <w:tabs>
          <w:tab w:leader="none" w:pos="540" w:val="left"/>
        </w:tabs>
        <w:numPr>
          <w:ilvl w:val="0"/>
          <w:numId w:val="125"/>
        </w:numPr>
        <w:rPr>
          <w:rFonts w:ascii="Arial" w:cs="Arial" w:eastAsia="Arial" w:hAnsi="Arial"/>
          <w:sz w:val="22"/>
          <w:szCs w:val="22"/>
          <w:color w:val="auto"/>
          <w:vertAlign w:val="superscript"/>
        </w:rPr>
      </w:pPr>
      <w:r>
        <w:rPr>
          <w:rFonts w:ascii="Arial" w:cs="Arial" w:eastAsia="Arial" w:hAnsi="Arial"/>
          <w:sz w:val="14"/>
          <w:szCs w:val="14"/>
          <w:color w:val="auto"/>
        </w:rPr>
        <w:t>In the event of a change of control (with or without a qualifying termination) that occurs after the first six months of the 2022-2024 performance period, the number of performance units that would have been earned is the sum of the number of performance units granted and related dividend equivalents accrued through December 31, 2022, multiplied by a payout percentage of 100%, which employs the plan dictated target level of performance for the operating performance measures of 100% with no modification for the TSR modifier. The TSR modifier based on our TSR percentile rank relative to the TSRs of the companies in the Reference Group for the period from the</w:t>
      </w:r>
    </w:p>
    <w:p>
      <w:pPr>
        <w:sectPr>
          <w:pgSz w:w="11900" w:h="16838" w:orient="portrait"/>
          <w:cols w:equalWidth="0" w:num="1">
            <w:col w:w="11140"/>
          </w:cols>
          <w:pgMar w:left="320" w:top="486" w:right="439" w:bottom="1440" w:gutter="0" w:footer="0" w:header="0"/>
        </w:sectPr>
      </w:pPr>
    </w:p>
    <w:p>
      <w:pPr>
        <w:spacing w:after="0" w:line="118" w:lineRule="exact"/>
        <w:rPr>
          <w:sz w:val="20"/>
          <w:szCs w:val="20"/>
          <w:color w:val="auto"/>
        </w:r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2" w:lineRule="exact"/>
        <w:rPr>
          <w:sz w:val="20"/>
          <w:szCs w:val="20"/>
          <w:color w:val="auto"/>
        </w:rPr>
      </w:pPr>
    </w:p>
    <w:p>
      <w:pPr>
        <w:ind w:left="7760"/>
        <w:spacing w:after="0"/>
        <w:rPr>
          <w:sz w:val="20"/>
          <w:szCs w:val="20"/>
          <w:color w:val="auto"/>
        </w:rPr>
      </w:pPr>
      <w:r>
        <w:rPr>
          <w:rFonts w:ascii="Arial" w:cs="Arial" w:eastAsia="Arial" w:hAnsi="Arial"/>
          <w:sz w:val="22"/>
          <w:szCs w:val="22"/>
          <w:b w:val="1"/>
          <w:bCs w:val="1"/>
          <w:color w:val="FFFFFF"/>
          <w:shd w:val="clear" w:color="auto" w:fill="0171B9"/>
        </w:rPr>
        <w:t>Executive Compensation Tables</w:t>
      </w:r>
    </w:p>
    <w:p>
      <w:pPr>
        <w:spacing w:after="0" w:line="378" w:lineRule="exact"/>
        <w:rPr>
          <w:sz w:val="20"/>
          <w:szCs w:val="20"/>
          <w:color w:val="auto"/>
        </w:rPr>
      </w:pPr>
    </w:p>
    <w:p>
      <w:pPr>
        <w:jc w:val="both"/>
        <w:ind w:left="540" w:right="20"/>
        <w:spacing w:after="0" w:line="241" w:lineRule="auto"/>
        <w:rPr>
          <w:sz w:val="20"/>
          <w:szCs w:val="20"/>
          <w:color w:val="auto"/>
        </w:rPr>
      </w:pPr>
      <w:r>
        <w:rPr>
          <w:rFonts w:ascii="Arial" w:cs="Arial" w:eastAsia="Arial" w:hAnsi="Arial"/>
          <w:sz w:val="14"/>
          <w:szCs w:val="14"/>
          <w:color w:val="auto"/>
        </w:rPr>
        <w:t>May 2, 2022 grant date through September 30, 2022, the last business day of the last fiscal quarter before the change in control, would have yielded an 8 percentage point modification, however Amgen’s TSR was less than zero for this period, and therefore the TSR modifier cannot exceed zero.</w:t>
      </w:r>
    </w:p>
    <w:p>
      <w:pPr>
        <w:spacing w:after="0" w:line="1" w:lineRule="exact"/>
        <w:rPr>
          <w:sz w:val="20"/>
          <w:szCs w:val="20"/>
          <w:color w:val="auto"/>
        </w:rPr>
      </w:pPr>
    </w:p>
    <w:p>
      <w:pPr>
        <w:jc w:val="both"/>
        <w:ind w:left="560" w:right="20" w:firstLine="211"/>
        <w:spacing w:after="0" w:line="241" w:lineRule="auto"/>
        <w:rPr>
          <w:sz w:val="20"/>
          <w:szCs w:val="20"/>
          <w:color w:val="auto"/>
        </w:rPr>
      </w:pPr>
      <w:r>
        <w:rPr>
          <w:rFonts w:ascii="Arial" w:cs="Arial" w:eastAsia="Arial" w:hAnsi="Arial"/>
          <w:sz w:val="14"/>
          <w:szCs w:val="14"/>
          <w:color w:val="auto"/>
        </w:rPr>
        <w:t>In the event of a change of control occurring (with or without a qualifying termination) that occurs during the second year of the 2021-2023 performance period, the number of performance units that would have been earned is the sum of the number of performance units granted and related dividend equivalents accrued through December 31, 2022, multiplied by a payout percentage of 111.6%, which is the percentage based on the estimated outcomes of our operating performance measures achieved during the first year of the performance period with no modification for the TSR modifier. The TSR modifier based on our TSR percentile rank relative to the TSRs of the companies in the Reference Group for the period from the April 30, 2021 grant date to September 30, 2022, the last business day of the last fiscal quarter before the change in control, would have yielded a 12.4 percentage point modification, however Amgen’s TSR was less than zero for this period, and therefore the TSR modifier cannot exceed zero.</w:t>
      </w:r>
    </w:p>
    <w:p>
      <w:pPr>
        <w:spacing w:after="0" w:line="2" w:lineRule="exact"/>
        <w:rPr>
          <w:sz w:val="20"/>
          <w:szCs w:val="20"/>
          <w:color w:val="auto"/>
        </w:rPr>
      </w:pPr>
    </w:p>
    <w:p>
      <w:pPr>
        <w:jc w:val="both"/>
        <w:ind w:left="560" w:right="20" w:firstLine="211"/>
        <w:spacing w:after="0" w:line="241" w:lineRule="auto"/>
        <w:rPr>
          <w:sz w:val="20"/>
          <w:szCs w:val="20"/>
          <w:color w:val="auto"/>
        </w:rPr>
      </w:pPr>
      <w:r>
        <w:rPr>
          <w:rFonts w:ascii="Arial" w:cs="Arial" w:eastAsia="Arial" w:hAnsi="Arial"/>
          <w:sz w:val="14"/>
          <w:szCs w:val="14"/>
          <w:color w:val="auto"/>
        </w:rPr>
        <w:t>Our TSRs for purposes of determining the payout percentages of these awards would be based on the higher of: (i) the average closing price of our Common Stock for the last 20 trading days of the shortened performance period ended on September 30, 2022; and (ii) the value of consideration the acquirer paid for a share of our Common Stock in the change of control. For purposes of the payout values shown in the tables, the TSRs for our Common Stock were based on the respective actual TSRs over the respective averaging periods ending September 30, 2022, the last business day of the last fiscal quarter before the change in control, with subsequent adjustment described above for Amgen’s TSR being less than zero during these periods. The resulting number of units that would have been so earned was multiplied by $262.64, the closing price of our Common Stock on December 31, 2022.</w:t>
      </w:r>
    </w:p>
    <w:p>
      <w:pPr>
        <w:spacing w:after="0" w:line="2" w:lineRule="exact"/>
        <w:rPr>
          <w:sz w:val="20"/>
          <w:szCs w:val="20"/>
          <w:color w:val="auto"/>
        </w:rPr>
      </w:pPr>
    </w:p>
    <w:p>
      <w:pPr>
        <w:jc w:val="both"/>
        <w:ind w:left="560" w:right="20" w:firstLine="211"/>
        <w:spacing w:after="0" w:line="235" w:lineRule="auto"/>
        <w:rPr>
          <w:sz w:val="20"/>
          <w:szCs w:val="20"/>
          <w:color w:val="auto"/>
        </w:rPr>
      </w:pPr>
      <w:r>
        <w:rPr>
          <w:rFonts w:ascii="Arial" w:cs="Arial" w:eastAsia="Arial" w:hAnsi="Arial"/>
          <w:sz w:val="14"/>
          <w:szCs w:val="14"/>
          <w:color w:val="auto"/>
        </w:rPr>
        <w:t>For information on the actual number of units to be earned for these performance unit grants, see “Elements of Compensation and Specific Compensation Decisions—</w:t>
      </w:r>
      <w:r>
        <w:rPr>
          <w:rFonts w:ascii="Arial" w:cs="Arial" w:eastAsia="Arial" w:hAnsi="Arial"/>
          <w:sz w:val="14"/>
          <w:szCs w:val="14"/>
          <w:i w:val="1"/>
          <w:iCs w:val="1"/>
          <w:color w:val="auto"/>
        </w:rPr>
        <w:t>Long-Term Incentive Equity Awards</w:t>
      </w:r>
      <w:r>
        <w:rPr>
          <w:rFonts w:ascii="Arial" w:cs="Arial" w:eastAsia="Arial" w:hAnsi="Arial"/>
          <w:sz w:val="14"/>
          <w:szCs w:val="14"/>
          <w:color w:val="auto"/>
        </w:rPr>
        <w:t>” in our Compensation Discussion and Analysis.</w:t>
      </w:r>
    </w:p>
    <w:p>
      <w:pPr>
        <w:spacing w:after="0" w:line="9" w:lineRule="exact"/>
        <w:rPr>
          <w:sz w:val="20"/>
          <w:szCs w:val="20"/>
          <w:color w:val="auto"/>
        </w:rPr>
      </w:pPr>
    </w:p>
    <w:p>
      <w:pPr>
        <w:jc w:val="both"/>
        <w:ind w:left="540" w:right="20" w:hanging="424"/>
        <w:spacing w:after="0" w:line="202" w:lineRule="auto"/>
        <w:tabs>
          <w:tab w:leader="none" w:pos="540" w:val="left"/>
        </w:tabs>
        <w:numPr>
          <w:ilvl w:val="0"/>
          <w:numId w:val="126"/>
        </w:numPr>
        <w:rPr>
          <w:rFonts w:ascii="Arial" w:cs="Arial" w:eastAsia="Arial" w:hAnsi="Arial"/>
          <w:sz w:val="22"/>
          <w:szCs w:val="22"/>
          <w:color w:val="auto"/>
          <w:vertAlign w:val="superscript"/>
        </w:rPr>
      </w:pPr>
      <w:r>
        <w:rPr>
          <w:rFonts w:ascii="Arial" w:cs="Arial" w:eastAsia="Arial" w:hAnsi="Arial"/>
          <w:sz w:val="14"/>
          <w:szCs w:val="14"/>
          <w:color w:val="auto"/>
        </w:rPr>
        <w:t>In the event death or disability occurs, the participant is entitled to the number of performance units that would have been earned by the NEO if he had remained employed for the entire performance period. For purposes of the payout values shown in the tables, the number of units that would have been earned was multiplied by $262.64, the closing price of our Common Stock on December 31, 2021.</w:t>
      </w:r>
    </w:p>
    <w:p>
      <w:pPr>
        <w:spacing w:after="0" w:line="2" w:lineRule="exact"/>
        <w:rPr>
          <w:rFonts w:ascii="Arial" w:cs="Arial" w:eastAsia="Arial" w:hAnsi="Arial"/>
          <w:sz w:val="22"/>
          <w:szCs w:val="22"/>
          <w:color w:val="auto"/>
          <w:vertAlign w:val="superscript"/>
        </w:rPr>
      </w:pPr>
    </w:p>
    <w:p>
      <w:pPr>
        <w:jc w:val="both"/>
        <w:ind w:left="560" w:firstLine="211"/>
        <w:spacing w:after="0" w:line="241" w:lineRule="auto"/>
        <w:rPr>
          <w:rFonts w:ascii="Arial" w:cs="Arial" w:eastAsia="Arial" w:hAnsi="Arial"/>
          <w:sz w:val="22"/>
          <w:szCs w:val="22"/>
          <w:color w:val="auto"/>
          <w:vertAlign w:val="superscript"/>
        </w:rPr>
      </w:pPr>
      <w:r>
        <w:rPr>
          <w:rFonts w:ascii="Arial" w:cs="Arial" w:eastAsia="Arial" w:hAnsi="Arial"/>
          <w:sz w:val="14"/>
          <w:szCs w:val="14"/>
          <w:color w:val="auto"/>
        </w:rPr>
        <w:t>For the 2022-2024 performance period, the number of performance units that would have been earned has been estimated as the sum of the number of performance units granted and related dividend equivalents accrued through December 31, 2022, multiplied by the payout percentage of 130.5%. The payout percentage is based on the estimated outcomes as of December 31, 2022, of our operating performance measures to be achieved during the performance period of 100.5%, which was increased by the TSR modifier by 30 percentage points based on our TSR percentile rank relative to the TSRs of the companies in the Reference Group for the period from the May 2, 2022 grant date to December 31, 2022.</w:t>
      </w:r>
    </w:p>
    <w:p>
      <w:pPr>
        <w:spacing w:after="0" w:line="1" w:lineRule="exact"/>
        <w:rPr>
          <w:rFonts w:ascii="Arial" w:cs="Arial" w:eastAsia="Arial" w:hAnsi="Arial"/>
          <w:sz w:val="22"/>
          <w:szCs w:val="22"/>
          <w:color w:val="auto"/>
          <w:vertAlign w:val="superscript"/>
        </w:rPr>
      </w:pPr>
    </w:p>
    <w:p>
      <w:pPr>
        <w:jc w:val="both"/>
        <w:ind w:left="560" w:right="20" w:firstLine="211"/>
        <w:spacing w:after="0" w:line="241" w:lineRule="auto"/>
        <w:rPr>
          <w:rFonts w:ascii="Arial" w:cs="Arial" w:eastAsia="Arial" w:hAnsi="Arial"/>
          <w:sz w:val="22"/>
          <w:szCs w:val="22"/>
          <w:color w:val="auto"/>
          <w:vertAlign w:val="superscript"/>
        </w:rPr>
      </w:pPr>
      <w:r>
        <w:rPr>
          <w:rFonts w:ascii="Arial" w:cs="Arial" w:eastAsia="Arial" w:hAnsi="Arial"/>
          <w:sz w:val="14"/>
          <w:szCs w:val="14"/>
          <w:color w:val="auto"/>
        </w:rPr>
        <w:t>For the 2021-2023 performance period, the number of performance units that would have been earned has been estimated as the sum of the number of performance units granted and related dividend equivalents accrued through December 31, 2022, multiplied by the payout percentage of 133.9%. The payout percentage is based on the estimated outcomes as of December 31, 2022, of our operating performance measures to be achieved during the performance period of 104.8%, which was increased by the TSR modifier by 29.1 percentage points based on our TSR percentile rank relative to the TSRs of the companies in the Reference Group for the period from the April 30, 2021 grant date to December 31, 2022.</w:t>
      </w:r>
    </w:p>
    <w:p>
      <w:pPr>
        <w:spacing w:after="0" w:line="1" w:lineRule="exact"/>
        <w:rPr>
          <w:rFonts w:ascii="Arial" w:cs="Arial" w:eastAsia="Arial" w:hAnsi="Arial"/>
          <w:sz w:val="22"/>
          <w:szCs w:val="22"/>
          <w:color w:val="auto"/>
          <w:vertAlign w:val="superscript"/>
        </w:rPr>
      </w:pPr>
    </w:p>
    <w:p>
      <w:pPr>
        <w:jc w:val="both"/>
        <w:ind w:left="560" w:firstLine="211"/>
        <w:spacing w:after="0" w:line="242" w:lineRule="auto"/>
        <w:rPr>
          <w:rFonts w:ascii="Arial" w:cs="Arial" w:eastAsia="Arial" w:hAnsi="Arial"/>
          <w:sz w:val="22"/>
          <w:szCs w:val="22"/>
          <w:color w:val="auto"/>
          <w:vertAlign w:val="superscript"/>
        </w:rPr>
      </w:pPr>
      <w:r>
        <w:rPr>
          <w:rFonts w:ascii="Arial" w:cs="Arial" w:eastAsia="Arial" w:hAnsi="Arial"/>
          <w:sz w:val="14"/>
          <w:szCs w:val="14"/>
          <w:color w:val="auto"/>
        </w:rPr>
        <w:t>In the event of actual death or disability, payout of shares in satisfaction of amounts earned for grants for the 2022-2024 and 2021-2023 performance periods would not occur until after the end of the performance periods and would be based on actual performance through the end of the performance period. For more information, see “Elements of Compensation and Specific Compensation Decisions—</w:t>
      </w:r>
      <w:r>
        <w:rPr>
          <w:rFonts w:ascii="Arial" w:cs="Arial" w:eastAsia="Arial" w:hAnsi="Arial"/>
          <w:sz w:val="14"/>
          <w:szCs w:val="14"/>
          <w:i w:val="1"/>
          <w:iCs w:val="1"/>
          <w:color w:val="auto"/>
        </w:rPr>
        <w:t>Long-Term Incentive Equity Awards</w:t>
      </w:r>
      <w:r>
        <w:rPr>
          <w:rFonts w:ascii="Arial" w:cs="Arial" w:eastAsia="Arial" w:hAnsi="Arial"/>
          <w:sz w:val="14"/>
          <w:szCs w:val="14"/>
          <w:color w:val="auto"/>
        </w:rPr>
        <w:t>” in our Compensation Discussion and Analysis.</w:t>
      </w:r>
    </w:p>
    <w:p>
      <w:pPr>
        <w:spacing w:after="0" w:line="160" w:lineRule="exact"/>
        <w:rPr>
          <w:rFonts w:ascii="Arial" w:cs="Arial" w:eastAsia="Arial" w:hAnsi="Arial"/>
          <w:sz w:val="22"/>
          <w:szCs w:val="22"/>
          <w:color w:val="auto"/>
          <w:vertAlign w:val="superscript"/>
        </w:rPr>
      </w:pPr>
    </w:p>
    <w:p>
      <w:pPr>
        <w:ind w:left="560" w:right="20" w:firstLine="211"/>
        <w:spacing w:after="0" w:line="241" w:lineRule="auto"/>
        <w:rPr>
          <w:rFonts w:ascii="Arial" w:cs="Arial" w:eastAsia="Arial" w:hAnsi="Arial"/>
          <w:sz w:val="22"/>
          <w:szCs w:val="22"/>
          <w:color w:val="auto"/>
          <w:vertAlign w:val="superscript"/>
        </w:rPr>
      </w:pPr>
      <w:r>
        <w:rPr>
          <w:rFonts w:ascii="Arial" w:cs="Arial" w:eastAsia="Arial" w:hAnsi="Arial"/>
          <w:sz w:val="14"/>
          <w:szCs w:val="14"/>
          <w:color w:val="auto"/>
        </w:rPr>
        <w:t>As Mr. Bradway, Dr. Reese, and Mr. Santos were retirement-eligible as of December 31, 2022, the retirement payout amounts for performance units for the 2022-2024 and 2021-2023 performance periods were calculated in the same manner as the respective death and disability amounts.</w:t>
      </w:r>
    </w:p>
    <w:p>
      <w:pPr>
        <w:jc w:val="both"/>
        <w:ind w:left="540" w:right="20" w:hanging="424"/>
        <w:spacing w:after="0" w:line="199" w:lineRule="auto"/>
        <w:tabs>
          <w:tab w:leader="none" w:pos="540" w:val="left"/>
        </w:tabs>
        <w:numPr>
          <w:ilvl w:val="0"/>
          <w:numId w:val="126"/>
        </w:numPr>
        <w:rPr>
          <w:rFonts w:ascii="Arial" w:cs="Arial" w:eastAsia="Arial" w:hAnsi="Arial"/>
          <w:sz w:val="22"/>
          <w:szCs w:val="22"/>
          <w:color w:val="auto"/>
          <w:vertAlign w:val="superscript"/>
        </w:rPr>
      </w:pPr>
      <w:r>
        <w:rPr>
          <w:rFonts w:ascii="Arial" w:cs="Arial" w:eastAsia="Arial" w:hAnsi="Arial"/>
          <w:sz w:val="14"/>
          <w:szCs w:val="14"/>
          <w:color w:val="auto"/>
        </w:rPr>
        <w:t>Reflects the estimated cost of medical, dental, and vision insurance coverage based on rates charged to our staff members for post-employment coverage provided in accordance with COBRA for the first 18 months following termination adjusted for the last six months of this period by a 5% inflation factor for medical coverage and a 3% inflation factor for dental coverage.</w:t>
      </w:r>
    </w:p>
    <w:p>
      <w:pPr>
        <w:spacing w:after="0" w:line="9" w:lineRule="exact"/>
        <w:rPr>
          <w:rFonts w:ascii="Arial" w:cs="Arial" w:eastAsia="Arial" w:hAnsi="Arial"/>
          <w:sz w:val="22"/>
          <w:szCs w:val="22"/>
          <w:color w:val="auto"/>
          <w:vertAlign w:val="superscript"/>
        </w:rPr>
      </w:pPr>
    </w:p>
    <w:p>
      <w:pPr>
        <w:jc w:val="both"/>
        <w:ind w:left="540" w:right="20" w:hanging="424"/>
        <w:spacing w:after="0" w:line="207" w:lineRule="auto"/>
        <w:tabs>
          <w:tab w:leader="none" w:pos="540" w:val="left"/>
        </w:tabs>
        <w:numPr>
          <w:ilvl w:val="0"/>
          <w:numId w:val="126"/>
        </w:numPr>
        <w:rPr>
          <w:rFonts w:ascii="Arial" w:cs="Arial" w:eastAsia="Arial" w:hAnsi="Arial"/>
          <w:sz w:val="22"/>
          <w:szCs w:val="22"/>
          <w:color w:val="auto"/>
          <w:vertAlign w:val="superscript"/>
        </w:rPr>
      </w:pPr>
      <w:r>
        <w:rPr>
          <w:rFonts w:ascii="Arial" w:cs="Arial" w:eastAsia="Arial" w:hAnsi="Arial"/>
          <w:sz w:val="14"/>
          <w:szCs w:val="14"/>
          <w:color w:val="auto"/>
        </w:rPr>
        <w:t>Reflects the value of retirement plan contributions for two years calculated as two times the sum of: (i) $2,500; and (ii) the product of: (a) 10%; and (b) the sum of the NEO’s annual base salary as of December 31, 2022, and the NEO’s targeted annual cash incentive award for 2022 (which equals the NEO’s annual base salary as of December 31, 2022, multiplied by the NEO’s target annual cash incentive award percentage for 2022).</w:t>
      </w:r>
    </w:p>
    <w:p>
      <w:pPr>
        <w:spacing w:after="0" w:line="117"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88</w:t>
      </w:r>
      <w:r>
        <w:rPr>
          <w:sz w:val="20"/>
          <w:szCs w:val="20"/>
          <w:color w:val="auto"/>
        </w:rPr>
        <w:tab/>
      </w:r>
      <w:r>
        <w:rPr>
          <w:sz w:val="1"/>
          <w:szCs w:val="1"/>
          <w:color w:val="auto"/>
        </w:rPr>
        <w:drawing>
          <wp:inline distT="0" distB="0" distL="0" distR="0">
            <wp:extent cx="582930" cy="137160"/>
            <wp:effectExtent l="0" t="0" r="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205740</wp:posOffset>
            </wp:positionV>
            <wp:extent cx="1739900" cy="21463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739900" cy="214630"/>
                    </a:xfrm>
                    <a:prstGeom prst="rect">
                      <a:avLst/>
                    </a:prstGeom>
                    <a:noFill/>
                  </pic:spPr>
                </pic:pic>
              </a:graphicData>
            </a:graphic>
          </wp:anchor>
        </w:drawing>
      </w: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rPr>
        <w:t>Pay Versus Performance</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320"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As required, below is disclosure of the compensation of the Company’s Named Executive Officers, or NEOs, for the last three fiscal years calculated in accordance with the recently adopted Item 402(v) of Regulation S-K. Item 402(v) requires disclosure of “compensation actually paid” based on calculations that report changes in the fair value of equity awards granted in prior years, granted during the fiscal</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year, and vesting during the fiscal year, but that do not reflect the actual amount of compensation earned or received by any of the NEOs during the fiscal year.</w:t>
      </w:r>
    </w:p>
    <w:p>
      <w:pPr>
        <w:spacing w:after="0" w:line="9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For information about our compensation philosophy and how we align executive compensation with our performance, please see our Compensation Discussion and Analysis.</w:t>
      </w:r>
    </w:p>
    <w:p>
      <w:pPr>
        <w:spacing w:after="0" w:line="277"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20" w:type="dxa"/>
            <w:vAlign w:val="bottom"/>
            <w:shd w:val="clear" w:color="auto" w:fill="0171B9"/>
          </w:tcPr>
          <w:p>
            <w:pPr>
              <w:spacing w:after="0"/>
              <w:rPr>
                <w:sz w:val="16"/>
                <w:szCs w:val="16"/>
                <w:color w:val="auto"/>
              </w:rPr>
            </w:pPr>
          </w:p>
        </w:tc>
        <w:tc>
          <w:tcPr>
            <w:tcW w:w="100" w:type="dxa"/>
            <w:vAlign w:val="bottom"/>
            <w:shd w:val="clear" w:color="auto" w:fill="0171B9"/>
          </w:tcPr>
          <w:p>
            <w:pPr>
              <w:spacing w:after="0"/>
              <w:rPr>
                <w:sz w:val="16"/>
                <w:szCs w:val="16"/>
                <w:color w:val="auto"/>
              </w:rPr>
            </w:pPr>
          </w:p>
        </w:tc>
        <w:tc>
          <w:tcPr>
            <w:tcW w:w="1280" w:type="dxa"/>
            <w:vAlign w:val="bottom"/>
            <w:shd w:val="clear" w:color="auto" w:fill="0171B9"/>
          </w:tcPr>
          <w:p>
            <w:pPr>
              <w:spacing w:after="0"/>
              <w:rPr>
                <w:sz w:val="16"/>
                <w:szCs w:val="16"/>
                <w:color w:val="auto"/>
              </w:rPr>
            </w:pPr>
          </w:p>
        </w:tc>
        <w:tc>
          <w:tcPr>
            <w:tcW w:w="1500" w:type="dxa"/>
            <w:vAlign w:val="bottom"/>
            <w:shd w:val="clear" w:color="auto" w:fill="0171B9"/>
          </w:tcPr>
          <w:p>
            <w:pPr>
              <w:spacing w:after="0"/>
              <w:rPr>
                <w:sz w:val="16"/>
                <w:szCs w:val="16"/>
                <w:color w:val="auto"/>
              </w:rPr>
            </w:pPr>
          </w:p>
        </w:tc>
        <w:tc>
          <w:tcPr>
            <w:tcW w:w="1400" w:type="dxa"/>
            <w:vAlign w:val="bottom"/>
            <w:shd w:val="clear" w:color="auto" w:fill="0171B9"/>
          </w:tcPr>
          <w:p>
            <w:pPr>
              <w:spacing w:after="0"/>
              <w:rPr>
                <w:sz w:val="16"/>
                <w:szCs w:val="16"/>
                <w:color w:val="auto"/>
              </w:rPr>
            </w:pPr>
          </w:p>
        </w:tc>
        <w:tc>
          <w:tcPr>
            <w:tcW w:w="1500" w:type="dxa"/>
            <w:vAlign w:val="bottom"/>
            <w:shd w:val="clear" w:color="auto" w:fill="0171B9"/>
          </w:tcPr>
          <w:p>
            <w:pPr>
              <w:spacing w:after="0"/>
              <w:rPr>
                <w:sz w:val="16"/>
                <w:szCs w:val="16"/>
                <w:color w:val="auto"/>
              </w:rPr>
            </w:pPr>
          </w:p>
        </w:tc>
        <w:tc>
          <w:tcPr>
            <w:tcW w:w="2480" w:type="dxa"/>
            <w:vAlign w:val="bottom"/>
            <w:gridSpan w:val="2"/>
            <w:shd w:val="clear" w:color="auto" w:fill="0171B9"/>
          </w:tcPr>
          <w:p>
            <w:pPr>
              <w:jc w:val="right"/>
              <w:ind w:right="183"/>
              <w:spacing w:after="0"/>
              <w:rPr>
                <w:sz w:val="20"/>
                <w:szCs w:val="20"/>
                <w:color w:val="auto"/>
              </w:rPr>
            </w:pPr>
            <w:r>
              <w:rPr>
                <w:rFonts w:ascii="Arial" w:cs="Arial" w:eastAsia="Arial" w:hAnsi="Arial"/>
                <w:sz w:val="16"/>
                <w:szCs w:val="16"/>
                <w:b w:val="1"/>
                <w:bCs w:val="1"/>
                <w:color w:val="FFFFFF"/>
              </w:rPr>
              <w:t>Value of Initial Fixed $100</w:t>
            </w:r>
          </w:p>
        </w:tc>
        <w:tc>
          <w:tcPr>
            <w:tcW w:w="840" w:type="dxa"/>
            <w:vAlign w:val="bottom"/>
            <w:shd w:val="clear" w:color="auto" w:fill="0171B9"/>
          </w:tcPr>
          <w:p>
            <w:pPr>
              <w:spacing w:after="0"/>
              <w:rPr>
                <w:sz w:val="16"/>
                <w:szCs w:val="16"/>
                <w:color w:val="auto"/>
              </w:rPr>
            </w:pPr>
          </w:p>
        </w:tc>
        <w:tc>
          <w:tcPr>
            <w:tcW w:w="1100" w:type="dxa"/>
            <w:vAlign w:val="bottom"/>
            <w:shd w:val="clear" w:color="auto" w:fill="0171B9"/>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20" w:type="dxa"/>
            <w:vAlign w:val="bottom"/>
            <w:shd w:val="clear" w:color="auto" w:fill="0171B9"/>
          </w:tcPr>
          <w:p>
            <w:pPr>
              <w:spacing w:after="0"/>
              <w:rPr>
                <w:sz w:val="18"/>
                <w:szCs w:val="18"/>
                <w:color w:val="auto"/>
              </w:rPr>
            </w:pPr>
          </w:p>
        </w:tc>
        <w:tc>
          <w:tcPr>
            <w:tcW w:w="100" w:type="dxa"/>
            <w:vAlign w:val="bottom"/>
            <w:shd w:val="clear" w:color="auto" w:fill="0171B9"/>
          </w:tcPr>
          <w:p>
            <w:pPr>
              <w:spacing w:after="0"/>
              <w:rPr>
                <w:sz w:val="18"/>
                <w:szCs w:val="18"/>
                <w:color w:val="auto"/>
              </w:rPr>
            </w:pPr>
          </w:p>
        </w:tc>
        <w:tc>
          <w:tcPr>
            <w:tcW w:w="1280" w:type="dxa"/>
            <w:vAlign w:val="bottom"/>
            <w:shd w:val="clear" w:color="auto" w:fill="0171B9"/>
          </w:tcPr>
          <w:p>
            <w:pPr>
              <w:spacing w:after="0"/>
              <w:rPr>
                <w:sz w:val="18"/>
                <w:szCs w:val="18"/>
                <w:color w:val="auto"/>
              </w:rPr>
            </w:pPr>
          </w:p>
        </w:tc>
        <w:tc>
          <w:tcPr>
            <w:tcW w:w="1500" w:type="dxa"/>
            <w:vAlign w:val="bottom"/>
            <w:shd w:val="clear" w:color="auto" w:fill="0171B9"/>
          </w:tcPr>
          <w:p>
            <w:pPr>
              <w:spacing w:after="0"/>
              <w:rPr>
                <w:sz w:val="18"/>
                <w:szCs w:val="18"/>
                <w:color w:val="auto"/>
              </w:rPr>
            </w:pPr>
          </w:p>
        </w:tc>
        <w:tc>
          <w:tcPr>
            <w:tcW w:w="1400" w:type="dxa"/>
            <w:vAlign w:val="bottom"/>
            <w:shd w:val="clear" w:color="auto" w:fill="0171B9"/>
          </w:tcPr>
          <w:p>
            <w:pPr>
              <w:spacing w:after="0"/>
              <w:rPr>
                <w:sz w:val="18"/>
                <w:szCs w:val="18"/>
                <w:color w:val="auto"/>
              </w:rPr>
            </w:pPr>
          </w:p>
        </w:tc>
        <w:tc>
          <w:tcPr>
            <w:tcW w:w="1500" w:type="dxa"/>
            <w:vAlign w:val="bottom"/>
            <w:shd w:val="clear" w:color="auto" w:fill="0171B9"/>
          </w:tcPr>
          <w:p>
            <w:pPr>
              <w:spacing w:after="0"/>
              <w:rPr>
                <w:sz w:val="18"/>
                <w:szCs w:val="18"/>
                <w:color w:val="auto"/>
              </w:rPr>
            </w:pPr>
          </w:p>
        </w:tc>
        <w:tc>
          <w:tcPr>
            <w:tcW w:w="2480" w:type="dxa"/>
            <w:vAlign w:val="bottom"/>
            <w:gridSpan w:val="2"/>
            <w:shd w:val="clear" w:color="auto" w:fill="0171B9"/>
          </w:tcPr>
          <w:p>
            <w:pPr>
              <w:jc w:val="right"/>
              <w:ind w:right="323"/>
              <w:spacing w:after="0"/>
              <w:rPr>
                <w:sz w:val="20"/>
                <w:szCs w:val="20"/>
                <w:color w:val="auto"/>
              </w:rPr>
            </w:pPr>
            <w:r>
              <w:rPr>
                <w:rFonts w:ascii="Arial" w:cs="Arial" w:eastAsia="Arial" w:hAnsi="Arial"/>
                <w:sz w:val="16"/>
                <w:szCs w:val="16"/>
                <w:b w:val="1"/>
                <w:bCs w:val="1"/>
                <w:color w:val="FFFFFF"/>
              </w:rPr>
              <w:t>Investment Based on:</w:t>
            </w:r>
          </w:p>
        </w:tc>
        <w:tc>
          <w:tcPr>
            <w:tcW w:w="840" w:type="dxa"/>
            <w:vAlign w:val="bottom"/>
            <w:shd w:val="clear" w:color="auto" w:fill="0171B9"/>
          </w:tcPr>
          <w:p>
            <w:pPr>
              <w:spacing w:after="0"/>
              <w:rPr>
                <w:sz w:val="18"/>
                <w:szCs w:val="18"/>
                <w:color w:val="auto"/>
              </w:rPr>
            </w:pPr>
          </w:p>
        </w:tc>
        <w:tc>
          <w:tcPr>
            <w:tcW w:w="1100" w:type="dxa"/>
            <w:vAlign w:val="bottom"/>
            <w:shd w:val="clear" w:color="auto" w:fill="0171B9"/>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shd w:val="clear" w:color="auto" w:fill="0171B9"/>
          </w:tcPr>
          <w:p>
            <w:pPr>
              <w:spacing w:after="0"/>
              <w:rPr>
                <w:sz w:val="18"/>
                <w:szCs w:val="18"/>
                <w:color w:val="auto"/>
              </w:rPr>
            </w:pPr>
          </w:p>
        </w:tc>
        <w:tc>
          <w:tcPr>
            <w:tcW w:w="100" w:type="dxa"/>
            <w:vAlign w:val="bottom"/>
            <w:shd w:val="clear" w:color="auto" w:fill="0171B9"/>
          </w:tcPr>
          <w:p>
            <w:pPr>
              <w:spacing w:after="0"/>
              <w:rPr>
                <w:sz w:val="18"/>
                <w:szCs w:val="18"/>
                <w:color w:val="auto"/>
              </w:rPr>
            </w:pPr>
          </w:p>
        </w:tc>
        <w:tc>
          <w:tcPr>
            <w:tcW w:w="1280" w:type="dxa"/>
            <w:vAlign w:val="bottom"/>
            <w:shd w:val="clear" w:color="auto" w:fill="0171B9"/>
          </w:tcPr>
          <w:p>
            <w:pPr>
              <w:spacing w:after="0"/>
              <w:rPr>
                <w:sz w:val="18"/>
                <w:szCs w:val="18"/>
                <w:color w:val="auto"/>
              </w:rPr>
            </w:pPr>
          </w:p>
        </w:tc>
        <w:tc>
          <w:tcPr>
            <w:tcW w:w="1500" w:type="dxa"/>
            <w:vAlign w:val="bottom"/>
            <w:shd w:val="clear" w:color="auto" w:fill="0171B9"/>
          </w:tcPr>
          <w:p>
            <w:pPr>
              <w:spacing w:after="0"/>
              <w:rPr>
                <w:sz w:val="18"/>
                <w:szCs w:val="18"/>
                <w:color w:val="auto"/>
              </w:rPr>
            </w:pPr>
          </w:p>
        </w:tc>
        <w:tc>
          <w:tcPr>
            <w:tcW w:w="1400" w:type="dxa"/>
            <w:vAlign w:val="bottom"/>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Average</w:t>
            </w:r>
          </w:p>
        </w:tc>
        <w:tc>
          <w:tcPr>
            <w:tcW w:w="1500" w:type="dxa"/>
            <w:vAlign w:val="bottom"/>
            <w:shd w:val="clear" w:color="auto" w:fill="0171B9"/>
          </w:tcPr>
          <w:p>
            <w:pPr>
              <w:spacing w:after="0"/>
              <w:rPr>
                <w:sz w:val="18"/>
                <w:szCs w:val="18"/>
                <w:color w:val="auto"/>
              </w:rPr>
            </w:pPr>
          </w:p>
        </w:tc>
        <w:tc>
          <w:tcPr>
            <w:tcW w:w="1240" w:type="dxa"/>
            <w:vAlign w:val="bottom"/>
            <w:shd w:val="clear" w:color="auto" w:fill="0171B9"/>
          </w:tcPr>
          <w:p>
            <w:pPr>
              <w:spacing w:after="0"/>
              <w:rPr>
                <w:sz w:val="18"/>
                <w:szCs w:val="18"/>
                <w:color w:val="auto"/>
              </w:rPr>
            </w:pPr>
          </w:p>
        </w:tc>
        <w:tc>
          <w:tcPr>
            <w:tcW w:w="1240" w:type="dxa"/>
            <w:vAlign w:val="bottom"/>
            <w:shd w:val="clear" w:color="auto" w:fill="0171B9"/>
          </w:tcPr>
          <w:p>
            <w:pPr>
              <w:spacing w:after="0"/>
              <w:rPr>
                <w:sz w:val="18"/>
                <w:szCs w:val="18"/>
                <w:color w:val="auto"/>
              </w:rPr>
            </w:pPr>
          </w:p>
        </w:tc>
        <w:tc>
          <w:tcPr>
            <w:tcW w:w="840" w:type="dxa"/>
            <w:vAlign w:val="bottom"/>
            <w:shd w:val="clear" w:color="auto" w:fill="0171B9"/>
          </w:tcPr>
          <w:p>
            <w:pPr>
              <w:spacing w:after="0"/>
              <w:rPr>
                <w:sz w:val="18"/>
                <w:szCs w:val="18"/>
                <w:color w:val="auto"/>
              </w:rPr>
            </w:pPr>
          </w:p>
        </w:tc>
        <w:tc>
          <w:tcPr>
            <w:tcW w:w="1100" w:type="dxa"/>
            <w:vAlign w:val="bottom"/>
            <w:shd w:val="clear" w:color="auto" w:fill="0171B9"/>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20" w:type="dxa"/>
            <w:vAlign w:val="bottom"/>
            <w:shd w:val="clear" w:color="auto" w:fill="0171B9"/>
          </w:tcPr>
          <w:p>
            <w:pPr>
              <w:spacing w:after="0"/>
              <w:rPr>
                <w:sz w:val="16"/>
                <w:szCs w:val="16"/>
                <w:color w:val="auto"/>
              </w:rPr>
            </w:pPr>
          </w:p>
        </w:tc>
        <w:tc>
          <w:tcPr>
            <w:tcW w:w="100" w:type="dxa"/>
            <w:vAlign w:val="bottom"/>
            <w:shd w:val="clear" w:color="auto" w:fill="0171B9"/>
          </w:tcPr>
          <w:p>
            <w:pPr>
              <w:spacing w:after="0"/>
              <w:rPr>
                <w:sz w:val="16"/>
                <w:szCs w:val="16"/>
                <w:color w:val="auto"/>
              </w:rPr>
            </w:pPr>
          </w:p>
        </w:tc>
        <w:tc>
          <w:tcPr>
            <w:tcW w:w="1280" w:type="dxa"/>
            <w:vAlign w:val="bottom"/>
            <w:shd w:val="clear" w:color="auto" w:fill="0171B9"/>
          </w:tcPr>
          <w:p>
            <w:pPr>
              <w:spacing w:after="0"/>
              <w:rPr>
                <w:sz w:val="16"/>
                <w:szCs w:val="16"/>
                <w:color w:val="auto"/>
              </w:rPr>
            </w:pPr>
          </w:p>
        </w:tc>
        <w:tc>
          <w:tcPr>
            <w:tcW w:w="1500" w:type="dxa"/>
            <w:vAlign w:val="bottom"/>
            <w:shd w:val="clear" w:color="auto" w:fill="0171B9"/>
          </w:tcPr>
          <w:p>
            <w:pPr>
              <w:spacing w:after="0"/>
              <w:rPr>
                <w:sz w:val="16"/>
                <w:szCs w:val="16"/>
                <w:color w:val="auto"/>
              </w:rPr>
            </w:pPr>
          </w:p>
        </w:tc>
        <w:tc>
          <w:tcPr>
            <w:tcW w:w="1400" w:type="dxa"/>
            <w:vAlign w:val="bottom"/>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Summary</w:t>
            </w:r>
          </w:p>
        </w:tc>
        <w:tc>
          <w:tcPr>
            <w:tcW w:w="1500" w:type="dxa"/>
            <w:vAlign w:val="bottom"/>
            <w:shd w:val="clear" w:color="auto" w:fill="0171B9"/>
          </w:tcPr>
          <w:p>
            <w:pPr>
              <w:jc w:val="right"/>
              <w:ind w:right="60"/>
              <w:spacing w:after="0"/>
              <w:rPr>
                <w:sz w:val="20"/>
                <w:szCs w:val="20"/>
                <w:color w:val="auto"/>
              </w:rPr>
            </w:pPr>
            <w:r>
              <w:rPr>
                <w:rFonts w:ascii="Arial" w:cs="Arial" w:eastAsia="Arial" w:hAnsi="Arial"/>
                <w:sz w:val="16"/>
                <w:szCs w:val="16"/>
                <w:b w:val="1"/>
                <w:bCs w:val="1"/>
                <w:color w:val="FFFFFF"/>
              </w:rPr>
              <w:t>Average</w:t>
            </w:r>
          </w:p>
        </w:tc>
        <w:tc>
          <w:tcPr>
            <w:tcW w:w="1240" w:type="dxa"/>
            <w:vAlign w:val="bottom"/>
            <w:shd w:val="clear" w:color="auto" w:fill="0171B9"/>
          </w:tcPr>
          <w:p>
            <w:pPr>
              <w:spacing w:after="0"/>
              <w:rPr>
                <w:sz w:val="16"/>
                <w:szCs w:val="16"/>
                <w:color w:val="auto"/>
              </w:rPr>
            </w:pPr>
          </w:p>
        </w:tc>
        <w:tc>
          <w:tcPr>
            <w:tcW w:w="1240" w:type="dxa"/>
            <w:vAlign w:val="bottom"/>
            <w:shd w:val="clear" w:color="auto" w:fill="0171B9"/>
          </w:tcPr>
          <w:p>
            <w:pPr>
              <w:spacing w:after="0"/>
              <w:rPr>
                <w:sz w:val="16"/>
                <w:szCs w:val="16"/>
                <w:color w:val="auto"/>
              </w:rPr>
            </w:pPr>
          </w:p>
        </w:tc>
        <w:tc>
          <w:tcPr>
            <w:tcW w:w="840" w:type="dxa"/>
            <w:vAlign w:val="bottom"/>
            <w:shd w:val="clear" w:color="auto" w:fill="0171B9"/>
          </w:tcPr>
          <w:p>
            <w:pPr>
              <w:spacing w:after="0"/>
              <w:rPr>
                <w:sz w:val="16"/>
                <w:szCs w:val="16"/>
                <w:color w:val="auto"/>
              </w:rPr>
            </w:pPr>
          </w:p>
        </w:tc>
        <w:tc>
          <w:tcPr>
            <w:tcW w:w="1100" w:type="dxa"/>
            <w:vAlign w:val="bottom"/>
            <w:shd w:val="clear" w:color="auto" w:fill="0171B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 w:type="dxa"/>
            <w:vAlign w:val="bottom"/>
            <w:shd w:val="clear" w:color="auto" w:fill="0171B9"/>
          </w:tcPr>
          <w:p>
            <w:pPr>
              <w:spacing w:after="0"/>
              <w:rPr>
                <w:sz w:val="16"/>
                <w:szCs w:val="16"/>
                <w:color w:val="auto"/>
              </w:rPr>
            </w:pPr>
          </w:p>
        </w:tc>
        <w:tc>
          <w:tcPr>
            <w:tcW w:w="100" w:type="dxa"/>
            <w:vAlign w:val="bottom"/>
            <w:shd w:val="clear" w:color="auto" w:fill="0171B9"/>
          </w:tcPr>
          <w:p>
            <w:pPr>
              <w:spacing w:after="0"/>
              <w:rPr>
                <w:sz w:val="16"/>
                <w:szCs w:val="16"/>
                <w:color w:val="auto"/>
              </w:rPr>
            </w:pPr>
          </w:p>
        </w:tc>
        <w:tc>
          <w:tcPr>
            <w:tcW w:w="1280" w:type="dxa"/>
            <w:vAlign w:val="bottom"/>
            <w:shd w:val="clear" w:color="auto" w:fill="0171B9"/>
          </w:tcPr>
          <w:p>
            <w:pPr>
              <w:spacing w:after="0"/>
              <w:rPr>
                <w:sz w:val="16"/>
                <w:szCs w:val="16"/>
                <w:color w:val="auto"/>
              </w:rPr>
            </w:pPr>
          </w:p>
        </w:tc>
        <w:tc>
          <w:tcPr>
            <w:tcW w:w="1500" w:type="dxa"/>
            <w:vAlign w:val="bottom"/>
            <w:shd w:val="clear" w:color="auto" w:fill="0171B9"/>
          </w:tcPr>
          <w:p>
            <w:pPr>
              <w:spacing w:after="0"/>
              <w:rPr>
                <w:sz w:val="16"/>
                <w:szCs w:val="16"/>
                <w:color w:val="auto"/>
              </w:rPr>
            </w:pPr>
          </w:p>
        </w:tc>
        <w:tc>
          <w:tcPr>
            <w:tcW w:w="1400" w:type="dxa"/>
            <w:vAlign w:val="bottom"/>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Compensation</w:t>
            </w:r>
          </w:p>
        </w:tc>
        <w:tc>
          <w:tcPr>
            <w:tcW w:w="1500" w:type="dxa"/>
            <w:vAlign w:val="bottom"/>
            <w:shd w:val="clear" w:color="auto" w:fill="0171B9"/>
          </w:tcPr>
          <w:p>
            <w:pPr>
              <w:jc w:val="right"/>
              <w:ind w:right="60"/>
              <w:spacing w:after="0"/>
              <w:rPr>
                <w:sz w:val="20"/>
                <w:szCs w:val="20"/>
                <w:color w:val="auto"/>
              </w:rPr>
            </w:pPr>
            <w:r>
              <w:rPr>
                <w:rFonts w:ascii="Arial" w:cs="Arial" w:eastAsia="Arial" w:hAnsi="Arial"/>
                <w:sz w:val="16"/>
                <w:szCs w:val="16"/>
                <w:b w:val="1"/>
                <w:bCs w:val="1"/>
                <w:color w:val="FFFFFF"/>
              </w:rPr>
              <w:t>Compensation</w:t>
            </w:r>
          </w:p>
        </w:tc>
        <w:tc>
          <w:tcPr>
            <w:tcW w:w="1240" w:type="dxa"/>
            <w:vAlign w:val="bottom"/>
            <w:shd w:val="clear" w:color="auto" w:fill="0171B9"/>
          </w:tcPr>
          <w:p>
            <w:pPr>
              <w:spacing w:after="0"/>
              <w:rPr>
                <w:sz w:val="16"/>
                <w:szCs w:val="16"/>
                <w:color w:val="auto"/>
              </w:rPr>
            </w:pPr>
          </w:p>
        </w:tc>
        <w:tc>
          <w:tcPr>
            <w:tcW w:w="1240" w:type="dxa"/>
            <w:vAlign w:val="bottom"/>
            <w:shd w:val="clear" w:color="auto" w:fill="0171B9"/>
          </w:tcPr>
          <w:p>
            <w:pPr>
              <w:spacing w:after="0"/>
              <w:rPr>
                <w:sz w:val="16"/>
                <w:szCs w:val="16"/>
                <w:color w:val="auto"/>
              </w:rPr>
            </w:pPr>
          </w:p>
        </w:tc>
        <w:tc>
          <w:tcPr>
            <w:tcW w:w="840" w:type="dxa"/>
            <w:vAlign w:val="bottom"/>
            <w:shd w:val="clear" w:color="auto" w:fill="0171B9"/>
          </w:tcPr>
          <w:p>
            <w:pPr>
              <w:spacing w:after="0"/>
              <w:rPr>
                <w:sz w:val="16"/>
                <w:szCs w:val="16"/>
                <w:color w:val="auto"/>
              </w:rPr>
            </w:pPr>
          </w:p>
        </w:tc>
        <w:tc>
          <w:tcPr>
            <w:tcW w:w="1100" w:type="dxa"/>
            <w:vAlign w:val="bottom"/>
            <w:shd w:val="clear" w:color="auto" w:fill="0171B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 w:type="dxa"/>
            <w:vAlign w:val="bottom"/>
            <w:shd w:val="clear" w:color="auto" w:fill="0171B9"/>
          </w:tcPr>
          <w:p>
            <w:pPr>
              <w:spacing w:after="0"/>
              <w:rPr>
                <w:sz w:val="16"/>
                <w:szCs w:val="16"/>
                <w:color w:val="auto"/>
              </w:rPr>
            </w:pPr>
          </w:p>
        </w:tc>
        <w:tc>
          <w:tcPr>
            <w:tcW w:w="100" w:type="dxa"/>
            <w:vAlign w:val="bottom"/>
            <w:shd w:val="clear" w:color="auto" w:fill="0171B9"/>
          </w:tcPr>
          <w:p>
            <w:pPr>
              <w:spacing w:after="0"/>
              <w:rPr>
                <w:sz w:val="16"/>
                <w:szCs w:val="16"/>
                <w:color w:val="auto"/>
              </w:rPr>
            </w:pPr>
          </w:p>
        </w:tc>
        <w:tc>
          <w:tcPr>
            <w:tcW w:w="1280" w:type="dxa"/>
            <w:vAlign w:val="bottom"/>
            <w:shd w:val="clear" w:color="auto" w:fill="0171B9"/>
          </w:tcPr>
          <w:p>
            <w:pPr>
              <w:spacing w:after="0"/>
              <w:rPr>
                <w:sz w:val="16"/>
                <w:szCs w:val="16"/>
                <w:color w:val="auto"/>
              </w:rPr>
            </w:pPr>
          </w:p>
        </w:tc>
        <w:tc>
          <w:tcPr>
            <w:tcW w:w="1500" w:type="dxa"/>
            <w:vAlign w:val="bottom"/>
            <w:shd w:val="clear" w:color="auto" w:fill="0171B9"/>
          </w:tcPr>
          <w:p>
            <w:pPr>
              <w:spacing w:after="0"/>
              <w:rPr>
                <w:sz w:val="16"/>
                <w:szCs w:val="16"/>
                <w:color w:val="auto"/>
              </w:rPr>
            </w:pPr>
          </w:p>
        </w:tc>
        <w:tc>
          <w:tcPr>
            <w:tcW w:w="1400" w:type="dxa"/>
            <w:vAlign w:val="bottom"/>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Table Total for</w:t>
            </w:r>
          </w:p>
        </w:tc>
        <w:tc>
          <w:tcPr>
            <w:tcW w:w="1500" w:type="dxa"/>
            <w:vAlign w:val="bottom"/>
            <w:shd w:val="clear" w:color="auto" w:fill="0171B9"/>
          </w:tcPr>
          <w:p>
            <w:pPr>
              <w:jc w:val="right"/>
              <w:ind w:right="60"/>
              <w:spacing w:after="0"/>
              <w:rPr>
                <w:sz w:val="20"/>
                <w:szCs w:val="20"/>
                <w:color w:val="auto"/>
              </w:rPr>
            </w:pPr>
            <w:r>
              <w:rPr>
                <w:rFonts w:ascii="Arial" w:cs="Arial" w:eastAsia="Arial" w:hAnsi="Arial"/>
                <w:sz w:val="16"/>
                <w:szCs w:val="16"/>
                <w:b w:val="1"/>
                <w:bCs w:val="1"/>
                <w:color w:val="FFFFFF"/>
              </w:rPr>
              <w:t>Actually Paid to</w:t>
            </w:r>
          </w:p>
        </w:tc>
        <w:tc>
          <w:tcPr>
            <w:tcW w:w="1240" w:type="dxa"/>
            <w:vAlign w:val="bottom"/>
            <w:shd w:val="clear" w:color="auto" w:fill="0171B9"/>
          </w:tcPr>
          <w:p>
            <w:pPr>
              <w:spacing w:after="0"/>
              <w:rPr>
                <w:sz w:val="16"/>
                <w:szCs w:val="16"/>
                <w:color w:val="auto"/>
              </w:rPr>
            </w:pPr>
          </w:p>
        </w:tc>
        <w:tc>
          <w:tcPr>
            <w:tcW w:w="1240" w:type="dxa"/>
            <w:vAlign w:val="bottom"/>
            <w:vMerge w:val="restart"/>
            <w:shd w:val="clear" w:color="auto" w:fill="0171B9"/>
          </w:tcPr>
          <w:p>
            <w:pPr>
              <w:jc w:val="right"/>
              <w:ind w:right="63"/>
              <w:spacing w:after="0"/>
              <w:rPr>
                <w:sz w:val="20"/>
                <w:szCs w:val="20"/>
                <w:color w:val="auto"/>
              </w:rPr>
            </w:pPr>
            <w:r>
              <w:rPr>
                <w:rFonts w:ascii="Arial" w:cs="Arial" w:eastAsia="Arial" w:hAnsi="Arial"/>
                <w:sz w:val="16"/>
                <w:szCs w:val="16"/>
                <w:b w:val="1"/>
                <w:bCs w:val="1"/>
                <w:color w:val="FFFFFF"/>
              </w:rPr>
              <w:t>Peer Group</w:t>
            </w:r>
          </w:p>
        </w:tc>
        <w:tc>
          <w:tcPr>
            <w:tcW w:w="840" w:type="dxa"/>
            <w:vAlign w:val="bottom"/>
            <w:shd w:val="clear" w:color="auto" w:fill="0171B9"/>
          </w:tcPr>
          <w:p>
            <w:pPr>
              <w:spacing w:after="0"/>
              <w:rPr>
                <w:sz w:val="16"/>
                <w:szCs w:val="16"/>
                <w:color w:val="auto"/>
              </w:rPr>
            </w:pPr>
          </w:p>
        </w:tc>
        <w:tc>
          <w:tcPr>
            <w:tcW w:w="1100" w:type="dxa"/>
            <w:vAlign w:val="bottom"/>
            <w:shd w:val="clear" w:color="auto" w:fill="0171B9"/>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820" w:type="dxa"/>
            <w:vAlign w:val="bottom"/>
            <w:shd w:val="clear" w:color="auto" w:fill="0171B9"/>
          </w:tcPr>
          <w:p>
            <w:pPr>
              <w:spacing w:after="0"/>
              <w:rPr>
                <w:sz w:val="5"/>
                <w:szCs w:val="5"/>
                <w:color w:val="auto"/>
              </w:rPr>
            </w:pPr>
          </w:p>
        </w:tc>
        <w:tc>
          <w:tcPr>
            <w:tcW w:w="100" w:type="dxa"/>
            <w:vAlign w:val="bottom"/>
            <w:shd w:val="clear" w:color="auto" w:fill="0171B9"/>
          </w:tcPr>
          <w:p>
            <w:pPr>
              <w:spacing w:after="0"/>
              <w:rPr>
                <w:sz w:val="5"/>
                <w:szCs w:val="5"/>
                <w:color w:val="auto"/>
              </w:rPr>
            </w:pPr>
          </w:p>
        </w:tc>
        <w:tc>
          <w:tcPr>
            <w:tcW w:w="1280" w:type="dxa"/>
            <w:vAlign w:val="bottom"/>
            <w:vMerge w:val="restart"/>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Summary</w:t>
            </w:r>
          </w:p>
        </w:tc>
        <w:tc>
          <w:tcPr>
            <w:tcW w:w="1500" w:type="dxa"/>
            <w:vAlign w:val="bottom"/>
            <w:shd w:val="clear" w:color="auto" w:fill="0171B9"/>
          </w:tcPr>
          <w:p>
            <w:pPr>
              <w:spacing w:after="0"/>
              <w:rPr>
                <w:sz w:val="5"/>
                <w:szCs w:val="5"/>
                <w:color w:val="auto"/>
              </w:rPr>
            </w:pPr>
          </w:p>
        </w:tc>
        <w:tc>
          <w:tcPr>
            <w:tcW w:w="1400" w:type="dxa"/>
            <w:vAlign w:val="bottom"/>
            <w:vMerge w:val="restart"/>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non-CEO</w:t>
            </w:r>
          </w:p>
        </w:tc>
        <w:tc>
          <w:tcPr>
            <w:tcW w:w="1500" w:type="dxa"/>
            <w:vAlign w:val="bottom"/>
            <w:vMerge w:val="restart"/>
            <w:shd w:val="clear" w:color="auto" w:fill="0171B9"/>
          </w:tcPr>
          <w:p>
            <w:pPr>
              <w:jc w:val="right"/>
              <w:ind w:right="60"/>
              <w:spacing w:after="0"/>
              <w:rPr>
                <w:sz w:val="20"/>
                <w:szCs w:val="20"/>
                <w:color w:val="auto"/>
              </w:rPr>
            </w:pPr>
            <w:r>
              <w:rPr>
                <w:rFonts w:ascii="Arial" w:cs="Arial" w:eastAsia="Arial" w:hAnsi="Arial"/>
                <w:sz w:val="16"/>
                <w:szCs w:val="16"/>
                <w:b w:val="1"/>
                <w:bCs w:val="1"/>
                <w:color w:val="FFFFFF"/>
              </w:rPr>
              <w:t>Non-CEO</w:t>
            </w:r>
          </w:p>
        </w:tc>
        <w:tc>
          <w:tcPr>
            <w:tcW w:w="1240" w:type="dxa"/>
            <w:vAlign w:val="bottom"/>
            <w:shd w:val="clear" w:color="auto" w:fill="0171B9"/>
          </w:tcPr>
          <w:p>
            <w:pPr>
              <w:spacing w:after="0"/>
              <w:rPr>
                <w:sz w:val="5"/>
                <w:szCs w:val="5"/>
                <w:color w:val="auto"/>
              </w:rPr>
            </w:pPr>
          </w:p>
        </w:tc>
        <w:tc>
          <w:tcPr>
            <w:tcW w:w="1240" w:type="dxa"/>
            <w:vAlign w:val="bottom"/>
            <w:vMerge w:val="continue"/>
            <w:shd w:val="clear" w:color="auto" w:fill="0171B9"/>
          </w:tcPr>
          <w:p>
            <w:pPr>
              <w:spacing w:after="0"/>
              <w:rPr>
                <w:sz w:val="5"/>
                <w:szCs w:val="5"/>
                <w:color w:val="auto"/>
              </w:rPr>
            </w:pPr>
          </w:p>
        </w:tc>
        <w:tc>
          <w:tcPr>
            <w:tcW w:w="840" w:type="dxa"/>
            <w:vAlign w:val="bottom"/>
            <w:shd w:val="clear" w:color="auto" w:fill="0171B9"/>
          </w:tcPr>
          <w:p>
            <w:pPr>
              <w:spacing w:after="0"/>
              <w:rPr>
                <w:sz w:val="5"/>
                <w:szCs w:val="5"/>
                <w:color w:val="auto"/>
              </w:rPr>
            </w:pPr>
          </w:p>
        </w:tc>
        <w:tc>
          <w:tcPr>
            <w:tcW w:w="1100" w:type="dxa"/>
            <w:vAlign w:val="bottom"/>
            <w:shd w:val="clear" w:color="auto" w:fill="0171B9"/>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820" w:type="dxa"/>
            <w:vAlign w:val="bottom"/>
            <w:shd w:val="clear" w:color="auto" w:fill="0171B9"/>
          </w:tcPr>
          <w:p>
            <w:pPr>
              <w:spacing w:after="0"/>
              <w:rPr>
                <w:sz w:val="10"/>
                <w:szCs w:val="10"/>
                <w:color w:val="auto"/>
              </w:rPr>
            </w:pPr>
          </w:p>
        </w:tc>
        <w:tc>
          <w:tcPr>
            <w:tcW w:w="100" w:type="dxa"/>
            <w:vAlign w:val="bottom"/>
            <w:shd w:val="clear" w:color="auto" w:fill="0171B9"/>
          </w:tcPr>
          <w:p>
            <w:pPr>
              <w:spacing w:after="0"/>
              <w:rPr>
                <w:sz w:val="10"/>
                <w:szCs w:val="10"/>
                <w:color w:val="auto"/>
              </w:rPr>
            </w:pPr>
          </w:p>
        </w:tc>
        <w:tc>
          <w:tcPr>
            <w:tcW w:w="1280" w:type="dxa"/>
            <w:vAlign w:val="bottom"/>
            <w:vMerge w:val="continue"/>
            <w:shd w:val="clear" w:color="auto" w:fill="0171B9"/>
          </w:tcPr>
          <w:p>
            <w:pPr>
              <w:spacing w:after="0"/>
              <w:rPr>
                <w:sz w:val="10"/>
                <w:szCs w:val="10"/>
                <w:color w:val="auto"/>
              </w:rPr>
            </w:pPr>
          </w:p>
        </w:tc>
        <w:tc>
          <w:tcPr>
            <w:tcW w:w="1500" w:type="dxa"/>
            <w:vAlign w:val="bottom"/>
            <w:shd w:val="clear" w:color="auto" w:fill="0171B9"/>
          </w:tcPr>
          <w:p>
            <w:pPr>
              <w:spacing w:after="0"/>
              <w:rPr>
                <w:sz w:val="10"/>
                <w:szCs w:val="10"/>
                <w:color w:val="auto"/>
              </w:rPr>
            </w:pPr>
          </w:p>
        </w:tc>
        <w:tc>
          <w:tcPr>
            <w:tcW w:w="1400" w:type="dxa"/>
            <w:vAlign w:val="bottom"/>
            <w:vMerge w:val="continue"/>
            <w:shd w:val="clear" w:color="auto" w:fill="0171B9"/>
          </w:tcPr>
          <w:p>
            <w:pPr>
              <w:spacing w:after="0"/>
              <w:rPr>
                <w:sz w:val="10"/>
                <w:szCs w:val="10"/>
                <w:color w:val="auto"/>
              </w:rPr>
            </w:pPr>
          </w:p>
        </w:tc>
        <w:tc>
          <w:tcPr>
            <w:tcW w:w="1500" w:type="dxa"/>
            <w:vAlign w:val="bottom"/>
            <w:vMerge w:val="continue"/>
            <w:shd w:val="clear" w:color="auto" w:fill="0171B9"/>
          </w:tcPr>
          <w:p>
            <w:pPr>
              <w:spacing w:after="0"/>
              <w:rPr>
                <w:sz w:val="10"/>
                <w:szCs w:val="10"/>
                <w:color w:val="auto"/>
              </w:rPr>
            </w:pPr>
          </w:p>
        </w:tc>
        <w:tc>
          <w:tcPr>
            <w:tcW w:w="1240" w:type="dxa"/>
            <w:vAlign w:val="bottom"/>
            <w:shd w:val="clear" w:color="auto" w:fill="0171B9"/>
          </w:tcPr>
          <w:p>
            <w:pPr>
              <w:spacing w:after="0"/>
              <w:rPr>
                <w:sz w:val="10"/>
                <w:szCs w:val="10"/>
                <w:color w:val="auto"/>
              </w:rPr>
            </w:pPr>
          </w:p>
        </w:tc>
        <w:tc>
          <w:tcPr>
            <w:tcW w:w="1240" w:type="dxa"/>
            <w:vAlign w:val="bottom"/>
            <w:vMerge w:val="restart"/>
            <w:shd w:val="clear" w:color="auto" w:fill="0171B9"/>
          </w:tcPr>
          <w:p>
            <w:pPr>
              <w:jc w:val="right"/>
              <w:ind w:right="63"/>
              <w:spacing w:after="0"/>
              <w:rPr>
                <w:sz w:val="20"/>
                <w:szCs w:val="20"/>
                <w:color w:val="auto"/>
              </w:rPr>
            </w:pPr>
            <w:r>
              <w:rPr>
                <w:rFonts w:ascii="Arial" w:cs="Arial" w:eastAsia="Arial" w:hAnsi="Arial"/>
                <w:sz w:val="16"/>
                <w:szCs w:val="16"/>
                <w:b w:val="1"/>
                <w:bCs w:val="1"/>
                <w:color w:val="FFFFFF"/>
              </w:rPr>
              <w:t>Total</w:t>
            </w:r>
          </w:p>
        </w:tc>
        <w:tc>
          <w:tcPr>
            <w:tcW w:w="840" w:type="dxa"/>
            <w:vAlign w:val="bottom"/>
            <w:shd w:val="clear" w:color="auto" w:fill="0171B9"/>
          </w:tcPr>
          <w:p>
            <w:pPr>
              <w:spacing w:after="0"/>
              <w:rPr>
                <w:sz w:val="10"/>
                <w:szCs w:val="10"/>
                <w:color w:val="auto"/>
              </w:rPr>
            </w:pPr>
          </w:p>
        </w:tc>
        <w:tc>
          <w:tcPr>
            <w:tcW w:w="1100" w:type="dxa"/>
            <w:vAlign w:val="bottom"/>
            <w:shd w:val="clear" w:color="auto" w:fill="0171B9"/>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20" w:type="dxa"/>
            <w:vAlign w:val="bottom"/>
            <w:shd w:val="clear" w:color="auto" w:fill="0171B9"/>
          </w:tcPr>
          <w:p>
            <w:pPr>
              <w:spacing w:after="0"/>
              <w:rPr>
                <w:sz w:val="5"/>
                <w:szCs w:val="5"/>
                <w:color w:val="auto"/>
              </w:rPr>
            </w:pPr>
          </w:p>
        </w:tc>
        <w:tc>
          <w:tcPr>
            <w:tcW w:w="100" w:type="dxa"/>
            <w:vAlign w:val="bottom"/>
            <w:shd w:val="clear" w:color="auto" w:fill="0171B9"/>
          </w:tcPr>
          <w:p>
            <w:pPr>
              <w:spacing w:after="0"/>
              <w:rPr>
                <w:sz w:val="5"/>
                <w:szCs w:val="5"/>
                <w:color w:val="auto"/>
              </w:rPr>
            </w:pPr>
          </w:p>
        </w:tc>
        <w:tc>
          <w:tcPr>
            <w:tcW w:w="1280" w:type="dxa"/>
            <w:vAlign w:val="bottom"/>
            <w:vMerge w:val="restart"/>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Compensation</w:t>
            </w:r>
          </w:p>
        </w:tc>
        <w:tc>
          <w:tcPr>
            <w:tcW w:w="1500" w:type="dxa"/>
            <w:vAlign w:val="bottom"/>
            <w:vMerge w:val="restart"/>
            <w:shd w:val="clear" w:color="auto" w:fill="0171B9"/>
          </w:tcPr>
          <w:p>
            <w:pPr>
              <w:jc w:val="right"/>
              <w:ind w:right="60"/>
              <w:spacing w:after="0"/>
              <w:rPr>
                <w:sz w:val="20"/>
                <w:szCs w:val="20"/>
                <w:color w:val="auto"/>
              </w:rPr>
            </w:pPr>
            <w:r>
              <w:rPr>
                <w:rFonts w:ascii="Arial" w:cs="Arial" w:eastAsia="Arial" w:hAnsi="Arial"/>
                <w:sz w:val="16"/>
                <w:szCs w:val="16"/>
                <w:b w:val="1"/>
                <w:bCs w:val="1"/>
                <w:color w:val="FFFFFF"/>
              </w:rPr>
              <w:t>Compensation</w:t>
            </w:r>
          </w:p>
        </w:tc>
        <w:tc>
          <w:tcPr>
            <w:tcW w:w="1400" w:type="dxa"/>
            <w:vAlign w:val="bottom"/>
            <w:vMerge w:val="restart"/>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Named</w:t>
            </w:r>
          </w:p>
        </w:tc>
        <w:tc>
          <w:tcPr>
            <w:tcW w:w="1500" w:type="dxa"/>
            <w:vAlign w:val="bottom"/>
            <w:vMerge w:val="restart"/>
            <w:shd w:val="clear" w:color="auto" w:fill="0171B9"/>
          </w:tcPr>
          <w:p>
            <w:pPr>
              <w:jc w:val="right"/>
              <w:ind w:right="60"/>
              <w:spacing w:after="0"/>
              <w:rPr>
                <w:sz w:val="20"/>
                <w:szCs w:val="20"/>
                <w:color w:val="auto"/>
              </w:rPr>
            </w:pPr>
            <w:r>
              <w:rPr>
                <w:rFonts w:ascii="Arial" w:cs="Arial" w:eastAsia="Arial" w:hAnsi="Arial"/>
                <w:sz w:val="16"/>
                <w:szCs w:val="16"/>
                <w:b w:val="1"/>
                <w:bCs w:val="1"/>
                <w:color w:val="FFFFFF"/>
              </w:rPr>
              <w:t>Named</w:t>
            </w:r>
          </w:p>
        </w:tc>
        <w:tc>
          <w:tcPr>
            <w:tcW w:w="1240" w:type="dxa"/>
            <w:vAlign w:val="bottom"/>
            <w:vMerge w:val="restart"/>
            <w:shd w:val="clear" w:color="auto" w:fill="0171B9"/>
          </w:tcPr>
          <w:p>
            <w:pPr>
              <w:jc w:val="right"/>
              <w:ind w:right="60"/>
              <w:spacing w:after="0"/>
              <w:rPr>
                <w:sz w:val="20"/>
                <w:szCs w:val="20"/>
                <w:color w:val="auto"/>
              </w:rPr>
            </w:pPr>
            <w:r>
              <w:rPr>
                <w:rFonts w:ascii="Arial" w:cs="Arial" w:eastAsia="Arial" w:hAnsi="Arial"/>
                <w:sz w:val="16"/>
                <w:szCs w:val="16"/>
                <w:b w:val="1"/>
                <w:bCs w:val="1"/>
                <w:color w:val="FFFFFF"/>
              </w:rPr>
              <w:t>Amgen Total</w:t>
            </w:r>
          </w:p>
        </w:tc>
        <w:tc>
          <w:tcPr>
            <w:tcW w:w="1240" w:type="dxa"/>
            <w:vAlign w:val="bottom"/>
            <w:vMerge w:val="continue"/>
            <w:shd w:val="clear" w:color="auto" w:fill="0171B9"/>
          </w:tcPr>
          <w:p>
            <w:pPr>
              <w:spacing w:after="0"/>
              <w:rPr>
                <w:sz w:val="5"/>
                <w:szCs w:val="5"/>
                <w:color w:val="auto"/>
              </w:rPr>
            </w:pPr>
          </w:p>
        </w:tc>
        <w:tc>
          <w:tcPr>
            <w:tcW w:w="840" w:type="dxa"/>
            <w:vAlign w:val="bottom"/>
            <w:vMerge w:val="restart"/>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Net</w:t>
            </w:r>
          </w:p>
        </w:tc>
        <w:tc>
          <w:tcPr>
            <w:tcW w:w="1100" w:type="dxa"/>
            <w:vAlign w:val="bottom"/>
            <w:shd w:val="clear" w:color="auto" w:fill="0171B9"/>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820" w:type="dxa"/>
            <w:vAlign w:val="bottom"/>
            <w:shd w:val="clear" w:color="auto" w:fill="0171B9"/>
          </w:tcPr>
          <w:p>
            <w:pPr>
              <w:spacing w:after="0"/>
              <w:rPr>
                <w:sz w:val="10"/>
                <w:szCs w:val="10"/>
                <w:color w:val="auto"/>
              </w:rPr>
            </w:pPr>
          </w:p>
        </w:tc>
        <w:tc>
          <w:tcPr>
            <w:tcW w:w="100" w:type="dxa"/>
            <w:vAlign w:val="bottom"/>
            <w:shd w:val="clear" w:color="auto" w:fill="0171B9"/>
          </w:tcPr>
          <w:p>
            <w:pPr>
              <w:spacing w:after="0"/>
              <w:rPr>
                <w:sz w:val="10"/>
                <w:szCs w:val="10"/>
                <w:color w:val="auto"/>
              </w:rPr>
            </w:pPr>
          </w:p>
        </w:tc>
        <w:tc>
          <w:tcPr>
            <w:tcW w:w="1280" w:type="dxa"/>
            <w:vAlign w:val="bottom"/>
            <w:vMerge w:val="continue"/>
            <w:shd w:val="clear" w:color="auto" w:fill="0171B9"/>
          </w:tcPr>
          <w:p>
            <w:pPr>
              <w:spacing w:after="0"/>
              <w:rPr>
                <w:sz w:val="10"/>
                <w:szCs w:val="10"/>
                <w:color w:val="auto"/>
              </w:rPr>
            </w:pPr>
          </w:p>
        </w:tc>
        <w:tc>
          <w:tcPr>
            <w:tcW w:w="1500" w:type="dxa"/>
            <w:vAlign w:val="bottom"/>
            <w:vMerge w:val="continue"/>
            <w:shd w:val="clear" w:color="auto" w:fill="0171B9"/>
          </w:tcPr>
          <w:p>
            <w:pPr>
              <w:spacing w:after="0"/>
              <w:rPr>
                <w:sz w:val="10"/>
                <w:szCs w:val="10"/>
                <w:color w:val="auto"/>
              </w:rPr>
            </w:pPr>
          </w:p>
        </w:tc>
        <w:tc>
          <w:tcPr>
            <w:tcW w:w="1400" w:type="dxa"/>
            <w:vAlign w:val="bottom"/>
            <w:vMerge w:val="continue"/>
            <w:shd w:val="clear" w:color="auto" w:fill="0171B9"/>
          </w:tcPr>
          <w:p>
            <w:pPr>
              <w:spacing w:after="0"/>
              <w:rPr>
                <w:sz w:val="10"/>
                <w:szCs w:val="10"/>
                <w:color w:val="auto"/>
              </w:rPr>
            </w:pPr>
          </w:p>
        </w:tc>
        <w:tc>
          <w:tcPr>
            <w:tcW w:w="1500" w:type="dxa"/>
            <w:vAlign w:val="bottom"/>
            <w:vMerge w:val="continue"/>
            <w:shd w:val="clear" w:color="auto" w:fill="0171B9"/>
          </w:tcPr>
          <w:p>
            <w:pPr>
              <w:spacing w:after="0"/>
              <w:rPr>
                <w:sz w:val="10"/>
                <w:szCs w:val="10"/>
                <w:color w:val="auto"/>
              </w:rPr>
            </w:pPr>
          </w:p>
        </w:tc>
        <w:tc>
          <w:tcPr>
            <w:tcW w:w="1240" w:type="dxa"/>
            <w:vAlign w:val="bottom"/>
            <w:vMerge w:val="continue"/>
            <w:shd w:val="clear" w:color="auto" w:fill="0171B9"/>
          </w:tcPr>
          <w:p>
            <w:pPr>
              <w:spacing w:after="0"/>
              <w:rPr>
                <w:sz w:val="10"/>
                <w:szCs w:val="10"/>
                <w:color w:val="auto"/>
              </w:rPr>
            </w:pPr>
          </w:p>
        </w:tc>
        <w:tc>
          <w:tcPr>
            <w:tcW w:w="1240" w:type="dxa"/>
            <w:vAlign w:val="bottom"/>
            <w:vMerge w:val="restart"/>
            <w:shd w:val="clear" w:color="auto" w:fill="0171B9"/>
          </w:tcPr>
          <w:p>
            <w:pPr>
              <w:jc w:val="right"/>
              <w:ind w:right="63"/>
              <w:spacing w:after="0"/>
              <w:rPr>
                <w:sz w:val="20"/>
                <w:szCs w:val="20"/>
                <w:color w:val="auto"/>
              </w:rPr>
            </w:pPr>
            <w:r>
              <w:rPr>
                <w:rFonts w:ascii="Arial" w:cs="Arial" w:eastAsia="Arial" w:hAnsi="Arial"/>
                <w:sz w:val="16"/>
                <w:szCs w:val="16"/>
                <w:b w:val="1"/>
                <w:bCs w:val="1"/>
                <w:color w:val="FFFFFF"/>
              </w:rPr>
              <w:t>Shareholder</w:t>
            </w:r>
          </w:p>
        </w:tc>
        <w:tc>
          <w:tcPr>
            <w:tcW w:w="840" w:type="dxa"/>
            <w:vAlign w:val="bottom"/>
            <w:vMerge w:val="continue"/>
            <w:shd w:val="clear" w:color="auto" w:fill="0171B9"/>
          </w:tcPr>
          <w:p>
            <w:pPr>
              <w:spacing w:after="0"/>
              <w:rPr>
                <w:sz w:val="10"/>
                <w:szCs w:val="10"/>
                <w:color w:val="auto"/>
              </w:rPr>
            </w:pPr>
          </w:p>
        </w:tc>
        <w:tc>
          <w:tcPr>
            <w:tcW w:w="1100" w:type="dxa"/>
            <w:vAlign w:val="bottom"/>
            <w:shd w:val="clear" w:color="auto" w:fill="0171B9"/>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20" w:type="dxa"/>
            <w:vAlign w:val="bottom"/>
            <w:shd w:val="clear" w:color="auto" w:fill="0171B9"/>
          </w:tcPr>
          <w:p>
            <w:pPr>
              <w:spacing w:after="0"/>
              <w:rPr>
                <w:sz w:val="5"/>
                <w:szCs w:val="5"/>
                <w:color w:val="auto"/>
              </w:rPr>
            </w:pPr>
          </w:p>
        </w:tc>
        <w:tc>
          <w:tcPr>
            <w:tcW w:w="100" w:type="dxa"/>
            <w:vAlign w:val="bottom"/>
            <w:shd w:val="clear" w:color="auto" w:fill="0171B9"/>
          </w:tcPr>
          <w:p>
            <w:pPr>
              <w:spacing w:after="0"/>
              <w:rPr>
                <w:sz w:val="5"/>
                <w:szCs w:val="5"/>
                <w:color w:val="auto"/>
              </w:rPr>
            </w:pPr>
          </w:p>
        </w:tc>
        <w:tc>
          <w:tcPr>
            <w:tcW w:w="1280" w:type="dxa"/>
            <w:vAlign w:val="bottom"/>
            <w:vMerge w:val="restart"/>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Table Total for</w:t>
            </w:r>
          </w:p>
        </w:tc>
        <w:tc>
          <w:tcPr>
            <w:tcW w:w="1500" w:type="dxa"/>
            <w:vAlign w:val="bottom"/>
            <w:vMerge w:val="restart"/>
            <w:shd w:val="clear" w:color="auto" w:fill="0171B9"/>
          </w:tcPr>
          <w:p>
            <w:pPr>
              <w:jc w:val="right"/>
              <w:ind w:right="60"/>
              <w:spacing w:after="0"/>
              <w:rPr>
                <w:sz w:val="20"/>
                <w:szCs w:val="20"/>
                <w:color w:val="auto"/>
              </w:rPr>
            </w:pPr>
            <w:r>
              <w:rPr>
                <w:rFonts w:ascii="Arial" w:cs="Arial" w:eastAsia="Arial" w:hAnsi="Arial"/>
                <w:sz w:val="16"/>
                <w:szCs w:val="16"/>
                <w:b w:val="1"/>
                <w:bCs w:val="1"/>
                <w:color w:val="FFFFFF"/>
              </w:rPr>
              <w:t>Actually Paid to</w:t>
            </w:r>
          </w:p>
        </w:tc>
        <w:tc>
          <w:tcPr>
            <w:tcW w:w="1400" w:type="dxa"/>
            <w:vAlign w:val="bottom"/>
            <w:vMerge w:val="restart"/>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Executive</w:t>
            </w:r>
          </w:p>
        </w:tc>
        <w:tc>
          <w:tcPr>
            <w:tcW w:w="1500" w:type="dxa"/>
            <w:vAlign w:val="bottom"/>
            <w:vMerge w:val="restart"/>
            <w:shd w:val="clear" w:color="auto" w:fill="0171B9"/>
          </w:tcPr>
          <w:p>
            <w:pPr>
              <w:jc w:val="right"/>
              <w:ind w:right="60"/>
              <w:spacing w:after="0"/>
              <w:rPr>
                <w:sz w:val="20"/>
                <w:szCs w:val="20"/>
                <w:color w:val="auto"/>
              </w:rPr>
            </w:pPr>
            <w:r>
              <w:rPr>
                <w:rFonts w:ascii="Arial" w:cs="Arial" w:eastAsia="Arial" w:hAnsi="Arial"/>
                <w:sz w:val="16"/>
                <w:szCs w:val="16"/>
                <w:b w:val="1"/>
                <w:bCs w:val="1"/>
                <w:color w:val="FFFFFF"/>
              </w:rPr>
              <w:t>Executive</w:t>
            </w:r>
          </w:p>
        </w:tc>
        <w:tc>
          <w:tcPr>
            <w:tcW w:w="1240" w:type="dxa"/>
            <w:vAlign w:val="bottom"/>
            <w:vMerge w:val="restart"/>
            <w:shd w:val="clear" w:color="auto" w:fill="0171B9"/>
          </w:tcPr>
          <w:p>
            <w:pPr>
              <w:jc w:val="right"/>
              <w:ind w:right="60"/>
              <w:spacing w:after="0"/>
              <w:rPr>
                <w:sz w:val="20"/>
                <w:szCs w:val="20"/>
                <w:color w:val="auto"/>
              </w:rPr>
            </w:pPr>
            <w:r>
              <w:rPr>
                <w:rFonts w:ascii="Arial" w:cs="Arial" w:eastAsia="Arial" w:hAnsi="Arial"/>
                <w:sz w:val="16"/>
                <w:szCs w:val="16"/>
                <w:b w:val="1"/>
                <w:bCs w:val="1"/>
                <w:color w:val="FFFFFF"/>
              </w:rPr>
              <w:t>Shareholder</w:t>
            </w:r>
          </w:p>
        </w:tc>
        <w:tc>
          <w:tcPr>
            <w:tcW w:w="1240" w:type="dxa"/>
            <w:vAlign w:val="bottom"/>
            <w:vMerge w:val="continue"/>
            <w:shd w:val="clear" w:color="auto" w:fill="0171B9"/>
          </w:tcPr>
          <w:p>
            <w:pPr>
              <w:spacing w:after="0"/>
              <w:rPr>
                <w:sz w:val="5"/>
                <w:szCs w:val="5"/>
                <w:color w:val="auto"/>
              </w:rPr>
            </w:pPr>
          </w:p>
        </w:tc>
        <w:tc>
          <w:tcPr>
            <w:tcW w:w="840" w:type="dxa"/>
            <w:vAlign w:val="bottom"/>
            <w:vMerge w:val="restart"/>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Income</w:t>
            </w:r>
          </w:p>
        </w:tc>
        <w:tc>
          <w:tcPr>
            <w:tcW w:w="1100" w:type="dxa"/>
            <w:vAlign w:val="bottom"/>
            <w:vMerge w:val="restart"/>
            <w:shd w:val="clear" w:color="auto" w:fill="0171B9"/>
          </w:tcPr>
          <w:p>
            <w:pPr>
              <w:jc w:val="right"/>
              <w:ind w:right="41"/>
              <w:spacing w:after="0"/>
              <w:rPr>
                <w:sz w:val="20"/>
                <w:szCs w:val="20"/>
                <w:color w:val="auto"/>
              </w:rPr>
            </w:pPr>
            <w:r>
              <w:rPr>
                <w:rFonts w:ascii="Arial" w:cs="Arial" w:eastAsia="Arial" w:hAnsi="Arial"/>
                <w:sz w:val="16"/>
                <w:szCs w:val="16"/>
                <w:b w:val="1"/>
                <w:bCs w:val="1"/>
                <w:color w:val="FFFFFF"/>
              </w:rPr>
              <w:t>Non-GAAP</w:t>
            </w:r>
          </w:p>
        </w:tc>
        <w:tc>
          <w:tcPr>
            <w:tcW w:w="0" w:type="dxa"/>
            <w:vAlign w:val="bottom"/>
          </w:tcPr>
          <w:p>
            <w:pPr>
              <w:spacing w:after="0"/>
              <w:rPr>
                <w:sz w:val="1"/>
                <w:szCs w:val="1"/>
                <w:color w:val="auto"/>
              </w:rPr>
            </w:pPr>
          </w:p>
        </w:tc>
      </w:tr>
      <w:tr>
        <w:trPr>
          <w:trHeight w:val="167"/>
        </w:trPr>
        <w:tc>
          <w:tcPr>
            <w:tcW w:w="820" w:type="dxa"/>
            <w:vAlign w:val="bottom"/>
            <w:vMerge w:val="restart"/>
            <w:shd w:val="clear" w:color="auto" w:fill="0171B9"/>
          </w:tcPr>
          <w:p>
            <w:pPr>
              <w:ind w:left="240"/>
              <w:spacing w:after="0"/>
              <w:rPr>
                <w:sz w:val="20"/>
                <w:szCs w:val="20"/>
                <w:color w:val="auto"/>
              </w:rPr>
            </w:pPr>
            <w:r>
              <w:rPr>
                <w:rFonts w:ascii="Arial" w:cs="Arial" w:eastAsia="Arial" w:hAnsi="Arial"/>
                <w:sz w:val="16"/>
                <w:szCs w:val="16"/>
                <w:b w:val="1"/>
                <w:bCs w:val="1"/>
                <w:color w:val="FFFFFF"/>
              </w:rPr>
              <w:t>Year</w:t>
            </w:r>
          </w:p>
        </w:tc>
        <w:tc>
          <w:tcPr>
            <w:tcW w:w="100" w:type="dxa"/>
            <w:vAlign w:val="bottom"/>
            <w:shd w:val="clear" w:color="auto" w:fill="0171B9"/>
          </w:tcPr>
          <w:p>
            <w:pPr>
              <w:spacing w:after="0"/>
              <w:rPr>
                <w:sz w:val="14"/>
                <w:szCs w:val="14"/>
                <w:color w:val="auto"/>
              </w:rPr>
            </w:pPr>
          </w:p>
        </w:tc>
        <w:tc>
          <w:tcPr>
            <w:tcW w:w="1280" w:type="dxa"/>
            <w:vAlign w:val="bottom"/>
            <w:vMerge w:val="continue"/>
            <w:shd w:val="clear" w:color="auto" w:fill="0171B9"/>
          </w:tcPr>
          <w:p>
            <w:pPr>
              <w:spacing w:after="0"/>
              <w:rPr>
                <w:sz w:val="14"/>
                <w:szCs w:val="14"/>
                <w:color w:val="auto"/>
              </w:rPr>
            </w:pPr>
          </w:p>
        </w:tc>
        <w:tc>
          <w:tcPr>
            <w:tcW w:w="1500" w:type="dxa"/>
            <w:vAlign w:val="bottom"/>
            <w:vMerge w:val="continue"/>
            <w:shd w:val="clear" w:color="auto" w:fill="0171B9"/>
          </w:tcPr>
          <w:p>
            <w:pPr>
              <w:spacing w:after="0"/>
              <w:rPr>
                <w:sz w:val="14"/>
                <w:szCs w:val="14"/>
                <w:color w:val="auto"/>
              </w:rPr>
            </w:pPr>
          </w:p>
        </w:tc>
        <w:tc>
          <w:tcPr>
            <w:tcW w:w="1400" w:type="dxa"/>
            <w:vAlign w:val="bottom"/>
            <w:vMerge w:val="continue"/>
            <w:shd w:val="clear" w:color="auto" w:fill="0171B9"/>
          </w:tcPr>
          <w:p>
            <w:pPr>
              <w:spacing w:after="0"/>
              <w:rPr>
                <w:sz w:val="14"/>
                <w:szCs w:val="14"/>
                <w:color w:val="auto"/>
              </w:rPr>
            </w:pPr>
          </w:p>
        </w:tc>
        <w:tc>
          <w:tcPr>
            <w:tcW w:w="1500" w:type="dxa"/>
            <w:vAlign w:val="bottom"/>
            <w:vMerge w:val="continue"/>
            <w:shd w:val="clear" w:color="auto" w:fill="0171B9"/>
          </w:tcPr>
          <w:p>
            <w:pPr>
              <w:spacing w:after="0"/>
              <w:rPr>
                <w:sz w:val="14"/>
                <w:szCs w:val="14"/>
                <w:color w:val="auto"/>
              </w:rPr>
            </w:pPr>
          </w:p>
        </w:tc>
        <w:tc>
          <w:tcPr>
            <w:tcW w:w="1240" w:type="dxa"/>
            <w:vAlign w:val="bottom"/>
            <w:vMerge w:val="continue"/>
            <w:shd w:val="clear" w:color="auto" w:fill="0171B9"/>
          </w:tcPr>
          <w:p>
            <w:pPr>
              <w:spacing w:after="0"/>
              <w:rPr>
                <w:sz w:val="14"/>
                <w:szCs w:val="14"/>
                <w:color w:val="auto"/>
              </w:rPr>
            </w:pPr>
          </w:p>
        </w:tc>
        <w:tc>
          <w:tcPr>
            <w:tcW w:w="1240" w:type="dxa"/>
            <w:vAlign w:val="bottom"/>
            <w:shd w:val="clear" w:color="auto" w:fill="0171B9"/>
          </w:tcPr>
          <w:p>
            <w:pPr>
              <w:jc w:val="right"/>
              <w:ind w:right="63"/>
              <w:spacing w:after="0" w:line="167" w:lineRule="exact"/>
              <w:rPr>
                <w:sz w:val="20"/>
                <w:szCs w:val="20"/>
                <w:color w:val="auto"/>
              </w:rPr>
            </w:pPr>
            <w:r>
              <w:rPr>
                <w:rFonts w:ascii="Arial" w:cs="Arial" w:eastAsia="Arial" w:hAnsi="Arial"/>
                <w:sz w:val="15"/>
                <w:szCs w:val="15"/>
                <w:b w:val="1"/>
                <w:bCs w:val="1"/>
                <w:color w:val="FFFFFF"/>
              </w:rPr>
              <w:t>Return($)</w:t>
            </w:r>
            <w:r>
              <w:rPr>
                <w:rFonts w:ascii="Arial" w:cs="Arial" w:eastAsia="Arial" w:hAnsi="Arial"/>
                <w:sz w:val="19"/>
                <w:szCs w:val="19"/>
                <w:b w:val="1"/>
                <w:bCs w:val="1"/>
                <w:color w:val="FFFFFF"/>
                <w:vertAlign w:val="superscript"/>
              </w:rPr>
              <w:t>(3)</w:t>
            </w:r>
          </w:p>
        </w:tc>
        <w:tc>
          <w:tcPr>
            <w:tcW w:w="840" w:type="dxa"/>
            <w:vAlign w:val="bottom"/>
            <w:vMerge w:val="continue"/>
            <w:shd w:val="clear" w:color="auto" w:fill="0171B9"/>
          </w:tcPr>
          <w:p>
            <w:pPr>
              <w:spacing w:after="0"/>
              <w:rPr>
                <w:sz w:val="14"/>
                <w:szCs w:val="14"/>
                <w:color w:val="auto"/>
              </w:rPr>
            </w:pPr>
          </w:p>
        </w:tc>
        <w:tc>
          <w:tcPr>
            <w:tcW w:w="1100" w:type="dxa"/>
            <w:vAlign w:val="bottom"/>
            <w:vMerge w:val="continue"/>
            <w:shd w:val="clear" w:color="auto" w:fill="0171B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vMerge w:val="continue"/>
            <w:shd w:val="clear" w:color="auto" w:fill="0171B9"/>
          </w:tcPr>
          <w:p>
            <w:pPr>
              <w:spacing w:after="0"/>
              <w:rPr>
                <w:sz w:val="14"/>
                <w:szCs w:val="14"/>
                <w:color w:val="auto"/>
              </w:rPr>
            </w:pPr>
          </w:p>
        </w:tc>
        <w:tc>
          <w:tcPr>
            <w:tcW w:w="100" w:type="dxa"/>
            <w:vAlign w:val="bottom"/>
            <w:shd w:val="clear" w:color="auto" w:fill="0171B9"/>
          </w:tcPr>
          <w:p>
            <w:pPr>
              <w:spacing w:after="0"/>
              <w:rPr>
                <w:sz w:val="14"/>
                <w:szCs w:val="14"/>
                <w:color w:val="auto"/>
              </w:rPr>
            </w:pPr>
          </w:p>
        </w:tc>
        <w:tc>
          <w:tcPr>
            <w:tcW w:w="1280" w:type="dxa"/>
            <w:vAlign w:val="bottom"/>
            <w:shd w:val="clear" w:color="auto" w:fill="0171B9"/>
          </w:tcPr>
          <w:p>
            <w:pPr>
              <w:jc w:val="right"/>
              <w:ind w:right="59"/>
              <w:spacing w:after="0" w:line="162" w:lineRule="exact"/>
              <w:rPr>
                <w:sz w:val="20"/>
                <w:szCs w:val="20"/>
                <w:color w:val="auto"/>
              </w:rPr>
            </w:pPr>
            <w:r>
              <w:rPr>
                <w:rFonts w:ascii="Arial" w:cs="Arial" w:eastAsia="Arial" w:hAnsi="Arial"/>
                <w:sz w:val="16"/>
                <w:szCs w:val="16"/>
                <w:b w:val="1"/>
                <w:bCs w:val="1"/>
                <w:color w:val="FFFFFF"/>
              </w:rPr>
              <w:t>CEO($)</w:t>
            </w:r>
          </w:p>
        </w:tc>
        <w:tc>
          <w:tcPr>
            <w:tcW w:w="1500" w:type="dxa"/>
            <w:vAlign w:val="bottom"/>
            <w:shd w:val="clear" w:color="auto" w:fill="0171B9"/>
          </w:tcPr>
          <w:p>
            <w:pPr>
              <w:jc w:val="right"/>
              <w:ind w:right="60"/>
              <w:spacing w:after="0" w:line="162" w:lineRule="exact"/>
              <w:rPr>
                <w:sz w:val="20"/>
                <w:szCs w:val="20"/>
                <w:color w:val="auto"/>
              </w:rPr>
            </w:pPr>
            <w:r>
              <w:rPr>
                <w:rFonts w:ascii="Arial" w:cs="Arial" w:eastAsia="Arial" w:hAnsi="Arial"/>
                <w:sz w:val="15"/>
                <w:szCs w:val="15"/>
                <w:b w:val="1"/>
                <w:bCs w:val="1"/>
                <w:color w:val="FFFFFF"/>
              </w:rPr>
              <w:t>CEO($)</w:t>
            </w:r>
            <w:r>
              <w:rPr>
                <w:rFonts w:ascii="Arial" w:cs="Arial" w:eastAsia="Arial" w:hAnsi="Arial"/>
                <w:sz w:val="18"/>
                <w:szCs w:val="18"/>
                <w:b w:val="1"/>
                <w:bCs w:val="1"/>
                <w:color w:val="FFFFFF"/>
                <w:vertAlign w:val="superscript"/>
              </w:rPr>
              <w:t>(1)(2)</w:t>
            </w:r>
          </w:p>
        </w:tc>
        <w:tc>
          <w:tcPr>
            <w:tcW w:w="1400" w:type="dxa"/>
            <w:vAlign w:val="bottom"/>
            <w:shd w:val="clear" w:color="auto" w:fill="0171B9"/>
          </w:tcPr>
          <w:p>
            <w:pPr>
              <w:jc w:val="right"/>
              <w:ind w:right="59"/>
              <w:spacing w:after="0" w:line="162" w:lineRule="exact"/>
              <w:rPr>
                <w:sz w:val="20"/>
                <w:szCs w:val="20"/>
                <w:color w:val="auto"/>
              </w:rPr>
            </w:pPr>
            <w:r>
              <w:rPr>
                <w:rFonts w:ascii="Arial" w:cs="Arial" w:eastAsia="Arial" w:hAnsi="Arial"/>
                <w:sz w:val="16"/>
                <w:szCs w:val="16"/>
                <w:b w:val="1"/>
                <w:bCs w:val="1"/>
                <w:color w:val="FFFFFF"/>
              </w:rPr>
              <w:t>Officers($)</w:t>
            </w:r>
          </w:p>
        </w:tc>
        <w:tc>
          <w:tcPr>
            <w:tcW w:w="1500" w:type="dxa"/>
            <w:vAlign w:val="bottom"/>
            <w:shd w:val="clear" w:color="auto" w:fill="0171B9"/>
          </w:tcPr>
          <w:p>
            <w:pPr>
              <w:jc w:val="right"/>
              <w:ind w:right="60"/>
              <w:spacing w:after="0" w:line="162" w:lineRule="exact"/>
              <w:rPr>
                <w:sz w:val="20"/>
                <w:szCs w:val="20"/>
                <w:color w:val="auto"/>
              </w:rPr>
            </w:pPr>
            <w:r>
              <w:rPr>
                <w:rFonts w:ascii="Arial" w:cs="Arial" w:eastAsia="Arial" w:hAnsi="Arial"/>
                <w:sz w:val="15"/>
                <w:szCs w:val="15"/>
                <w:b w:val="1"/>
                <w:bCs w:val="1"/>
                <w:color w:val="FFFFFF"/>
              </w:rPr>
              <w:t>Officers</w:t>
            </w:r>
            <w:r>
              <w:rPr>
                <w:rFonts w:ascii="Arial" w:cs="Arial" w:eastAsia="Arial" w:hAnsi="Arial"/>
                <w:sz w:val="18"/>
                <w:szCs w:val="18"/>
                <w:b w:val="1"/>
                <w:bCs w:val="1"/>
                <w:color w:val="FFFFFF"/>
                <w:vertAlign w:val="superscript"/>
              </w:rPr>
              <w:t>(1)(2)</w:t>
            </w:r>
          </w:p>
        </w:tc>
        <w:tc>
          <w:tcPr>
            <w:tcW w:w="1240" w:type="dxa"/>
            <w:vAlign w:val="bottom"/>
            <w:shd w:val="clear" w:color="auto" w:fill="0171B9"/>
          </w:tcPr>
          <w:p>
            <w:pPr>
              <w:jc w:val="right"/>
              <w:ind w:right="60"/>
              <w:spacing w:after="0" w:line="162" w:lineRule="exact"/>
              <w:rPr>
                <w:sz w:val="20"/>
                <w:szCs w:val="20"/>
                <w:color w:val="auto"/>
              </w:rPr>
            </w:pPr>
            <w:r>
              <w:rPr>
                <w:rFonts w:ascii="Arial" w:cs="Arial" w:eastAsia="Arial" w:hAnsi="Arial"/>
                <w:sz w:val="15"/>
                <w:szCs w:val="15"/>
                <w:b w:val="1"/>
                <w:bCs w:val="1"/>
                <w:color w:val="FFFFFF"/>
              </w:rPr>
              <w:t>Return($)</w:t>
            </w:r>
            <w:r>
              <w:rPr>
                <w:rFonts w:ascii="Arial" w:cs="Arial" w:eastAsia="Arial" w:hAnsi="Arial"/>
                <w:sz w:val="18"/>
                <w:szCs w:val="18"/>
                <w:b w:val="1"/>
                <w:bCs w:val="1"/>
                <w:color w:val="FFFFFF"/>
                <w:vertAlign w:val="superscript"/>
              </w:rPr>
              <w:t>(3)</w:t>
            </w:r>
          </w:p>
        </w:tc>
        <w:tc>
          <w:tcPr>
            <w:tcW w:w="1240" w:type="dxa"/>
            <w:vAlign w:val="bottom"/>
            <w:shd w:val="clear" w:color="auto" w:fill="0171B9"/>
          </w:tcPr>
          <w:p>
            <w:pPr>
              <w:jc w:val="right"/>
              <w:ind w:right="63"/>
              <w:spacing w:after="0"/>
              <w:rPr>
                <w:sz w:val="20"/>
                <w:szCs w:val="20"/>
                <w:color w:val="auto"/>
              </w:rPr>
            </w:pPr>
            <w:r>
              <w:rPr>
                <w:rFonts w:ascii="Arial" w:cs="Arial" w:eastAsia="Arial" w:hAnsi="Arial"/>
                <w:sz w:val="10"/>
                <w:szCs w:val="10"/>
                <w:b w:val="1"/>
                <w:bCs w:val="1"/>
                <w:color w:val="FFFFFF"/>
              </w:rPr>
              <w:t>(4)</w:t>
            </w:r>
          </w:p>
        </w:tc>
        <w:tc>
          <w:tcPr>
            <w:tcW w:w="840" w:type="dxa"/>
            <w:vAlign w:val="bottom"/>
            <w:shd w:val="clear" w:color="auto" w:fill="0171B9"/>
          </w:tcPr>
          <w:p>
            <w:pPr>
              <w:jc w:val="right"/>
              <w:ind w:right="59"/>
              <w:spacing w:after="0" w:line="162" w:lineRule="exact"/>
              <w:rPr>
                <w:sz w:val="20"/>
                <w:szCs w:val="20"/>
                <w:color w:val="auto"/>
              </w:rPr>
            </w:pPr>
            <w:r>
              <w:rPr>
                <w:rFonts w:ascii="Arial" w:cs="Arial" w:eastAsia="Arial" w:hAnsi="Arial"/>
                <w:sz w:val="16"/>
                <w:szCs w:val="16"/>
                <w:b w:val="1"/>
                <w:bCs w:val="1"/>
                <w:color w:val="FFFFFF"/>
              </w:rPr>
              <w:t>($M)</w:t>
            </w:r>
          </w:p>
        </w:tc>
        <w:tc>
          <w:tcPr>
            <w:tcW w:w="1100" w:type="dxa"/>
            <w:vAlign w:val="bottom"/>
            <w:shd w:val="clear" w:color="auto" w:fill="0171B9"/>
          </w:tcPr>
          <w:p>
            <w:pPr>
              <w:jc w:val="right"/>
              <w:ind w:right="41"/>
              <w:spacing w:after="0" w:line="162" w:lineRule="exact"/>
              <w:rPr>
                <w:sz w:val="20"/>
                <w:szCs w:val="20"/>
                <w:color w:val="auto"/>
              </w:rPr>
            </w:pPr>
            <w:r>
              <w:rPr>
                <w:rFonts w:ascii="Arial" w:cs="Arial" w:eastAsia="Arial" w:hAnsi="Arial"/>
                <w:sz w:val="15"/>
                <w:szCs w:val="15"/>
                <w:b w:val="1"/>
                <w:bCs w:val="1"/>
                <w:color w:val="FFFFFF"/>
              </w:rPr>
              <w:t>EPS($)</w:t>
            </w:r>
            <w:r>
              <w:rPr>
                <w:rFonts w:ascii="Arial" w:cs="Arial" w:eastAsia="Arial" w:hAnsi="Arial"/>
                <w:sz w:val="18"/>
                <w:szCs w:val="18"/>
                <w:b w:val="1"/>
                <w:bCs w:val="1"/>
                <w:color w:val="FFFFFF"/>
                <w:vertAlign w:val="superscript"/>
              </w:rPr>
              <w:t>(5)</w:t>
            </w:r>
          </w:p>
        </w:tc>
        <w:tc>
          <w:tcPr>
            <w:tcW w:w="0" w:type="dxa"/>
            <w:vAlign w:val="bottom"/>
          </w:tcPr>
          <w:p>
            <w:pPr>
              <w:spacing w:after="0"/>
              <w:rPr>
                <w:sz w:val="1"/>
                <w:szCs w:val="1"/>
                <w:color w:val="auto"/>
              </w:rPr>
            </w:pPr>
          </w:p>
        </w:tc>
      </w:tr>
      <w:tr>
        <w:trPr>
          <w:trHeight w:val="189"/>
        </w:trPr>
        <w:tc>
          <w:tcPr>
            <w:tcW w:w="820" w:type="dxa"/>
            <w:vAlign w:val="bottom"/>
            <w:shd w:val="clear" w:color="auto" w:fill="CCE2F1"/>
          </w:tcPr>
          <w:p>
            <w:pPr>
              <w:ind w:left="220"/>
              <w:spacing w:after="0"/>
              <w:rPr>
                <w:sz w:val="20"/>
                <w:szCs w:val="20"/>
                <w:color w:val="auto"/>
              </w:rPr>
            </w:pPr>
            <w:r>
              <w:rPr>
                <w:rFonts w:ascii="Arial" w:cs="Arial" w:eastAsia="Arial" w:hAnsi="Arial"/>
                <w:sz w:val="16"/>
                <w:szCs w:val="16"/>
                <w:color w:val="auto"/>
              </w:rPr>
              <w:t>2022</w:t>
            </w:r>
          </w:p>
        </w:tc>
        <w:tc>
          <w:tcPr>
            <w:tcW w:w="1380" w:type="dxa"/>
            <w:vAlign w:val="bottom"/>
            <w:gridSpan w:val="2"/>
            <w:shd w:val="clear" w:color="auto" w:fill="CCE2F1"/>
          </w:tcPr>
          <w:p>
            <w:pPr>
              <w:jc w:val="right"/>
              <w:ind w:right="59"/>
              <w:spacing w:after="0"/>
              <w:rPr>
                <w:sz w:val="20"/>
                <w:szCs w:val="20"/>
                <w:color w:val="auto"/>
              </w:rPr>
            </w:pPr>
            <w:r>
              <w:rPr>
                <w:rFonts w:ascii="Arial" w:cs="Arial" w:eastAsia="Arial" w:hAnsi="Arial"/>
                <w:sz w:val="16"/>
                <w:szCs w:val="16"/>
                <w:color w:val="auto"/>
              </w:rPr>
              <w:t>21,399,733</w:t>
            </w:r>
          </w:p>
        </w:tc>
        <w:tc>
          <w:tcPr>
            <w:tcW w:w="1500" w:type="dxa"/>
            <w:vAlign w:val="bottom"/>
            <w:shd w:val="clear" w:color="auto" w:fill="CCE2F1"/>
          </w:tcPr>
          <w:p>
            <w:pPr>
              <w:jc w:val="right"/>
              <w:ind w:right="60"/>
              <w:spacing w:after="0"/>
              <w:rPr>
                <w:sz w:val="20"/>
                <w:szCs w:val="20"/>
                <w:color w:val="auto"/>
              </w:rPr>
            </w:pPr>
            <w:r>
              <w:rPr>
                <w:rFonts w:ascii="Arial" w:cs="Arial" w:eastAsia="Arial" w:hAnsi="Arial"/>
                <w:sz w:val="16"/>
                <w:szCs w:val="16"/>
                <w:color w:val="auto"/>
              </w:rPr>
              <w:t>41,655,553</w:t>
            </w:r>
          </w:p>
        </w:tc>
        <w:tc>
          <w:tcPr>
            <w:tcW w:w="1400" w:type="dxa"/>
            <w:vAlign w:val="bottom"/>
            <w:shd w:val="clear" w:color="auto" w:fill="CCE2F1"/>
          </w:tcPr>
          <w:p>
            <w:pPr>
              <w:jc w:val="right"/>
              <w:ind w:right="59"/>
              <w:spacing w:after="0"/>
              <w:rPr>
                <w:sz w:val="20"/>
                <w:szCs w:val="20"/>
                <w:color w:val="auto"/>
              </w:rPr>
            </w:pPr>
            <w:r>
              <w:rPr>
                <w:rFonts w:ascii="Arial" w:cs="Arial" w:eastAsia="Arial" w:hAnsi="Arial"/>
                <w:sz w:val="16"/>
                <w:szCs w:val="16"/>
                <w:color w:val="auto"/>
              </w:rPr>
              <w:t>7,211,427</w:t>
            </w:r>
          </w:p>
        </w:tc>
        <w:tc>
          <w:tcPr>
            <w:tcW w:w="1500" w:type="dxa"/>
            <w:vAlign w:val="bottom"/>
            <w:shd w:val="clear" w:color="auto" w:fill="CCE2F1"/>
          </w:tcPr>
          <w:p>
            <w:pPr>
              <w:jc w:val="right"/>
              <w:ind w:right="60"/>
              <w:spacing w:after="0"/>
              <w:rPr>
                <w:sz w:val="20"/>
                <w:szCs w:val="20"/>
                <w:color w:val="auto"/>
              </w:rPr>
            </w:pPr>
            <w:r>
              <w:rPr>
                <w:rFonts w:ascii="Arial" w:cs="Arial" w:eastAsia="Arial" w:hAnsi="Arial"/>
                <w:sz w:val="16"/>
                <w:szCs w:val="16"/>
                <w:color w:val="auto"/>
              </w:rPr>
              <w:t>12,777,767</w:t>
            </w:r>
          </w:p>
        </w:tc>
        <w:tc>
          <w:tcPr>
            <w:tcW w:w="1240" w:type="dxa"/>
            <w:vAlign w:val="bottom"/>
            <w:shd w:val="clear" w:color="auto" w:fill="CCE2F1"/>
          </w:tcPr>
          <w:p>
            <w:pPr>
              <w:jc w:val="right"/>
              <w:ind w:right="60"/>
              <w:spacing w:after="0"/>
              <w:rPr>
                <w:sz w:val="20"/>
                <w:szCs w:val="20"/>
                <w:color w:val="auto"/>
              </w:rPr>
            </w:pPr>
            <w:r>
              <w:rPr>
                <w:rFonts w:ascii="Arial" w:cs="Arial" w:eastAsia="Arial" w:hAnsi="Arial"/>
                <w:sz w:val="16"/>
                <w:szCs w:val="16"/>
                <w:color w:val="auto"/>
              </w:rPr>
              <w:t>119.07</w:t>
            </w:r>
          </w:p>
        </w:tc>
        <w:tc>
          <w:tcPr>
            <w:tcW w:w="1240" w:type="dxa"/>
            <w:vAlign w:val="bottom"/>
            <w:shd w:val="clear" w:color="auto" w:fill="CCE2F1"/>
          </w:tcPr>
          <w:p>
            <w:pPr>
              <w:jc w:val="right"/>
              <w:ind w:right="63"/>
              <w:spacing w:after="0"/>
              <w:rPr>
                <w:sz w:val="20"/>
                <w:szCs w:val="20"/>
                <w:color w:val="auto"/>
              </w:rPr>
            </w:pPr>
            <w:r>
              <w:rPr>
                <w:rFonts w:ascii="Arial" w:cs="Arial" w:eastAsia="Arial" w:hAnsi="Arial"/>
                <w:sz w:val="16"/>
                <w:szCs w:val="16"/>
                <w:color w:val="auto"/>
              </w:rPr>
              <w:t>140.14</w:t>
            </w:r>
          </w:p>
        </w:tc>
        <w:tc>
          <w:tcPr>
            <w:tcW w:w="840" w:type="dxa"/>
            <w:vAlign w:val="bottom"/>
            <w:shd w:val="clear" w:color="auto" w:fill="CCE2F1"/>
          </w:tcPr>
          <w:p>
            <w:pPr>
              <w:jc w:val="right"/>
              <w:ind w:right="59"/>
              <w:spacing w:after="0"/>
              <w:rPr>
                <w:sz w:val="20"/>
                <w:szCs w:val="20"/>
                <w:color w:val="auto"/>
              </w:rPr>
            </w:pPr>
            <w:r>
              <w:rPr>
                <w:rFonts w:ascii="Arial" w:cs="Arial" w:eastAsia="Arial" w:hAnsi="Arial"/>
                <w:sz w:val="16"/>
                <w:szCs w:val="16"/>
                <w:color w:val="auto"/>
              </w:rPr>
              <w:t>6,552</w:t>
            </w:r>
          </w:p>
        </w:tc>
        <w:tc>
          <w:tcPr>
            <w:tcW w:w="1100" w:type="dxa"/>
            <w:vAlign w:val="bottom"/>
            <w:shd w:val="clear" w:color="auto" w:fill="CCE2F1"/>
          </w:tcPr>
          <w:p>
            <w:pPr>
              <w:jc w:val="right"/>
              <w:ind w:right="41"/>
              <w:spacing w:after="0"/>
              <w:rPr>
                <w:sz w:val="20"/>
                <w:szCs w:val="20"/>
                <w:color w:val="auto"/>
              </w:rPr>
            </w:pPr>
            <w:r>
              <w:rPr>
                <w:rFonts w:ascii="Arial" w:cs="Arial" w:eastAsia="Arial" w:hAnsi="Arial"/>
                <w:sz w:val="16"/>
                <w:szCs w:val="16"/>
                <w:color w:val="auto"/>
              </w:rPr>
              <w:t>17.69</w:t>
            </w:r>
          </w:p>
        </w:tc>
        <w:tc>
          <w:tcPr>
            <w:tcW w:w="0" w:type="dxa"/>
            <w:vAlign w:val="bottom"/>
          </w:tcPr>
          <w:p>
            <w:pPr>
              <w:spacing w:after="0"/>
              <w:rPr>
                <w:sz w:val="1"/>
                <w:szCs w:val="1"/>
                <w:color w:val="auto"/>
              </w:rPr>
            </w:pPr>
          </w:p>
        </w:tc>
      </w:tr>
      <w:tr>
        <w:trPr>
          <w:trHeight w:val="189"/>
        </w:trPr>
        <w:tc>
          <w:tcPr>
            <w:tcW w:w="820" w:type="dxa"/>
            <w:vAlign w:val="bottom"/>
          </w:tcPr>
          <w:p>
            <w:pPr>
              <w:ind w:left="220"/>
              <w:spacing w:after="0"/>
              <w:rPr>
                <w:sz w:val="20"/>
                <w:szCs w:val="20"/>
                <w:color w:val="auto"/>
              </w:rPr>
            </w:pPr>
            <w:r>
              <w:rPr>
                <w:rFonts w:ascii="Arial" w:cs="Arial" w:eastAsia="Arial" w:hAnsi="Arial"/>
                <w:sz w:val="16"/>
                <w:szCs w:val="16"/>
                <w:color w:val="auto"/>
              </w:rPr>
              <w:t>2021</w:t>
            </w:r>
          </w:p>
        </w:tc>
        <w:tc>
          <w:tcPr>
            <w:tcW w:w="1380" w:type="dxa"/>
            <w:vAlign w:val="bottom"/>
            <w:gridSpan w:val="2"/>
          </w:tcPr>
          <w:p>
            <w:pPr>
              <w:jc w:val="right"/>
              <w:ind w:right="59"/>
              <w:spacing w:after="0"/>
              <w:rPr>
                <w:sz w:val="20"/>
                <w:szCs w:val="20"/>
                <w:color w:val="auto"/>
              </w:rPr>
            </w:pPr>
            <w:r>
              <w:rPr>
                <w:rFonts w:ascii="Arial" w:cs="Arial" w:eastAsia="Arial" w:hAnsi="Arial"/>
                <w:sz w:val="16"/>
                <w:szCs w:val="16"/>
                <w:color w:val="auto"/>
              </w:rPr>
              <w:t>21,721,154</w:t>
            </w: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17,040,728</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7,358,134</w:t>
            </w: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5,869,521</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98.87</w:t>
            </w:r>
          </w:p>
        </w:tc>
        <w:tc>
          <w:tcPr>
            <w:tcW w:w="1240" w:type="dxa"/>
            <w:vAlign w:val="bottom"/>
          </w:tcPr>
          <w:p>
            <w:pPr>
              <w:jc w:val="right"/>
              <w:ind w:right="63"/>
              <w:spacing w:after="0"/>
              <w:rPr>
                <w:sz w:val="20"/>
                <w:szCs w:val="20"/>
                <w:color w:val="auto"/>
              </w:rPr>
            </w:pPr>
            <w:r>
              <w:rPr>
                <w:rFonts w:ascii="Arial" w:cs="Arial" w:eastAsia="Arial" w:hAnsi="Arial"/>
                <w:sz w:val="16"/>
                <w:szCs w:val="16"/>
                <w:color w:val="auto"/>
              </w:rPr>
              <w:t>126.48</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5,893</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189"/>
        </w:trPr>
        <w:tc>
          <w:tcPr>
            <w:tcW w:w="820" w:type="dxa"/>
            <w:vAlign w:val="bottom"/>
            <w:tcBorders>
              <w:bottom w:val="single" w:sz="8" w:color="0171B9"/>
            </w:tcBorders>
            <w:shd w:val="clear" w:color="auto" w:fill="CCE2F1"/>
          </w:tcPr>
          <w:p>
            <w:pPr>
              <w:ind w:left="220"/>
              <w:spacing w:after="0"/>
              <w:rPr>
                <w:sz w:val="20"/>
                <w:szCs w:val="20"/>
                <w:color w:val="auto"/>
              </w:rPr>
            </w:pPr>
            <w:r>
              <w:rPr>
                <w:rFonts w:ascii="Arial" w:cs="Arial" w:eastAsia="Arial" w:hAnsi="Arial"/>
                <w:sz w:val="16"/>
                <w:szCs w:val="16"/>
                <w:color w:val="auto"/>
              </w:rPr>
              <w:t>2020</w:t>
            </w:r>
          </w:p>
        </w:tc>
        <w:tc>
          <w:tcPr>
            <w:tcW w:w="1380" w:type="dxa"/>
            <w:vAlign w:val="bottom"/>
            <w:tcBorders>
              <w:bottom w:val="single" w:sz="8" w:color="0171B9"/>
            </w:tcBorders>
            <w:gridSpan w:val="2"/>
            <w:shd w:val="clear" w:color="auto" w:fill="CCE2F1"/>
          </w:tcPr>
          <w:p>
            <w:pPr>
              <w:jc w:val="right"/>
              <w:ind w:right="59"/>
              <w:spacing w:after="0"/>
              <w:rPr>
                <w:sz w:val="20"/>
                <w:szCs w:val="20"/>
                <w:color w:val="auto"/>
              </w:rPr>
            </w:pPr>
            <w:r>
              <w:rPr>
                <w:rFonts w:ascii="Arial" w:cs="Arial" w:eastAsia="Arial" w:hAnsi="Arial"/>
                <w:sz w:val="16"/>
                <w:szCs w:val="16"/>
                <w:color w:val="auto"/>
              </w:rPr>
              <w:t>20,131,408</w:t>
            </w:r>
          </w:p>
        </w:tc>
        <w:tc>
          <w:tcPr>
            <w:tcW w:w="1500" w:type="dxa"/>
            <w:vAlign w:val="bottom"/>
            <w:tcBorders>
              <w:bottom w:val="single" w:sz="8" w:color="0171B9"/>
            </w:tcBorders>
            <w:shd w:val="clear" w:color="auto" w:fill="CCE2F1"/>
          </w:tcPr>
          <w:p>
            <w:pPr>
              <w:jc w:val="right"/>
              <w:ind w:right="60"/>
              <w:spacing w:after="0"/>
              <w:rPr>
                <w:sz w:val="20"/>
                <w:szCs w:val="20"/>
                <w:color w:val="auto"/>
              </w:rPr>
            </w:pPr>
            <w:r>
              <w:rPr>
                <w:rFonts w:ascii="Arial" w:cs="Arial" w:eastAsia="Arial" w:hAnsi="Arial"/>
                <w:sz w:val="16"/>
                <w:szCs w:val="16"/>
                <w:color w:val="auto"/>
              </w:rPr>
              <w:t>14,724,312</w:t>
            </w:r>
          </w:p>
        </w:tc>
        <w:tc>
          <w:tcPr>
            <w:tcW w:w="1400" w:type="dxa"/>
            <w:vAlign w:val="bottom"/>
            <w:tcBorders>
              <w:bottom w:val="single" w:sz="8" w:color="0171B9"/>
            </w:tcBorders>
            <w:shd w:val="clear" w:color="auto" w:fill="CCE2F1"/>
          </w:tcPr>
          <w:p>
            <w:pPr>
              <w:jc w:val="right"/>
              <w:ind w:right="59"/>
              <w:spacing w:after="0"/>
              <w:rPr>
                <w:sz w:val="20"/>
                <w:szCs w:val="20"/>
                <w:color w:val="auto"/>
              </w:rPr>
            </w:pPr>
            <w:r>
              <w:rPr>
                <w:rFonts w:ascii="Arial" w:cs="Arial" w:eastAsia="Arial" w:hAnsi="Arial"/>
                <w:sz w:val="16"/>
                <w:szCs w:val="16"/>
                <w:color w:val="auto"/>
              </w:rPr>
              <w:t>6,736,942</w:t>
            </w:r>
          </w:p>
        </w:tc>
        <w:tc>
          <w:tcPr>
            <w:tcW w:w="1500" w:type="dxa"/>
            <w:vAlign w:val="bottom"/>
            <w:tcBorders>
              <w:bottom w:val="single" w:sz="8" w:color="0171B9"/>
            </w:tcBorders>
            <w:shd w:val="clear" w:color="auto" w:fill="CCE2F1"/>
          </w:tcPr>
          <w:p>
            <w:pPr>
              <w:jc w:val="right"/>
              <w:ind w:right="60"/>
              <w:spacing w:after="0"/>
              <w:rPr>
                <w:sz w:val="20"/>
                <w:szCs w:val="20"/>
                <w:color w:val="auto"/>
              </w:rPr>
            </w:pPr>
            <w:r>
              <w:rPr>
                <w:rFonts w:ascii="Arial" w:cs="Arial" w:eastAsia="Arial" w:hAnsi="Arial"/>
                <w:sz w:val="16"/>
                <w:szCs w:val="16"/>
                <w:color w:val="auto"/>
              </w:rPr>
              <w:t>5,571,375</w:t>
            </w:r>
          </w:p>
        </w:tc>
        <w:tc>
          <w:tcPr>
            <w:tcW w:w="1240" w:type="dxa"/>
            <w:vAlign w:val="bottom"/>
            <w:tcBorders>
              <w:bottom w:val="single" w:sz="8" w:color="0171B9"/>
            </w:tcBorders>
            <w:shd w:val="clear" w:color="auto" w:fill="CCE2F1"/>
          </w:tcPr>
          <w:p>
            <w:pPr>
              <w:jc w:val="right"/>
              <w:ind w:right="60"/>
              <w:spacing w:after="0"/>
              <w:rPr>
                <w:sz w:val="20"/>
                <w:szCs w:val="20"/>
                <w:color w:val="auto"/>
              </w:rPr>
            </w:pPr>
            <w:r>
              <w:rPr>
                <w:rFonts w:ascii="Arial" w:cs="Arial" w:eastAsia="Arial" w:hAnsi="Arial"/>
                <w:sz w:val="16"/>
                <w:szCs w:val="16"/>
                <w:color w:val="auto"/>
              </w:rPr>
              <w:t>98.01</w:t>
            </w:r>
          </w:p>
        </w:tc>
        <w:tc>
          <w:tcPr>
            <w:tcW w:w="1240" w:type="dxa"/>
            <w:vAlign w:val="bottom"/>
            <w:tcBorders>
              <w:bottom w:val="single" w:sz="8" w:color="0171B9"/>
            </w:tcBorders>
            <w:shd w:val="clear" w:color="auto" w:fill="CCE2F1"/>
          </w:tcPr>
          <w:p>
            <w:pPr>
              <w:jc w:val="right"/>
              <w:ind w:right="63"/>
              <w:spacing w:after="0"/>
              <w:rPr>
                <w:sz w:val="20"/>
                <w:szCs w:val="20"/>
                <w:color w:val="auto"/>
              </w:rPr>
            </w:pPr>
            <w:r>
              <w:rPr>
                <w:rFonts w:ascii="Arial" w:cs="Arial" w:eastAsia="Arial" w:hAnsi="Arial"/>
                <w:sz w:val="16"/>
                <w:szCs w:val="16"/>
                <w:color w:val="auto"/>
              </w:rPr>
              <w:t>102.57</w:t>
            </w:r>
          </w:p>
        </w:tc>
        <w:tc>
          <w:tcPr>
            <w:tcW w:w="840" w:type="dxa"/>
            <w:vAlign w:val="bottom"/>
            <w:tcBorders>
              <w:bottom w:val="single" w:sz="8" w:color="0171B9"/>
            </w:tcBorders>
            <w:shd w:val="clear" w:color="auto" w:fill="CCE2F1"/>
          </w:tcPr>
          <w:p>
            <w:pPr>
              <w:jc w:val="right"/>
              <w:ind w:right="59"/>
              <w:spacing w:after="0"/>
              <w:rPr>
                <w:sz w:val="20"/>
                <w:szCs w:val="20"/>
                <w:color w:val="auto"/>
              </w:rPr>
            </w:pPr>
            <w:r>
              <w:rPr>
                <w:rFonts w:ascii="Arial" w:cs="Arial" w:eastAsia="Arial" w:hAnsi="Arial"/>
                <w:sz w:val="16"/>
                <w:szCs w:val="16"/>
                <w:color w:val="auto"/>
              </w:rPr>
              <w:t>7,264</w:t>
            </w:r>
          </w:p>
        </w:tc>
        <w:tc>
          <w:tcPr>
            <w:tcW w:w="1100" w:type="dxa"/>
            <w:vAlign w:val="bottom"/>
            <w:tcBorders>
              <w:bottom w:val="single" w:sz="8" w:color="0171B9"/>
            </w:tcBorders>
            <w:shd w:val="clear" w:color="auto" w:fill="CCE2F1"/>
          </w:tcPr>
          <w:p>
            <w:pPr>
              <w:jc w:val="right"/>
              <w:ind w:right="41"/>
              <w:spacing w:after="0"/>
              <w:rPr>
                <w:sz w:val="20"/>
                <w:szCs w:val="20"/>
                <w:color w:val="auto"/>
              </w:rPr>
            </w:pPr>
            <w:r>
              <w:rPr>
                <w:rFonts w:ascii="Arial" w:cs="Arial" w:eastAsia="Arial" w:hAnsi="Arial"/>
                <w:sz w:val="16"/>
                <w:szCs w:val="16"/>
                <w:color w:val="auto"/>
              </w:rPr>
              <w:t>16.60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-1327785</wp:posOffset>
            </wp:positionV>
            <wp:extent cx="139700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06" w:lineRule="exact"/>
        <w:rPr>
          <w:sz w:val="20"/>
          <w:szCs w:val="20"/>
          <w:color w:val="auto"/>
        </w:rPr>
      </w:pPr>
    </w:p>
    <w:p>
      <w:pPr>
        <w:jc w:val="both"/>
        <w:ind w:left="540" w:hanging="424"/>
        <w:spacing w:after="0" w:line="228" w:lineRule="auto"/>
        <w:tabs>
          <w:tab w:leader="none" w:pos="540" w:val="left"/>
        </w:tabs>
        <w:numPr>
          <w:ilvl w:val="0"/>
          <w:numId w:val="127"/>
        </w:numPr>
        <w:rPr>
          <w:rFonts w:ascii="Arial" w:cs="Arial" w:eastAsia="Arial" w:hAnsi="Arial"/>
          <w:sz w:val="18"/>
          <w:szCs w:val="18"/>
          <w:color w:val="auto"/>
          <w:vertAlign w:val="superscript"/>
        </w:rPr>
      </w:pPr>
      <w:r>
        <w:rPr>
          <w:rFonts w:ascii="Arial" w:cs="Arial" w:eastAsia="Arial" w:hAnsi="Arial"/>
          <w:sz w:val="14"/>
          <w:szCs w:val="14"/>
          <w:color w:val="auto"/>
        </w:rPr>
        <w:t>As the valuation methods for “compensation actually paid” required by the SEC differ from those required in the Summary Compensation Table (“SCT”), the table below provides a reconciliation of SCT amounts to the Compensation Actually Paid (“CAP”) amounts in the Pay Versus Performance table for Mr. Bradway and the average SCT and CAP amounts for our other NEOs for each of the last three fiscal years. The other non-CEO NEOs for each of 2022, 2021, and 2020 include Messrs. Gordon, Griffith, and Santos and Dr. Reese.</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Summary Compensation Table to Compensation Actually Paid Reconciliation Table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40" w:type="dxa"/>
            <w:vAlign w:val="bottom"/>
            <w:shd w:val="clear" w:color="auto" w:fill="0171B9"/>
          </w:tcPr>
          <w:p>
            <w:pPr>
              <w:spacing w:after="0"/>
              <w:rPr>
                <w:sz w:val="16"/>
                <w:szCs w:val="16"/>
                <w:color w:val="auto"/>
              </w:rPr>
            </w:pPr>
          </w:p>
        </w:tc>
        <w:tc>
          <w:tcPr>
            <w:tcW w:w="600" w:type="dxa"/>
            <w:vAlign w:val="bottom"/>
            <w:shd w:val="clear" w:color="auto" w:fill="0171B9"/>
          </w:tcPr>
          <w:p>
            <w:pPr>
              <w:spacing w:after="0"/>
              <w:rPr>
                <w:sz w:val="16"/>
                <w:szCs w:val="16"/>
                <w:color w:val="auto"/>
              </w:rPr>
            </w:pPr>
          </w:p>
        </w:tc>
        <w:tc>
          <w:tcPr>
            <w:tcW w:w="1120" w:type="dxa"/>
            <w:vAlign w:val="bottom"/>
            <w:shd w:val="clear" w:color="auto" w:fill="0171B9"/>
          </w:tcPr>
          <w:p>
            <w:pPr>
              <w:spacing w:after="0"/>
              <w:rPr>
                <w:sz w:val="16"/>
                <w:szCs w:val="16"/>
                <w:color w:val="auto"/>
              </w:rPr>
            </w:pPr>
          </w:p>
        </w:tc>
        <w:tc>
          <w:tcPr>
            <w:tcW w:w="6900" w:type="dxa"/>
            <w:vAlign w:val="bottom"/>
            <w:gridSpan w:val="5"/>
            <w:shd w:val="clear" w:color="auto" w:fill="0171B9"/>
          </w:tcPr>
          <w:p>
            <w:pPr>
              <w:jc w:val="right"/>
              <w:ind w:right="159"/>
              <w:spacing w:after="0"/>
              <w:rPr>
                <w:sz w:val="20"/>
                <w:szCs w:val="20"/>
                <w:color w:val="auto"/>
              </w:rPr>
            </w:pPr>
            <w:r>
              <w:rPr>
                <w:rFonts w:ascii="Arial" w:cs="Arial" w:eastAsia="Arial" w:hAnsi="Arial"/>
                <w:sz w:val="16"/>
                <w:szCs w:val="16"/>
                <w:b w:val="1"/>
                <w:bCs w:val="1"/>
                <w:color w:val="FFFFFF"/>
              </w:rPr>
              <w:t>Required Adjustments to Summary Compensation Table (“SCT”) Totals to Determine</w:t>
            </w:r>
          </w:p>
        </w:tc>
        <w:tc>
          <w:tcPr>
            <w:tcW w:w="1460" w:type="dxa"/>
            <w:vAlign w:val="bottom"/>
            <w:shd w:val="clear" w:color="auto" w:fill="0171B9"/>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940" w:type="dxa"/>
            <w:vAlign w:val="bottom"/>
            <w:shd w:val="clear" w:color="auto" w:fill="0171B9"/>
          </w:tcPr>
          <w:p>
            <w:pPr>
              <w:spacing w:after="0"/>
              <w:rPr>
                <w:sz w:val="18"/>
                <w:szCs w:val="18"/>
                <w:color w:val="auto"/>
              </w:rPr>
            </w:pPr>
          </w:p>
        </w:tc>
        <w:tc>
          <w:tcPr>
            <w:tcW w:w="600" w:type="dxa"/>
            <w:vAlign w:val="bottom"/>
            <w:shd w:val="clear" w:color="auto" w:fill="0171B9"/>
          </w:tcPr>
          <w:p>
            <w:pPr>
              <w:spacing w:after="0"/>
              <w:rPr>
                <w:sz w:val="18"/>
                <w:szCs w:val="18"/>
                <w:color w:val="auto"/>
              </w:rPr>
            </w:pPr>
          </w:p>
        </w:tc>
        <w:tc>
          <w:tcPr>
            <w:tcW w:w="1120" w:type="dxa"/>
            <w:vAlign w:val="bottom"/>
            <w:shd w:val="clear" w:color="auto" w:fill="0171B9"/>
          </w:tcPr>
          <w:p>
            <w:pPr>
              <w:spacing w:after="0"/>
              <w:rPr>
                <w:sz w:val="18"/>
                <w:szCs w:val="18"/>
                <w:color w:val="auto"/>
              </w:rPr>
            </w:pPr>
          </w:p>
        </w:tc>
        <w:tc>
          <w:tcPr>
            <w:tcW w:w="1160" w:type="dxa"/>
            <w:vAlign w:val="bottom"/>
            <w:shd w:val="clear" w:color="auto" w:fill="0171B9"/>
          </w:tcPr>
          <w:p>
            <w:pPr>
              <w:spacing w:after="0"/>
              <w:rPr>
                <w:sz w:val="18"/>
                <w:szCs w:val="18"/>
                <w:color w:val="auto"/>
              </w:rPr>
            </w:pPr>
          </w:p>
        </w:tc>
        <w:tc>
          <w:tcPr>
            <w:tcW w:w="4200" w:type="dxa"/>
            <w:vAlign w:val="bottom"/>
            <w:gridSpan w:val="3"/>
            <w:shd w:val="clear" w:color="auto" w:fill="0171B9"/>
          </w:tcPr>
          <w:p>
            <w:pPr>
              <w:jc w:val="right"/>
              <w:ind w:right="439"/>
              <w:spacing w:after="0"/>
              <w:rPr>
                <w:sz w:val="20"/>
                <w:szCs w:val="20"/>
                <w:color w:val="auto"/>
              </w:rPr>
            </w:pPr>
            <w:r>
              <w:rPr>
                <w:rFonts w:ascii="Arial" w:cs="Arial" w:eastAsia="Arial" w:hAnsi="Arial"/>
                <w:sz w:val="16"/>
                <w:szCs w:val="16"/>
                <w:b w:val="1"/>
                <w:bCs w:val="1"/>
                <w:color w:val="FFFFFF"/>
              </w:rPr>
              <w:t>Compensation Actually Paid (“CAP”)</w:t>
            </w:r>
          </w:p>
        </w:tc>
        <w:tc>
          <w:tcPr>
            <w:tcW w:w="1540" w:type="dxa"/>
            <w:vAlign w:val="bottom"/>
            <w:shd w:val="clear" w:color="auto" w:fill="0171B9"/>
          </w:tcPr>
          <w:p>
            <w:pPr>
              <w:spacing w:after="0"/>
              <w:rPr>
                <w:sz w:val="18"/>
                <w:szCs w:val="18"/>
                <w:color w:val="auto"/>
              </w:rPr>
            </w:pPr>
          </w:p>
        </w:tc>
        <w:tc>
          <w:tcPr>
            <w:tcW w:w="1460" w:type="dxa"/>
            <w:vAlign w:val="bottom"/>
            <w:shd w:val="clear" w:color="auto" w:fill="0171B9"/>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940" w:type="dxa"/>
            <w:vAlign w:val="bottom"/>
            <w:shd w:val="clear" w:color="auto" w:fill="0171B9"/>
          </w:tcPr>
          <w:p>
            <w:pPr>
              <w:spacing w:after="0"/>
              <w:rPr>
                <w:sz w:val="16"/>
                <w:szCs w:val="16"/>
                <w:color w:val="auto"/>
              </w:rPr>
            </w:pPr>
          </w:p>
        </w:tc>
        <w:tc>
          <w:tcPr>
            <w:tcW w:w="600" w:type="dxa"/>
            <w:vAlign w:val="bottom"/>
            <w:shd w:val="clear" w:color="auto" w:fill="0171B9"/>
          </w:tcPr>
          <w:p>
            <w:pPr>
              <w:spacing w:after="0"/>
              <w:rPr>
                <w:sz w:val="16"/>
                <w:szCs w:val="16"/>
                <w:color w:val="auto"/>
              </w:rPr>
            </w:pPr>
          </w:p>
        </w:tc>
        <w:tc>
          <w:tcPr>
            <w:tcW w:w="1120" w:type="dxa"/>
            <w:vAlign w:val="bottom"/>
            <w:shd w:val="clear" w:color="auto" w:fill="0171B9"/>
          </w:tcPr>
          <w:p>
            <w:pPr>
              <w:spacing w:after="0"/>
              <w:rPr>
                <w:sz w:val="16"/>
                <w:szCs w:val="16"/>
                <w:color w:val="auto"/>
              </w:rPr>
            </w:pPr>
          </w:p>
        </w:tc>
        <w:tc>
          <w:tcPr>
            <w:tcW w:w="1160" w:type="dxa"/>
            <w:vAlign w:val="bottom"/>
            <w:shd w:val="clear" w:color="auto" w:fill="0171B9"/>
          </w:tcPr>
          <w:p>
            <w:pPr>
              <w:spacing w:after="0"/>
              <w:rPr>
                <w:sz w:val="16"/>
                <w:szCs w:val="16"/>
                <w:color w:val="auto"/>
              </w:rPr>
            </w:pPr>
          </w:p>
        </w:tc>
        <w:tc>
          <w:tcPr>
            <w:tcW w:w="1080" w:type="dxa"/>
            <w:vAlign w:val="bottom"/>
            <w:shd w:val="clear" w:color="auto" w:fill="0171B9"/>
          </w:tcPr>
          <w:p>
            <w:pPr>
              <w:spacing w:after="0"/>
              <w:rPr>
                <w:sz w:val="16"/>
                <w:szCs w:val="16"/>
                <w:color w:val="auto"/>
              </w:rPr>
            </w:pPr>
          </w:p>
        </w:tc>
        <w:tc>
          <w:tcPr>
            <w:tcW w:w="1460" w:type="dxa"/>
            <w:vAlign w:val="bottom"/>
            <w:shd w:val="clear" w:color="auto" w:fill="0171B9"/>
          </w:tcPr>
          <w:p>
            <w:pPr>
              <w:spacing w:after="0"/>
              <w:rPr>
                <w:sz w:val="16"/>
                <w:szCs w:val="16"/>
                <w:color w:val="auto"/>
              </w:rPr>
            </w:pPr>
          </w:p>
        </w:tc>
        <w:tc>
          <w:tcPr>
            <w:tcW w:w="1660" w:type="dxa"/>
            <w:vAlign w:val="bottom"/>
            <w:shd w:val="clear" w:color="auto" w:fill="0171B9"/>
          </w:tcPr>
          <w:p>
            <w:pPr>
              <w:jc w:val="right"/>
              <w:ind w:right="159"/>
              <w:spacing w:after="0"/>
              <w:rPr>
                <w:sz w:val="20"/>
                <w:szCs w:val="20"/>
                <w:color w:val="auto"/>
              </w:rPr>
            </w:pPr>
            <w:r>
              <w:rPr>
                <w:rFonts w:ascii="Arial" w:cs="Arial" w:eastAsia="Arial" w:hAnsi="Arial"/>
                <w:sz w:val="16"/>
                <w:szCs w:val="16"/>
                <w:b w:val="1"/>
                <w:bCs w:val="1"/>
                <w:color w:val="FFFFFF"/>
              </w:rPr>
              <w:t>Year-Over-Year</w:t>
            </w:r>
          </w:p>
        </w:tc>
        <w:tc>
          <w:tcPr>
            <w:tcW w:w="154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Increase</w:t>
            </w:r>
          </w:p>
        </w:tc>
        <w:tc>
          <w:tcPr>
            <w:tcW w:w="1460" w:type="dxa"/>
            <w:vAlign w:val="bottom"/>
            <w:shd w:val="clear" w:color="auto" w:fill="0171B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0171B9"/>
          </w:tcPr>
          <w:p>
            <w:pPr>
              <w:spacing w:after="0"/>
              <w:rPr>
                <w:sz w:val="16"/>
                <w:szCs w:val="16"/>
                <w:color w:val="auto"/>
              </w:rPr>
            </w:pPr>
          </w:p>
        </w:tc>
        <w:tc>
          <w:tcPr>
            <w:tcW w:w="600" w:type="dxa"/>
            <w:vAlign w:val="bottom"/>
            <w:shd w:val="clear" w:color="auto" w:fill="0171B9"/>
          </w:tcPr>
          <w:p>
            <w:pPr>
              <w:spacing w:after="0"/>
              <w:rPr>
                <w:sz w:val="16"/>
                <w:szCs w:val="16"/>
                <w:color w:val="auto"/>
              </w:rPr>
            </w:pPr>
          </w:p>
        </w:tc>
        <w:tc>
          <w:tcPr>
            <w:tcW w:w="1120" w:type="dxa"/>
            <w:vAlign w:val="bottom"/>
            <w:shd w:val="clear" w:color="auto" w:fill="0171B9"/>
          </w:tcPr>
          <w:p>
            <w:pPr>
              <w:spacing w:after="0"/>
              <w:rPr>
                <w:sz w:val="16"/>
                <w:szCs w:val="16"/>
                <w:color w:val="auto"/>
              </w:rPr>
            </w:pPr>
          </w:p>
        </w:tc>
        <w:tc>
          <w:tcPr>
            <w:tcW w:w="1160" w:type="dxa"/>
            <w:vAlign w:val="bottom"/>
            <w:shd w:val="clear" w:color="auto" w:fill="0171B9"/>
          </w:tcPr>
          <w:p>
            <w:pPr>
              <w:spacing w:after="0"/>
              <w:rPr>
                <w:sz w:val="16"/>
                <w:szCs w:val="16"/>
                <w:color w:val="auto"/>
              </w:rPr>
            </w:pPr>
          </w:p>
        </w:tc>
        <w:tc>
          <w:tcPr>
            <w:tcW w:w="1080" w:type="dxa"/>
            <w:vAlign w:val="bottom"/>
            <w:shd w:val="clear" w:color="auto" w:fill="0171B9"/>
          </w:tcPr>
          <w:p>
            <w:pPr>
              <w:spacing w:after="0"/>
              <w:rPr>
                <w:sz w:val="16"/>
                <w:szCs w:val="16"/>
                <w:color w:val="auto"/>
              </w:rPr>
            </w:pPr>
          </w:p>
        </w:tc>
        <w:tc>
          <w:tcPr>
            <w:tcW w:w="1460" w:type="dxa"/>
            <w:vAlign w:val="bottom"/>
            <w:shd w:val="clear" w:color="auto" w:fill="0171B9"/>
          </w:tcPr>
          <w:p>
            <w:pPr>
              <w:spacing w:after="0"/>
              <w:rPr>
                <w:sz w:val="16"/>
                <w:szCs w:val="16"/>
                <w:color w:val="auto"/>
              </w:rPr>
            </w:pPr>
          </w:p>
        </w:tc>
        <w:tc>
          <w:tcPr>
            <w:tcW w:w="1660" w:type="dxa"/>
            <w:vAlign w:val="bottom"/>
            <w:shd w:val="clear" w:color="auto" w:fill="0171B9"/>
          </w:tcPr>
          <w:p>
            <w:pPr>
              <w:jc w:val="right"/>
              <w:ind w:right="159"/>
              <w:spacing w:after="0"/>
              <w:rPr>
                <w:sz w:val="20"/>
                <w:szCs w:val="20"/>
                <w:color w:val="auto"/>
              </w:rPr>
            </w:pPr>
            <w:r>
              <w:rPr>
                <w:rFonts w:ascii="Arial" w:cs="Arial" w:eastAsia="Arial" w:hAnsi="Arial"/>
                <w:sz w:val="16"/>
                <w:szCs w:val="16"/>
                <w:b w:val="1"/>
                <w:bCs w:val="1"/>
                <w:color w:val="FFFFFF"/>
              </w:rPr>
              <w:t>Increase</w:t>
            </w:r>
          </w:p>
        </w:tc>
        <w:tc>
          <w:tcPr>
            <w:tcW w:w="154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(Decrease)</w:t>
            </w:r>
          </w:p>
        </w:tc>
        <w:tc>
          <w:tcPr>
            <w:tcW w:w="1460" w:type="dxa"/>
            <w:vAlign w:val="bottom"/>
            <w:shd w:val="clear" w:color="auto" w:fill="0171B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0171B9"/>
          </w:tcPr>
          <w:p>
            <w:pPr>
              <w:spacing w:after="0"/>
              <w:rPr>
                <w:sz w:val="16"/>
                <w:szCs w:val="16"/>
                <w:color w:val="auto"/>
              </w:rPr>
            </w:pPr>
          </w:p>
        </w:tc>
        <w:tc>
          <w:tcPr>
            <w:tcW w:w="600" w:type="dxa"/>
            <w:vAlign w:val="bottom"/>
            <w:shd w:val="clear" w:color="auto" w:fill="0171B9"/>
          </w:tcPr>
          <w:p>
            <w:pPr>
              <w:spacing w:after="0"/>
              <w:rPr>
                <w:sz w:val="16"/>
                <w:szCs w:val="16"/>
                <w:color w:val="auto"/>
              </w:rPr>
            </w:pPr>
          </w:p>
        </w:tc>
        <w:tc>
          <w:tcPr>
            <w:tcW w:w="1120" w:type="dxa"/>
            <w:vAlign w:val="bottom"/>
            <w:shd w:val="clear" w:color="auto" w:fill="0171B9"/>
          </w:tcPr>
          <w:p>
            <w:pPr>
              <w:spacing w:after="0"/>
              <w:rPr>
                <w:sz w:val="16"/>
                <w:szCs w:val="16"/>
                <w:color w:val="auto"/>
              </w:rPr>
            </w:pPr>
          </w:p>
        </w:tc>
        <w:tc>
          <w:tcPr>
            <w:tcW w:w="1160" w:type="dxa"/>
            <w:vAlign w:val="bottom"/>
            <w:shd w:val="clear" w:color="auto" w:fill="0171B9"/>
          </w:tcPr>
          <w:p>
            <w:pPr>
              <w:spacing w:after="0"/>
              <w:rPr>
                <w:sz w:val="16"/>
                <w:szCs w:val="16"/>
                <w:color w:val="auto"/>
              </w:rPr>
            </w:pPr>
          </w:p>
        </w:tc>
        <w:tc>
          <w:tcPr>
            <w:tcW w:w="1080" w:type="dxa"/>
            <w:vAlign w:val="bottom"/>
            <w:shd w:val="clear" w:color="auto" w:fill="0171B9"/>
          </w:tcPr>
          <w:p>
            <w:pPr>
              <w:spacing w:after="0"/>
              <w:rPr>
                <w:sz w:val="16"/>
                <w:szCs w:val="16"/>
                <w:color w:val="auto"/>
              </w:rPr>
            </w:pPr>
          </w:p>
        </w:tc>
        <w:tc>
          <w:tcPr>
            <w:tcW w:w="1460" w:type="dxa"/>
            <w:vAlign w:val="bottom"/>
            <w:shd w:val="clear" w:color="auto" w:fill="0171B9"/>
          </w:tcPr>
          <w:p>
            <w:pPr>
              <w:jc w:val="right"/>
              <w:ind w:right="99"/>
              <w:spacing w:after="0"/>
              <w:rPr>
                <w:sz w:val="20"/>
                <w:szCs w:val="20"/>
                <w:color w:val="auto"/>
              </w:rPr>
            </w:pPr>
            <w:r>
              <w:rPr>
                <w:rFonts w:ascii="Arial" w:cs="Arial" w:eastAsia="Arial" w:hAnsi="Arial"/>
                <w:sz w:val="16"/>
                <w:szCs w:val="16"/>
                <w:b w:val="1"/>
                <w:bCs w:val="1"/>
                <w:color w:val="FFFFFF"/>
              </w:rPr>
              <w:t>Fair Value as</w:t>
            </w:r>
          </w:p>
        </w:tc>
        <w:tc>
          <w:tcPr>
            <w:tcW w:w="1660" w:type="dxa"/>
            <w:vAlign w:val="bottom"/>
            <w:shd w:val="clear" w:color="auto" w:fill="0171B9"/>
          </w:tcPr>
          <w:p>
            <w:pPr>
              <w:jc w:val="right"/>
              <w:ind w:right="159"/>
              <w:spacing w:after="0"/>
              <w:rPr>
                <w:sz w:val="20"/>
                <w:szCs w:val="20"/>
                <w:color w:val="auto"/>
              </w:rPr>
            </w:pPr>
            <w:r>
              <w:rPr>
                <w:rFonts w:ascii="Arial" w:cs="Arial" w:eastAsia="Arial" w:hAnsi="Arial"/>
                <w:sz w:val="16"/>
                <w:szCs w:val="16"/>
                <w:b w:val="1"/>
                <w:bCs w:val="1"/>
                <w:color w:val="FFFFFF"/>
              </w:rPr>
              <w:t>(Decrease) in</w:t>
            </w:r>
          </w:p>
        </w:tc>
        <w:tc>
          <w:tcPr>
            <w:tcW w:w="154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From Prior Year</w:t>
            </w:r>
          </w:p>
        </w:tc>
        <w:tc>
          <w:tcPr>
            <w:tcW w:w="1460" w:type="dxa"/>
            <w:vAlign w:val="bottom"/>
            <w:shd w:val="clear" w:color="auto" w:fill="0171B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0171B9"/>
          </w:tcPr>
          <w:p>
            <w:pPr>
              <w:spacing w:after="0"/>
              <w:rPr>
                <w:sz w:val="16"/>
                <w:szCs w:val="16"/>
                <w:color w:val="auto"/>
              </w:rPr>
            </w:pPr>
          </w:p>
        </w:tc>
        <w:tc>
          <w:tcPr>
            <w:tcW w:w="600" w:type="dxa"/>
            <w:vAlign w:val="bottom"/>
            <w:shd w:val="clear" w:color="auto" w:fill="0171B9"/>
          </w:tcPr>
          <w:p>
            <w:pPr>
              <w:spacing w:after="0"/>
              <w:rPr>
                <w:sz w:val="16"/>
                <w:szCs w:val="16"/>
                <w:color w:val="auto"/>
              </w:rPr>
            </w:pPr>
          </w:p>
        </w:tc>
        <w:tc>
          <w:tcPr>
            <w:tcW w:w="1120" w:type="dxa"/>
            <w:vAlign w:val="bottom"/>
            <w:shd w:val="clear" w:color="auto" w:fill="0171B9"/>
          </w:tcPr>
          <w:p>
            <w:pPr>
              <w:spacing w:after="0"/>
              <w:rPr>
                <w:sz w:val="16"/>
                <w:szCs w:val="16"/>
                <w:color w:val="auto"/>
              </w:rPr>
            </w:pPr>
          </w:p>
        </w:tc>
        <w:tc>
          <w:tcPr>
            <w:tcW w:w="1160" w:type="dxa"/>
            <w:vAlign w:val="bottom"/>
            <w:shd w:val="clear" w:color="auto" w:fill="0171B9"/>
          </w:tcPr>
          <w:p>
            <w:pPr>
              <w:spacing w:after="0"/>
              <w:rPr>
                <w:sz w:val="16"/>
                <w:szCs w:val="16"/>
                <w:color w:val="auto"/>
              </w:rPr>
            </w:pPr>
          </w:p>
        </w:tc>
        <w:tc>
          <w:tcPr>
            <w:tcW w:w="1080" w:type="dxa"/>
            <w:vAlign w:val="bottom"/>
            <w:vMerge w:val="restart"/>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SCT</w:t>
            </w:r>
          </w:p>
        </w:tc>
        <w:tc>
          <w:tcPr>
            <w:tcW w:w="1460" w:type="dxa"/>
            <w:vAlign w:val="bottom"/>
            <w:shd w:val="clear" w:color="auto" w:fill="0171B9"/>
          </w:tcPr>
          <w:p>
            <w:pPr>
              <w:jc w:val="right"/>
              <w:ind w:right="99"/>
              <w:spacing w:after="0"/>
              <w:rPr>
                <w:sz w:val="20"/>
                <w:szCs w:val="20"/>
                <w:color w:val="auto"/>
              </w:rPr>
            </w:pPr>
            <w:r>
              <w:rPr>
                <w:rFonts w:ascii="Arial" w:cs="Arial" w:eastAsia="Arial" w:hAnsi="Arial"/>
                <w:sz w:val="16"/>
                <w:szCs w:val="16"/>
                <w:b w:val="1"/>
                <w:bCs w:val="1"/>
                <w:color w:val="FFFFFF"/>
              </w:rPr>
              <w:t>of Year End of</w:t>
            </w:r>
          </w:p>
        </w:tc>
        <w:tc>
          <w:tcPr>
            <w:tcW w:w="1660" w:type="dxa"/>
            <w:vAlign w:val="bottom"/>
            <w:shd w:val="clear" w:color="auto" w:fill="0171B9"/>
          </w:tcPr>
          <w:p>
            <w:pPr>
              <w:jc w:val="right"/>
              <w:ind w:right="159"/>
              <w:spacing w:after="0"/>
              <w:rPr>
                <w:sz w:val="20"/>
                <w:szCs w:val="20"/>
                <w:color w:val="auto"/>
              </w:rPr>
            </w:pPr>
            <w:r>
              <w:rPr>
                <w:rFonts w:ascii="Arial" w:cs="Arial" w:eastAsia="Arial" w:hAnsi="Arial"/>
                <w:sz w:val="16"/>
                <w:szCs w:val="16"/>
                <w:b w:val="1"/>
                <w:bCs w:val="1"/>
                <w:color w:val="FFFFFF"/>
              </w:rPr>
              <w:t>Fair Value as of</w:t>
            </w:r>
          </w:p>
        </w:tc>
        <w:tc>
          <w:tcPr>
            <w:tcW w:w="154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End in Fair</w:t>
            </w:r>
          </w:p>
        </w:tc>
        <w:tc>
          <w:tcPr>
            <w:tcW w:w="1460" w:type="dxa"/>
            <w:vAlign w:val="bottom"/>
            <w:shd w:val="clear" w:color="auto" w:fill="0171B9"/>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0171B9"/>
          </w:tcPr>
          <w:p>
            <w:pPr>
              <w:spacing w:after="0"/>
              <w:rPr>
                <w:sz w:val="15"/>
                <w:szCs w:val="15"/>
                <w:color w:val="auto"/>
              </w:rPr>
            </w:pPr>
          </w:p>
        </w:tc>
        <w:tc>
          <w:tcPr>
            <w:tcW w:w="600" w:type="dxa"/>
            <w:vAlign w:val="bottom"/>
            <w:shd w:val="clear" w:color="auto" w:fill="0171B9"/>
          </w:tcPr>
          <w:p>
            <w:pPr>
              <w:spacing w:after="0"/>
              <w:rPr>
                <w:sz w:val="15"/>
                <w:szCs w:val="15"/>
                <w:color w:val="auto"/>
              </w:rPr>
            </w:pPr>
          </w:p>
        </w:tc>
        <w:tc>
          <w:tcPr>
            <w:tcW w:w="1120" w:type="dxa"/>
            <w:vAlign w:val="bottom"/>
            <w:shd w:val="clear" w:color="auto" w:fill="0171B9"/>
          </w:tcPr>
          <w:p>
            <w:pPr>
              <w:spacing w:after="0"/>
              <w:rPr>
                <w:sz w:val="15"/>
                <w:szCs w:val="15"/>
                <w:color w:val="auto"/>
              </w:rPr>
            </w:pPr>
          </w:p>
        </w:tc>
        <w:tc>
          <w:tcPr>
            <w:tcW w:w="1160" w:type="dxa"/>
            <w:vAlign w:val="bottom"/>
            <w:shd w:val="clear" w:color="auto" w:fill="0171B9"/>
          </w:tcPr>
          <w:p>
            <w:pPr>
              <w:spacing w:after="0"/>
              <w:rPr>
                <w:sz w:val="15"/>
                <w:szCs w:val="15"/>
                <w:color w:val="auto"/>
              </w:rPr>
            </w:pPr>
          </w:p>
        </w:tc>
        <w:tc>
          <w:tcPr>
            <w:tcW w:w="1080" w:type="dxa"/>
            <w:vAlign w:val="bottom"/>
            <w:vMerge w:val="continue"/>
            <w:shd w:val="clear" w:color="auto" w:fill="0171B9"/>
          </w:tcPr>
          <w:p>
            <w:pPr>
              <w:spacing w:after="0"/>
              <w:rPr>
                <w:sz w:val="15"/>
                <w:szCs w:val="15"/>
                <w:color w:val="auto"/>
              </w:rPr>
            </w:pPr>
          </w:p>
        </w:tc>
        <w:tc>
          <w:tcPr>
            <w:tcW w:w="1460" w:type="dxa"/>
            <w:vAlign w:val="bottom"/>
            <w:shd w:val="clear" w:color="auto" w:fill="0171B9"/>
          </w:tcPr>
          <w:p>
            <w:pPr>
              <w:jc w:val="right"/>
              <w:ind w:right="99"/>
              <w:spacing w:after="0" w:line="175" w:lineRule="exact"/>
              <w:rPr>
                <w:sz w:val="20"/>
                <w:szCs w:val="20"/>
                <w:color w:val="auto"/>
              </w:rPr>
            </w:pPr>
            <w:r>
              <w:rPr>
                <w:rFonts w:ascii="Arial" w:cs="Arial" w:eastAsia="Arial" w:hAnsi="Arial"/>
                <w:sz w:val="16"/>
                <w:szCs w:val="16"/>
                <w:b w:val="1"/>
                <w:bCs w:val="1"/>
                <w:color w:val="FFFFFF"/>
              </w:rPr>
              <w:t>Equity Awards</w:t>
            </w:r>
          </w:p>
        </w:tc>
        <w:tc>
          <w:tcPr>
            <w:tcW w:w="1660" w:type="dxa"/>
            <w:vAlign w:val="bottom"/>
            <w:shd w:val="clear" w:color="auto" w:fill="0171B9"/>
          </w:tcPr>
          <w:p>
            <w:pPr>
              <w:jc w:val="right"/>
              <w:ind w:right="159"/>
              <w:spacing w:after="0" w:line="175" w:lineRule="exact"/>
              <w:rPr>
                <w:sz w:val="20"/>
                <w:szCs w:val="20"/>
                <w:color w:val="auto"/>
              </w:rPr>
            </w:pPr>
            <w:r>
              <w:rPr>
                <w:rFonts w:ascii="Arial" w:cs="Arial" w:eastAsia="Arial" w:hAnsi="Arial"/>
                <w:sz w:val="16"/>
                <w:szCs w:val="16"/>
                <w:b w:val="1"/>
                <w:bCs w:val="1"/>
                <w:color w:val="FFFFFF"/>
              </w:rPr>
              <w:t>Year End of</w:t>
            </w:r>
          </w:p>
        </w:tc>
        <w:tc>
          <w:tcPr>
            <w:tcW w:w="1540" w:type="dxa"/>
            <w:vAlign w:val="bottom"/>
            <w:shd w:val="clear" w:color="auto" w:fill="0171B9"/>
          </w:tcPr>
          <w:p>
            <w:pPr>
              <w:jc w:val="right"/>
              <w:ind w:right="39"/>
              <w:spacing w:after="0" w:line="175" w:lineRule="exact"/>
              <w:rPr>
                <w:sz w:val="20"/>
                <w:szCs w:val="20"/>
                <w:color w:val="auto"/>
              </w:rPr>
            </w:pPr>
            <w:r>
              <w:rPr>
                <w:rFonts w:ascii="Arial" w:cs="Arial" w:eastAsia="Arial" w:hAnsi="Arial"/>
                <w:sz w:val="16"/>
                <w:szCs w:val="16"/>
                <w:b w:val="1"/>
                <w:bCs w:val="1"/>
                <w:color w:val="FFFFFF"/>
              </w:rPr>
              <w:t>Value of</w:t>
            </w:r>
          </w:p>
        </w:tc>
        <w:tc>
          <w:tcPr>
            <w:tcW w:w="1460" w:type="dxa"/>
            <w:vAlign w:val="bottom"/>
            <w:shd w:val="clear" w:color="auto" w:fill="0171B9"/>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0171B9"/>
          </w:tcPr>
          <w:p>
            <w:pPr>
              <w:spacing w:after="0"/>
              <w:rPr>
                <w:sz w:val="16"/>
                <w:szCs w:val="16"/>
                <w:color w:val="auto"/>
              </w:rPr>
            </w:pPr>
          </w:p>
        </w:tc>
        <w:tc>
          <w:tcPr>
            <w:tcW w:w="600" w:type="dxa"/>
            <w:vAlign w:val="bottom"/>
            <w:shd w:val="clear" w:color="auto" w:fill="0171B9"/>
          </w:tcPr>
          <w:p>
            <w:pPr>
              <w:spacing w:after="0"/>
              <w:rPr>
                <w:sz w:val="16"/>
                <w:szCs w:val="16"/>
                <w:color w:val="auto"/>
              </w:rPr>
            </w:pPr>
          </w:p>
        </w:tc>
        <w:tc>
          <w:tcPr>
            <w:tcW w:w="1120" w:type="dxa"/>
            <w:vAlign w:val="bottom"/>
            <w:shd w:val="clear" w:color="auto" w:fill="0171B9"/>
          </w:tcPr>
          <w:p>
            <w:pPr>
              <w:spacing w:after="0"/>
              <w:rPr>
                <w:sz w:val="16"/>
                <w:szCs w:val="16"/>
                <w:color w:val="auto"/>
              </w:rPr>
            </w:pPr>
          </w:p>
        </w:tc>
        <w:tc>
          <w:tcPr>
            <w:tcW w:w="116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SCT Value</w:t>
            </w:r>
          </w:p>
        </w:tc>
        <w:tc>
          <w:tcPr>
            <w:tcW w:w="108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Value of</w:t>
            </w:r>
          </w:p>
        </w:tc>
        <w:tc>
          <w:tcPr>
            <w:tcW w:w="1460" w:type="dxa"/>
            <w:vAlign w:val="bottom"/>
            <w:shd w:val="clear" w:color="auto" w:fill="0171B9"/>
          </w:tcPr>
          <w:p>
            <w:pPr>
              <w:jc w:val="right"/>
              <w:ind w:right="99"/>
              <w:spacing w:after="0"/>
              <w:rPr>
                <w:sz w:val="20"/>
                <w:szCs w:val="20"/>
                <w:color w:val="auto"/>
              </w:rPr>
            </w:pPr>
            <w:r>
              <w:rPr>
                <w:rFonts w:ascii="Arial" w:cs="Arial" w:eastAsia="Arial" w:hAnsi="Arial"/>
                <w:sz w:val="16"/>
                <w:szCs w:val="16"/>
                <w:b w:val="1"/>
                <w:bCs w:val="1"/>
                <w:color w:val="FFFFFF"/>
              </w:rPr>
              <w:t>Granted</w:t>
            </w:r>
          </w:p>
        </w:tc>
        <w:tc>
          <w:tcPr>
            <w:tcW w:w="1660" w:type="dxa"/>
            <w:vAlign w:val="bottom"/>
            <w:shd w:val="clear" w:color="auto" w:fill="0171B9"/>
          </w:tcPr>
          <w:p>
            <w:pPr>
              <w:jc w:val="right"/>
              <w:ind w:right="159"/>
              <w:spacing w:after="0"/>
              <w:rPr>
                <w:sz w:val="20"/>
                <w:szCs w:val="20"/>
                <w:color w:val="auto"/>
              </w:rPr>
            </w:pPr>
            <w:r>
              <w:rPr>
                <w:rFonts w:ascii="Arial" w:cs="Arial" w:eastAsia="Arial" w:hAnsi="Arial"/>
                <w:sz w:val="16"/>
                <w:szCs w:val="16"/>
                <w:b w:val="1"/>
                <w:bCs w:val="1"/>
                <w:color w:val="FFFFFF"/>
              </w:rPr>
              <w:t>Unvested</w:t>
            </w:r>
          </w:p>
        </w:tc>
        <w:tc>
          <w:tcPr>
            <w:tcW w:w="154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Awards That</w:t>
            </w:r>
          </w:p>
        </w:tc>
        <w:tc>
          <w:tcPr>
            <w:tcW w:w="1460" w:type="dxa"/>
            <w:vAlign w:val="bottom"/>
            <w:shd w:val="clear" w:color="auto" w:fill="0171B9"/>
          </w:tcPr>
          <w:p>
            <w:pPr>
              <w:jc w:val="right"/>
              <w:spacing w:after="0"/>
              <w:rPr>
                <w:sz w:val="20"/>
                <w:szCs w:val="20"/>
                <w:color w:val="auto"/>
              </w:rPr>
            </w:pPr>
            <w:r>
              <w:rPr>
                <w:rFonts w:ascii="Arial" w:cs="Arial" w:eastAsia="Arial" w:hAnsi="Arial"/>
                <w:sz w:val="16"/>
                <w:szCs w:val="16"/>
                <w:b w:val="1"/>
                <w:bCs w:val="1"/>
                <w:color w:val="FFFFFF"/>
              </w:rPr>
              <w:t>CAP Formula</w:t>
            </w:r>
          </w:p>
        </w:tc>
        <w:tc>
          <w:tcPr>
            <w:tcW w:w="0" w:type="dxa"/>
            <w:vAlign w:val="bottom"/>
          </w:tcPr>
          <w:p>
            <w:pPr>
              <w:spacing w:after="0"/>
              <w:rPr>
                <w:sz w:val="1"/>
                <w:szCs w:val="1"/>
                <w:color w:val="auto"/>
              </w:rPr>
            </w:pPr>
          </w:p>
        </w:tc>
      </w:tr>
      <w:tr>
        <w:trPr>
          <w:trHeight w:val="189"/>
        </w:trPr>
        <w:tc>
          <w:tcPr>
            <w:tcW w:w="940" w:type="dxa"/>
            <w:vAlign w:val="bottom"/>
            <w:shd w:val="clear" w:color="auto" w:fill="0171B9"/>
          </w:tcPr>
          <w:p>
            <w:pPr>
              <w:spacing w:after="0"/>
              <w:rPr>
                <w:sz w:val="16"/>
                <w:szCs w:val="16"/>
                <w:color w:val="auto"/>
              </w:rPr>
            </w:pPr>
          </w:p>
        </w:tc>
        <w:tc>
          <w:tcPr>
            <w:tcW w:w="600" w:type="dxa"/>
            <w:vAlign w:val="bottom"/>
            <w:shd w:val="clear" w:color="auto" w:fill="0171B9"/>
          </w:tcPr>
          <w:p>
            <w:pPr>
              <w:spacing w:after="0"/>
              <w:rPr>
                <w:sz w:val="16"/>
                <w:szCs w:val="16"/>
                <w:color w:val="auto"/>
              </w:rPr>
            </w:pPr>
          </w:p>
        </w:tc>
        <w:tc>
          <w:tcPr>
            <w:tcW w:w="1120" w:type="dxa"/>
            <w:vAlign w:val="bottom"/>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SCT</w:t>
            </w:r>
          </w:p>
        </w:tc>
        <w:tc>
          <w:tcPr>
            <w:tcW w:w="116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of Stock</w:t>
            </w:r>
          </w:p>
        </w:tc>
        <w:tc>
          <w:tcPr>
            <w:tcW w:w="108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Option</w:t>
            </w:r>
          </w:p>
        </w:tc>
        <w:tc>
          <w:tcPr>
            <w:tcW w:w="1460" w:type="dxa"/>
            <w:vAlign w:val="bottom"/>
            <w:shd w:val="clear" w:color="auto" w:fill="0171B9"/>
          </w:tcPr>
          <w:p>
            <w:pPr>
              <w:jc w:val="right"/>
              <w:ind w:right="99"/>
              <w:spacing w:after="0"/>
              <w:rPr>
                <w:sz w:val="20"/>
                <w:szCs w:val="20"/>
                <w:color w:val="auto"/>
              </w:rPr>
            </w:pPr>
            <w:r>
              <w:rPr>
                <w:rFonts w:ascii="Arial" w:cs="Arial" w:eastAsia="Arial" w:hAnsi="Arial"/>
                <w:sz w:val="16"/>
                <w:szCs w:val="16"/>
                <w:b w:val="1"/>
                <w:bCs w:val="1"/>
                <w:color w:val="FFFFFF"/>
              </w:rPr>
              <w:t>During the</w:t>
            </w:r>
          </w:p>
        </w:tc>
        <w:tc>
          <w:tcPr>
            <w:tcW w:w="1660" w:type="dxa"/>
            <w:vAlign w:val="bottom"/>
            <w:shd w:val="clear" w:color="auto" w:fill="0171B9"/>
          </w:tcPr>
          <w:p>
            <w:pPr>
              <w:jc w:val="right"/>
              <w:ind w:right="159"/>
              <w:spacing w:after="0"/>
              <w:rPr>
                <w:sz w:val="20"/>
                <w:szCs w:val="20"/>
                <w:color w:val="auto"/>
              </w:rPr>
            </w:pPr>
            <w:r>
              <w:rPr>
                <w:rFonts w:ascii="Arial" w:cs="Arial" w:eastAsia="Arial" w:hAnsi="Arial"/>
                <w:sz w:val="16"/>
                <w:szCs w:val="16"/>
                <w:b w:val="1"/>
                <w:bCs w:val="1"/>
                <w:color w:val="FFFFFF"/>
              </w:rPr>
              <w:t>Awards Granted</w:t>
            </w:r>
          </w:p>
        </w:tc>
        <w:tc>
          <w:tcPr>
            <w:tcW w:w="1540" w:type="dxa"/>
            <w:vAlign w:val="bottom"/>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Vested During</w:t>
            </w:r>
          </w:p>
        </w:tc>
        <w:tc>
          <w:tcPr>
            <w:tcW w:w="1460" w:type="dxa"/>
            <w:vAlign w:val="bottom"/>
            <w:shd w:val="clear" w:color="auto" w:fill="0171B9"/>
          </w:tcPr>
          <w:p>
            <w:pPr>
              <w:jc w:val="right"/>
              <w:spacing w:after="0"/>
              <w:rPr>
                <w:sz w:val="20"/>
                <w:szCs w:val="20"/>
                <w:color w:val="auto"/>
              </w:rPr>
            </w:pPr>
            <w:r>
              <w:rPr>
                <w:rFonts w:ascii="Arial" w:cs="Arial" w:eastAsia="Arial" w:hAnsi="Arial"/>
                <w:sz w:val="16"/>
                <w:szCs w:val="16"/>
                <w:b w:val="1"/>
                <w:bCs w:val="1"/>
                <w:color w:val="FFFFFF"/>
              </w:rPr>
              <w:t>and</w:t>
            </w:r>
          </w:p>
        </w:tc>
        <w:tc>
          <w:tcPr>
            <w:tcW w:w="0" w:type="dxa"/>
            <w:vAlign w:val="bottom"/>
          </w:tcPr>
          <w:p>
            <w:pPr>
              <w:spacing w:after="0"/>
              <w:rPr>
                <w:sz w:val="1"/>
                <w:szCs w:val="1"/>
                <w:color w:val="auto"/>
              </w:rPr>
            </w:pPr>
          </w:p>
        </w:tc>
      </w:tr>
      <w:tr>
        <w:trPr>
          <w:trHeight w:val="221"/>
        </w:trPr>
        <w:tc>
          <w:tcPr>
            <w:tcW w:w="940" w:type="dxa"/>
            <w:vAlign w:val="bottom"/>
            <w:tcBorders>
              <w:bottom w:val="single" w:sz="8" w:color="0171B9"/>
            </w:tcBorders>
            <w:shd w:val="clear" w:color="auto" w:fill="0171B9"/>
          </w:tcPr>
          <w:p>
            <w:pPr>
              <w:spacing w:after="0"/>
              <w:rPr>
                <w:sz w:val="19"/>
                <w:szCs w:val="19"/>
                <w:color w:val="auto"/>
              </w:rPr>
            </w:pPr>
          </w:p>
        </w:tc>
        <w:tc>
          <w:tcPr>
            <w:tcW w:w="600" w:type="dxa"/>
            <w:vAlign w:val="bottom"/>
            <w:tcBorders>
              <w:bottom w:val="single" w:sz="8" w:color="E5F0F8"/>
            </w:tcBorders>
            <w:shd w:val="clear" w:color="auto" w:fill="0171B9"/>
          </w:tcPr>
          <w:p>
            <w:pPr>
              <w:ind w:left="140"/>
              <w:spacing w:after="0"/>
              <w:rPr>
                <w:sz w:val="20"/>
                <w:szCs w:val="20"/>
                <w:color w:val="auto"/>
              </w:rPr>
            </w:pPr>
            <w:r>
              <w:rPr>
                <w:rFonts w:ascii="Arial" w:cs="Arial" w:eastAsia="Arial" w:hAnsi="Arial"/>
                <w:sz w:val="16"/>
                <w:szCs w:val="16"/>
                <w:b w:val="1"/>
                <w:bCs w:val="1"/>
                <w:color w:val="FFFFFF"/>
              </w:rPr>
              <w:t>Year</w:t>
            </w:r>
          </w:p>
        </w:tc>
        <w:tc>
          <w:tcPr>
            <w:tcW w:w="1120" w:type="dxa"/>
            <w:vAlign w:val="bottom"/>
            <w:tcBorders>
              <w:bottom w:val="single" w:sz="8" w:color="E5F0F8"/>
            </w:tcBorders>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Total($)</w:t>
            </w:r>
          </w:p>
        </w:tc>
        <w:tc>
          <w:tcPr>
            <w:tcW w:w="1160" w:type="dxa"/>
            <w:vAlign w:val="bottom"/>
            <w:tcBorders>
              <w:bottom w:val="single" w:sz="8" w:color="E5F0F8"/>
            </w:tcBorders>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Awards($)</w:t>
            </w:r>
          </w:p>
        </w:tc>
        <w:tc>
          <w:tcPr>
            <w:tcW w:w="1080" w:type="dxa"/>
            <w:vAlign w:val="bottom"/>
            <w:tcBorders>
              <w:bottom w:val="single" w:sz="8" w:color="E5F0F8"/>
            </w:tcBorders>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Awards($)</w:t>
            </w:r>
          </w:p>
        </w:tc>
        <w:tc>
          <w:tcPr>
            <w:tcW w:w="1460" w:type="dxa"/>
            <w:vAlign w:val="bottom"/>
            <w:tcBorders>
              <w:bottom w:val="single" w:sz="8" w:color="E5F0F8"/>
            </w:tcBorders>
            <w:shd w:val="clear" w:color="auto" w:fill="0171B9"/>
          </w:tcPr>
          <w:p>
            <w:pPr>
              <w:jc w:val="right"/>
              <w:ind w:right="99"/>
              <w:spacing w:after="0"/>
              <w:rPr>
                <w:sz w:val="20"/>
                <w:szCs w:val="20"/>
                <w:color w:val="auto"/>
              </w:rPr>
            </w:pPr>
            <w:r>
              <w:rPr>
                <w:rFonts w:ascii="Arial" w:cs="Arial" w:eastAsia="Arial" w:hAnsi="Arial"/>
                <w:sz w:val="16"/>
                <w:szCs w:val="16"/>
                <w:b w:val="1"/>
                <w:bCs w:val="1"/>
                <w:color w:val="FFFFFF"/>
              </w:rPr>
              <w:t>Year($)</w:t>
            </w:r>
          </w:p>
        </w:tc>
        <w:tc>
          <w:tcPr>
            <w:tcW w:w="1660" w:type="dxa"/>
            <w:vAlign w:val="bottom"/>
            <w:tcBorders>
              <w:bottom w:val="single" w:sz="8" w:color="E5F0F8"/>
            </w:tcBorders>
            <w:shd w:val="clear" w:color="auto" w:fill="0171B9"/>
          </w:tcPr>
          <w:p>
            <w:pPr>
              <w:jc w:val="right"/>
              <w:ind w:right="159"/>
              <w:spacing w:after="0"/>
              <w:rPr>
                <w:sz w:val="20"/>
                <w:szCs w:val="20"/>
                <w:color w:val="auto"/>
              </w:rPr>
            </w:pPr>
            <w:r>
              <w:rPr>
                <w:rFonts w:ascii="Arial" w:cs="Arial" w:eastAsia="Arial" w:hAnsi="Arial"/>
                <w:sz w:val="16"/>
                <w:szCs w:val="16"/>
                <w:b w:val="1"/>
                <w:bCs w:val="1"/>
                <w:color w:val="FFFFFF"/>
              </w:rPr>
              <w:t>in Prior Years($)</w:t>
            </w:r>
          </w:p>
        </w:tc>
        <w:tc>
          <w:tcPr>
            <w:tcW w:w="1540" w:type="dxa"/>
            <w:vAlign w:val="bottom"/>
            <w:tcBorders>
              <w:bottom w:val="single" w:sz="8" w:color="E5F0F8"/>
            </w:tcBorders>
            <w:shd w:val="clear" w:color="auto" w:fill="0171B9"/>
          </w:tcPr>
          <w:p>
            <w:pPr>
              <w:jc w:val="right"/>
              <w:ind w:right="39"/>
              <w:spacing w:after="0"/>
              <w:rPr>
                <w:sz w:val="20"/>
                <w:szCs w:val="20"/>
                <w:color w:val="auto"/>
              </w:rPr>
            </w:pPr>
            <w:r>
              <w:rPr>
                <w:rFonts w:ascii="Arial" w:cs="Arial" w:eastAsia="Arial" w:hAnsi="Arial"/>
                <w:sz w:val="16"/>
                <w:szCs w:val="16"/>
                <w:b w:val="1"/>
                <w:bCs w:val="1"/>
                <w:color w:val="FFFFFF"/>
              </w:rPr>
              <w:t>the Year($)</w:t>
            </w:r>
          </w:p>
        </w:tc>
        <w:tc>
          <w:tcPr>
            <w:tcW w:w="1460" w:type="dxa"/>
            <w:vAlign w:val="bottom"/>
            <w:tcBorders>
              <w:bottom w:val="single" w:sz="8" w:color="E5F0F8"/>
            </w:tcBorders>
            <w:shd w:val="clear" w:color="auto" w:fill="0171B9"/>
          </w:tcPr>
          <w:p>
            <w:pPr>
              <w:jc w:val="right"/>
              <w:spacing w:after="0"/>
              <w:rPr>
                <w:sz w:val="20"/>
                <w:szCs w:val="20"/>
                <w:color w:val="auto"/>
              </w:rPr>
            </w:pPr>
            <w:r>
              <w:rPr>
                <w:rFonts w:ascii="Arial" w:cs="Arial" w:eastAsia="Arial" w:hAnsi="Arial"/>
                <w:sz w:val="16"/>
                <w:szCs w:val="16"/>
                <w:b w:val="1"/>
                <w:bCs w:val="1"/>
                <w:color w:val="FFFFFF"/>
              </w:rPr>
              <w:t>Results($)</w:t>
            </w:r>
          </w:p>
        </w:tc>
        <w:tc>
          <w:tcPr>
            <w:tcW w:w="0" w:type="dxa"/>
            <w:vAlign w:val="bottom"/>
          </w:tcPr>
          <w:p>
            <w:pPr>
              <w:spacing w:after="0"/>
              <w:rPr>
                <w:sz w:val="1"/>
                <w:szCs w:val="1"/>
                <w:color w:val="auto"/>
              </w:rPr>
            </w:pPr>
          </w:p>
        </w:tc>
      </w:tr>
      <w:tr>
        <w:trPr>
          <w:trHeight w:val="236"/>
        </w:trPr>
        <w:tc>
          <w:tcPr>
            <w:tcW w:w="940" w:type="dxa"/>
            <w:vAlign w:val="bottom"/>
            <w:shd w:val="clear" w:color="auto" w:fill="0171B9"/>
          </w:tcPr>
          <w:p>
            <w:pPr>
              <w:spacing w:after="0"/>
              <w:rPr>
                <w:sz w:val="20"/>
                <w:szCs w:val="20"/>
                <w:color w:val="auto"/>
              </w:rPr>
            </w:pPr>
          </w:p>
        </w:tc>
        <w:tc>
          <w:tcPr>
            <w:tcW w:w="600" w:type="dxa"/>
            <w:vAlign w:val="bottom"/>
            <w:shd w:val="clear" w:color="auto" w:fill="0171B9"/>
          </w:tcPr>
          <w:p>
            <w:pPr>
              <w:spacing w:after="0"/>
              <w:rPr>
                <w:sz w:val="20"/>
                <w:szCs w:val="20"/>
                <w:color w:val="auto"/>
              </w:rPr>
            </w:pPr>
          </w:p>
        </w:tc>
        <w:tc>
          <w:tcPr>
            <w:tcW w:w="1120" w:type="dxa"/>
            <w:vAlign w:val="bottom"/>
            <w:shd w:val="clear" w:color="auto" w:fill="0171B9"/>
          </w:tcPr>
          <w:p>
            <w:pPr>
              <w:jc w:val="right"/>
              <w:ind w:right="439"/>
              <w:spacing w:after="0"/>
              <w:rPr>
                <w:sz w:val="20"/>
                <w:szCs w:val="20"/>
                <w:color w:val="auto"/>
              </w:rPr>
            </w:pPr>
            <w:r>
              <w:rPr>
                <w:rFonts w:ascii="Arial" w:cs="Arial" w:eastAsia="Arial" w:hAnsi="Arial"/>
                <w:sz w:val="16"/>
                <w:szCs w:val="16"/>
                <w:b w:val="1"/>
                <w:bCs w:val="1"/>
                <w:color w:val="FFFFFF"/>
              </w:rPr>
              <w:t>A</w:t>
            </w:r>
          </w:p>
        </w:tc>
        <w:tc>
          <w:tcPr>
            <w:tcW w:w="1160" w:type="dxa"/>
            <w:vAlign w:val="bottom"/>
            <w:shd w:val="clear" w:color="auto" w:fill="0171B9"/>
          </w:tcPr>
          <w:p>
            <w:pPr>
              <w:jc w:val="right"/>
              <w:ind w:right="499"/>
              <w:spacing w:after="0"/>
              <w:rPr>
                <w:sz w:val="20"/>
                <w:szCs w:val="20"/>
                <w:color w:val="auto"/>
              </w:rPr>
            </w:pPr>
            <w:r>
              <w:rPr>
                <w:rFonts w:ascii="Arial" w:cs="Arial" w:eastAsia="Arial" w:hAnsi="Arial"/>
                <w:sz w:val="16"/>
                <w:szCs w:val="16"/>
                <w:b w:val="1"/>
                <w:bCs w:val="1"/>
                <w:color w:val="FFFFFF"/>
              </w:rPr>
              <w:t>B</w:t>
            </w:r>
          </w:p>
        </w:tc>
        <w:tc>
          <w:tcPr>
            <w:tcW w:w="1080" w:type="dxa"/>
            <w:vAlign w:val="bottom"/>
            <w:shd w:val="clear" w:color="auto" w:fill="0171B9"/>
          </w:tcPr>
          <w:p>
            <w:pPr>
              <w:jc w:val="right"/>
              <w:ind w:right="459"/>
              <w:spacing w:after="0"/>
              <w:rPr>
                <w:sz w:val="20"/>
                <w:szCs w:val="20"/>
                <w:color w:val="auto"/>
              </w:rPr>
            </w:pPr>
            <w:r>
              <w:rPr>
                <w:rFonts w:ascii="Arial" w:cs="Arial" w:eastAsia="Arial" w:hAnsi="Arial"/>
                <w:sz w:val="16"/>
                <w:szCs w:val="16"/>
                <w:b w:val="1"/>
                <w:bCs w:val="1"/>
                <w:color w:val="FFFFFF"/>
              </w:rPr>
              <w:t>C</w:t>
            </w:r>
          </w:p>
        </w:tc>
        <w:tc>
          <w:tcPr>
            <w:tcW w:w="1460" w:type="dxa"/>
            <w:vAlign w:val="bottom"/>
            <w:shd w:val="clear" w:color="auto" w:fill="0171B9"/>
          </w:tcPr>
          <w:p>
            <w:pPr>
              <w:jc w:val="right"/>
              <w:ind w:right="659"/>
              <w:spacing w:after="0"/>
              <w:rPr>
                <w:sz w:val="20"/>
                <w:szCs w:val="20"/>
                <w:color w:val="auto"/>
              </w:rPr>
            </w:pPr>
            <w:r>
              <w:rPr>
                <w:rFonts w:ascii="Arial" w:cs="Arial" w:eastAsia="Arial" w:hAnsi="Arial"/>
                <w:sz w:val="16"/>
                <w:szCs w:val="16"/>
                <w:b w:val="1"/>
                <w:bCs w:val="1"/>
                <w:color w:val="FFFFFF"/>
              </w:rPr>
              <w:t>D</w:t>
            </w:r>
          </w:p>
        </w:tc>
        <w:tc>
          <w:tcPr>
            <w:tcW w:w="1660" w:type="dxa"/>
            <w:vAlign w:val="bottom"/>
            <w:shd w:val="clear" w:color="auto" w:fill="0171B9"/>
          </w:tcPr>
          <w:p>
            <w:pPr>
              <w:jc w:val="right"/>
              <w:ind w:right="799"/>
              <w:spacing w:after="0"/>
              <w:rPr>
                <w:sz w:val="20"/>
                <w:szCs w:val="20"/>
                <w:color w:val="auto"/>
              </w:rPr>
            </w:pPr>
            <w:r>
              <w:rPr>
                <w:rFonts w:ascii="Arial" w:cs="Arial" w:eastAsia="Arial" w:hAnsi="Arial"/>
                <w:sz w:val="16"/>
                <w:szCs w:val="16"/>
                <w:b w:val="1"/>
                <w:bCs w:val="1"/>
                <w:color w:val="FFFFFF"/>
              </w:rPr>
              <w:t>E</w:t>
            </w:r>
          </w:p>
        </w:tc>
        <w:tc>
          <w:tcPr>
            <w:tcW w:w="1540" w:type="dxa"/>
            <w:vAlign w:val="bottom"/>
            <w:shd w:val="clear" w:color="auto" w:fill="0171B9"/>
          </w:tcPr>
          <w:p>
            <w:pPr>
              <w:jc w:val="right"/>
              <w:ind w:right="699"/>
              <w:spacing w:after="0"/>
              <w:rPr>
                <w:sz w:val="20"/>
                <w:szCs w:val="20"/>
                <w:color w:val="auto"/>
              </w:rPr>
            </w:pPr>
            <w:r>
              <w:rPr>
                <w:rFonts w:ascii="Arial" w:cs="Arial" w:eastAsia="Arial" w:hAnsi="Arial"/>
                <w:sz w:val="16"/>
                <w:szCs w:val="16"/>
                <w:b w:val="1"/>
                <w:bCs w:val="1"/>
                <w:color w:val="FFFFFF"/>
              </w:rPr>
              <w:t>F</w:t>
            </w:r>
          </w:p>
        </w:tc>
        <w:tc>
          <w:tcPr>
            <w:tcW w:w="1460" w:type="dxa"/>
            <w:vAlign w:val="bottom"/>
            <w:shd w:val="clear" w:color="auto" w:fill="0171B9"/>
          </w:tcPr>
          <w:p>
            <w:pPr>
              <w:jc w:val="right"/>
              <w:spacing w:after="0"/>
              <w:rPr>
                <w:sz w:val="20"/>
                <w:szCs w:val="20"/>
                <w:color w:val="auto"/>
              </w:rPr>
            </w:pPr>
            <w:r>
              <w:rPr>
                <w:rFonts w:ascii="Arial" w:cs="Arial" w:eastAsia="Arial" w:hAnsi="Arial"/>
                <w:sz w:val="16"/>
                <w:szCs w:val="16"/>
                <w:b w:val="1"/>
                <w:bCs w:val="1"/>
                <w:color w:val="FFFFFF"/>
              </w:rPr>
              <w:t>G=A-B-C+D+E+F</w:t>
            </w:r>
          </w:p>
        </w:tc>
        <w:tc>
          <w:tcPr>
            <w:tcW w:w="0" w:type="dxa"/>
            <w:vAlign w:val="bottom"/>
          </w:tcPr>
          <w:p>
            <w:pPr>
              <w:spacing w:after="0"/>
              <w:rPr>
                <w:sz w:val="1"/>
                <w:szCs w:val="1"/>
                <w:color w:val="auto"/>
              </w:rPr>
            </w:pPr>
          </w:p>
        </w:tc>
      </w:tr>
      <w:tr>
        <w:trPr>
          <w:trHeight w:val="189"/>
        </w:trPr>
        <w:tc>
          <w:tcPr>
            <w:tcW w:w="940" w:type="dxa"/>
            <w:vAlign w:val="bottom"/>
            <w:shd w:val="clear" w:color="auto" w:fill="CCE2F1"/>
          </w:tcPr>
          <w:p>
            <w:pPr>
              <w:spacing w:after="0"/>
              <w:rPr>
                <w:sz w:val="20"/>
                <w:szCs w:val="20"/>
                <w:color w:val="auto"/>
              </w:rPr>
            </w:pPr>
            <w:r>
              <w:rPr>
                <w:rFonts w:ascii="Arial" w:cs="Arial" w:eastAsia="Arial" w:hAnsi="Arial"/>
                <w:sz w:val="16"/>
                <w:szCs w:val="16"/>
                <w:color w:val="auto"/>
              </w:rPr>
              <w:t>Robert A.</w:t>
            </w:r>
          </w:p>
        </w:tc>
        <w:tc>
          <w:tcPr>
            <w:tcW w:w="600" w:type="dxa"/>
            <w:vAlign w:val="bottom"/>
            <w:shd w:val="clear" w:color="auto" w:fill="CCE2F1"/>
          </w:tcPr>
          <w:p>
            <w:pPr>
              <w:ind w:left="160"/>
              <w:spacing w:after="0"/>
              <w:rPr>
                <w:sz w:val="20"/>
                <w:szCs w:val="20"/>
                <w:color w:val="auto"/>
              </w:rPr>
            </w:pPr>
            <w:r>
              <w:rPr>
                <w:rFonts w:ascii="Arial" w:cs="Arial" w:eastAsia="Arial" w:hAnsi="Arial"/>
                <w:sz w:val="16"/>
                <w:szCs w:val="16"/>
                <w:color w:val="auto"/>
              </w:rPr>
              <w:t>2022</w:t>
            </w:r>
          </w:p>
        </w:tc>
        <w:tc>
          <w:tcPr>
            <w:tcW w:w="1120" w:type="dxa"/>
            <w:vAlign w:val="bottom"/>
            <w:shd w:val="clear" w:color="auto" w:fill="CCE2F1"/>
          </w:tcPr>
          <w:p>
            <w:pPr>
              <w:jc w:val="right"/>
              <w:ind w:right="59"/>
              <w:spacing w:after="0"/>
              <w:rPr>
                <w:sz w:val="20"/>
                <w:szCs w:val="20"/>
                <w:color w:val="auto"/>
              </w:rPr>
            </w:pPr>
            <w:r>
              <w:rPr>
                <w:rFonts w:ascii="Arial" w:cs="Arial" w:eastAsia="Arial" w:hAnsi="Arial"/>
                <w:sz w:val="16"/>
                <w:szCs w:val="16"/>
                <w:color w:val="auto"/>
              </w:rPr>
              <w:t>21,399,733</w:t>
            </w:r>
          </w:p>
        </w:tc>
        <w:tc>
          <w:tcPr>
            <w:tcW w:w="1160" w:type="dxa"/>
            <w:vAlign w:val="bottom"/>
            <w:shd w:val="clear" w:color="auto" w:fill="CCE2F1"/>
          </w:tcPr>
          <w:p>
            <w:pPr>
              <w:jc w:val="right"/>
              <w:ind w:right="79"/>
              <w:spacing w:after="0"/>
              <w:rPr>
                <w:sz w:val="20"/>
                <w:szCs w:val="20"/>
                <w:color w:val="auto"/>
              </w:rPr>
            </w:pPr>
            <w:r>
              <w:rPr>
                <w:rFonts w:ascii="Arial" w:cs="Arial" w:eastAsia="Arial" w:hAnsi="Arial"/>
                <w:sz w:val="16"/>
                <w:szCs w:val="16"/>
                <w:color w:val="auto"/>
              </w:rPr>
              <w:t>11,138,544</w:t>
            </w:r>
          </w:p>
        </w:tc>
        <w:tc>
          <w:tcPr>
            <w:tcW w:w="1080" w:type="dxa"/>
            <w:vAlign w:val="bottom"/>
            <w:shd w:val="clear" w:color="auto" w:fill="CCE2F1"/>
          </w:tcPr>
          <w:p>
            <w:pPr>
              <w:jc w:val="right"/>
              <w:ind w:right="79"/>
              <w:spacing w:after="0"/>
              <w:rPr>
                <w:sz w:val="20"/>
                <w:szCs w:val="20"/>
                <w:color w:val="auto"/>
              </w:rPr>
            </w:pPr>
            <w:r>
              <w:rPr>
                <w:rFonts w:ascii="Arial" w:cs="Arial" w:eastAsia="Arial" w:hAnsi="Arial"/>
                <w:sz w:val="16"/>
                <w:szCs w:val="16"/>
                <w:color w:val="auto"/>
              </w:rPr>
              <w:t>4,773,714</w:t>
            </w:r>
          </w:p>
        </w:tc>
        <w:tc>
          <w:tcPr>
            <w:tcW w:w="1460" w:type="dxa"/>
            <w:vAlign w:val="bottom"/>
            <w:shd w:val="clear" w:color="auto" w:fill="CCE2F1"/>
          </w:tcPr>
          <w:p>
            <w:pPr>
              <w:jc w:val="right"/>
              <w:ind w:right="99"/>
              <w:spacing w:after="0"/>
              <w:rPr>
                <w:sz w:val="20"/>
                <w:szCs w:val="20"/>
                <w:color w:val="auto"/>
              </w:rPr>
            </w:pPr>
            <w:r>
              <w:rPr>
                <w:rFonts w:ascii="Arial" w:cs="Arial" w:eastAsia="Arial" w:hAnsi="Arial"/>
                <w:sz w:val="16"/>
                <w:szCs w:val="16"/>
                <w:color w:val="auto"/>
              </w:rPr>
              <w:t>20,800,961</w:t>
            </w:r>
          </w:p>
        </w:tc>
        <w:tc>
          <w:tcPr>
            <w:tcW w:w="1660" w:type="dxa"/>
            <w:vAlign w:val="bottom"/>
            <w:shd w:val="clear" w:color="auto" w:fill="CCE2F1"/>
          </w:tcPr>
          <w:p>
            <w:pPr>
              <w:jc w:val="right"/>
              <w:ind w:right="159"/>
              <w:spacing w:after="0"/>
              <w:rPr>
                <w:sz w:val="20"/>
                <w:szCs w:val="20"/>
                <w:color w:val="auto"/>
              </w:rPr>
            </w:pPr>
            <w:r>
              <w:rPr>
                <w:rFonts w:ascii="Arial" w:cs="Arial" w:eastAsia="Arial" w:hAnsi="Arial"/>
                <w:sz w:val="16"/>
                <w:szCs w:val="16"/>
                <w:color w:val="auto"/>
              </w:rPr>
              <w:t>11,751,273</w:t>
            </w:r>
          </w:p>
        </w:tc>
        <w:tc>
          <w:tcPr>
            <w:tcW w:w="1540" w:type="dxa"/>
            <w:vAlign w:val="bottom"/>
            <w:shd w:val="clear" w:color="auto" w:fill="CCE2F1"/>
          </w:tcPr>
          <w:p>
            <w:pPr>
              <w:jc w:val="right"/>
              <w:ind w:right="39"/>
              <w:spacing w:after="0"/>
              <w:rPr>
                <w:sz w:val="20"/>
                <w:szCs w:val="20"/>
                <w:color w:val="auto"/>
              </w:rPr>
            </w:pPr>
            <w:r>
              <w:rPr>
                <w:rFonts w:ascii="Arial" w:cs="Arial" w:eastAsia="Arial" w:hAnsi="Arial"/>
                <w:sz w:val="16"/>
                <w:szCs w:val="16"/>
                <w:color w:val="auto"/>
              </w:rPr>
              <w:t>3,615,844</w:t>
            </w:r>
          </w:p>
        </w:tc>
        <w:tc>
          <w:tcPr>
            <w:tcW w:w="1460" w:type="dxa"/>
            <w:vAlign w:val="bottom"/>
            <w:shd w:val="clear" w:color="auto" w:fill="CCE2F1"/>
          </w:tcPr>
          <w:p>
            <w:pPr>
              <w:jc w:val="right"/>
              <w:spacing w:after="0"/>
              <w:rPr>
                <w:sz w:val="20"/>
                <w:szCs w:val="20"/>
                <w:color w:val="auto"/>
              </w:rPr>
            </w:pPr>
            <w:r>
              <w:rPr>
                <w:rFonts w:ascii="Arial" w:cs="Arial" w:eastAsia="Arial" w:hAnsi="Arial"/>
                <w:sz w:val="16"/>
                <w:szCs w:val="16"/>
                <w:color w:val="auto"/>
              </w:rPr>
              <w:t>41,655,553</w:t>
            </w:r>
          </w:p>
        </w:tc>
        <w:tc>
          <w:tcPr>
            <w:tcW w:w="0" w:type="dxa"/>
            <w:vAlign w:val="bottom"/>
          </w:tcPr>
          <w:p>
            <w:pPr>
              <w:spacing w:after="0"/>
              <w:rPr>
                <w:sz w:val="1"/>
                <w:szCs w:val="1"/>
                <w:color w:val="auto"/>
              </w:rPr>
            </w:pPr>
          </w:p>
        </w:tc>
      </w:tr>
      <w:tr>
        <w:trPr>
          <w:trHeight w:val="189"/>
        </w:trPr>
        <w:tc>
          <w:tcPr>
            <w:tcW w:w="940" w:type="dxa"/>
            <w:vAlign w:val="bottom"/>
            <w:shd w:val="clear" w:color="auto" w:fill="CCE2F1"/>
          </w:tcPr>
          <w:p>
            <w:pPr>
              <w:ind w:left="160"/>
              <w:spacing w:after="0"/>
              <w:rPr>
                <w:sz w:val="20"/>
                <w:szCs w:val="20"/>
                <w:color w:val="auto"/>
              </w:rPr>
            </w:pPr>
            <w:r>
              <w:rPr>
                <w:rFonts w:ascii="Arial" w:cs="Arial" w:eastAsia="Arial" w:hAnsi="Arial"/>
                <w:sz w:val="16"/>
                <w:szCs w:val="16"/>
                <w:color w:val="auto"/>
              </w:rPr>
              <w:t>Bradway</w:t>
            </w:r>
          </w:p>
        </w:tc>
        <w:tc>
          <w:tcPr>
            <w:tcW w:w="600" w:type="dxa"/>
            <w:vAlign w:val="bottom"/>
            <w:shd w:val="clear" w:color="auto" w:fill="CCE2F1"/>
          </w:tcPr>
          <w:p>
            <w:pPr>
              <w:ind w:left="160"/>
              <w:spacing w:after="0"/>
              <w:rPr>
                <w:sz w:val="20"/>
                <w:szCs w:val="20"/>
                <w:color w:val="auto"/>
              </w:rPr>
            </w:pPr>
            <w:r>
              <w:rPr>
                <w:rFonts w:ascii="Arial" w:cs="Arial" w:eastAsia="Arial" w:hAnsi="Arial"/>
                <w:sz w:val="16"/>
                <w:szCs w:val="16"/>
                <w:color w:val="auto"/>
              </w:rPr>
              <w:t>2021</w:t>
            </w:r>
          </w:p>
        </w:tc>
        <w:tc>
          <w:tcPr>
            <w:tcW w:w="1120" w:type="dxa"/>
            <w:vAlign w:val="bottom"/>
            <w:shd w:val="clear" w:color="auto" w:fill="CCE2F1"/>
          </w:tcPr>
          <w:p>
            <w:pPr>
              <w:jc w:val="right"/>
              <w:ind w:right="59"/>
              <w:spacing w:after="0"/>
              <w:rPr>
                <w:sz w:val="20"/>
                <w:szCs w:val="20"/>
                <w:color w:val="auto"/>
              </w:rPr>
            </w:pPr>
            <w:r>
              <w:rPr>
                <w:rFonts w:ascii="Arial" w:cs="Arial" w:eastAsia="Arial" w:hAnsi="Arial"/>
                <w:sz w:val="16"/>
                <w:szCs w:val="16"/>
                <w:color w:val="auto"/>
              </w:rPr>
              <w:t>21,721,154</w:t>
            </w:r>
          </w:p>
        </w:tc>
        <w:tc>
          <w:tcPr>
            <w:tcW w:w="1160" w:type="dxa"/>
            <w:vAlign w:val="bottom"/>
            <w:shd w:val="clear" w:color="auto" w:fill="CCE2F1"/>
          </w:tcPr>
          <w:p>
            <w:pPr>
              <w:jc w:val="right"/>
              <w:ind w:right="79"/>
              <w:spacing w:after="0"/>
              <w:rPr>
                <w:sz w:val="20"/>
                <w:szCs w:val="20"/>
                <w:color w:val="auto"/>
              </w:rPr>
            </w:pPr>
            <w:r>
              <w:rPr>
                <w:rFonts w:ascii="Arial" w:cs="Arial" w:eastAsia="Arial" w:hAnsi="Arial"/>
                <w:sz w:val="16"/>
                <w:szCs w:val="16"/>
                <w:color w:val="auto"/>
              </w:rPr>
              <w:t>11,138,622</w:t>
            </w:r>
          </w:p>
        </w:tc>
        <w:tc>
          <w:tcPr>
            <w:tcW w:w="1080" w:type="dxa"/>
            <w:vAlign w:val="bottom"/>
            <w:shd w:val="clear" w:color="auto" w:fill="CCE2F1"/>
          </w:tcPr>
          <w:p>
            <w:pPr>
              <w:jc w:val="right"/>
              <w:ind w:right="79"/>
              <w:spacing w:after="0"/>
              <w:rPr>
                <w:sz w:val="20"/>
                <w:szCs w:val="20"/>
                <w:color w:val="auto"/>
              </w:rPr>
            </w:pPr>
            <w:r>
              <w:rPr>
                <w:rFonts w:ascii="Arial" w:cs="Arial" w:eastAsia="Arial" w:hAnsi="Arial"/>
                <w:sz w:val="16"/>
                <w:szCs w:val="16"/>
                <w:color w:val="auto"/>
              </w:rPr>
              <w:t>4,773,710</w:t>
            </w:r>
          </w:p>
        </w:tc>
        <w:tc>
          <w:tcPr>
            <w:tcW w:w="1460" w:type="dxa"/>
            <w:vAlign w:val="bottom"/>
            <w:shd w:val="clear" w:color="auto" w:fill="CCE2F1"/>
          </w:tcPr>
          <w:p>
            <w:pPr>
              <w:jc w:val="right"/>
              <w:ind w:right="99"/>
              <w:spacing w:after="0"/>
              <w:rPr>
                <w:sz w:val="20"/>
                <w:szCs w:val="20"/>
                <w:color w:val="auto"/>
              </w:rPr>
            </w:pPr>
            <w:r>
              <w:rPr>
                <w:rFonts w:ascii="Arial" w:cs="Arial" w:eastAsia="Arial" w:hAnsi="Arial"/>
                <w:sz w:val="16"/>
                <w:szCs w:val="16"/>
                <w:color w:val="auto"/>
              </w:rPr>
              <w:t>13,805,997</w:t>
            </w:r>
          </w:p>
        </w:tc>
        <w:tc>
          <w:tcPr>
            <w:tcW w:w="1660" w:type="dxa"/>
            <w:vAlign w:val="bottom"/>
            <w:shd w:val="clear" w:color="auto" w:fill="CCE2F1"/>
          </w:tcPr>
          <w:p>
            <w:pPr>
              <w:jc w:val="right"/>
              <w:ind w:right="99"/>
              <w:spacing w:after="0"/>
              <w:rPr>
                <w:sz w:val="20"/>
                <w:szCs w:val="20"/>
                <w:color w:val="auto"/>
              </w:rPr>
            </w:pPr>
            <w:r>
              <w:rPr>
                <w:rFonts w:ascii="Arial" w:cs="Arial" w:eastAsia="Arial" w:hAnsi="Arial"/>
                <w:sz w:val="16"/>
                <w:szCs w:val="16"/>
                <w:color w:val="auto"/>
              </w:rPr>
              <w:t>(2,572,161)</w:t>
            </w:r>
          </w:p>
        </w:tc>
        <w:tc>
          <w:tcPr>
            <w:tcW w:w="1540" w:type="dxa"/>
            <w:vAlign w:val="bottom"/>
            <w:shd w:val="clear" w:color="auto" w:fill="CCE2F1"/>
          </w:tcPr>
          <w:p>
            <w:pPr>
              <w:jc w:val="right"/>
              <w:spacing w:after="0"/>
              <w:rPr>
                <w:sz w:val="20"/>
                <w:szCs w:val="20"/>
                <w:color w:val="auto"/>
              </w:rPr>
            </w:pPr>
            <w:r>
              <w:rPr>
                <w:rFonts w:ascii="Arial" w:cs="Arial" w:eastAsia="Arial" w:hAnsi="Arial"/>
                <w:sz w:val="16"/>
                <w:szCs w:val="16"/>
                <w:color w:val="auto"/>
              </w:rPr>
              <w:t>(1,930)</w:t>
            </w:r>
          </w:p>
        </w:tc>
        <w:tc>
          <w:tcPr>
            <w:tcW w:w="1460" w:type="dxa"/>
            <w:vAlign w:val="bottom"/>
            <w:shd w:val="clear" w:color="auto" w:fill="CCE2F1"/>
          </w:tcPr>
          <w:p>
            <w:pPr>
              <w:jc w:val="right"/>
              <w:spacing w:after="0"/>
              <w:rPr>
                <w:sz w:val="20"/>
                <w:szCs w:val="20"/>
                <w:color w:val="auto"/>
              </w:rPr>
            </w:pPr>
            <w:r>
              <w:rPr>
                <w:rFonts w:ascii="Arial" w:cs="Arial" w:eastAsia="Arial" w:hAnsi="Arial"/>
                <w:sz w:val="16"/>
                <w:szCs w:val="16"/>
                <w:color w:val="auto"/>
              </w:rPr>
              <w:t>17,040,728</w:t>
            </w:r>
          </w:p>
        </w:tc>
        <w:tc>
          <w:tcPr>
            <w:tcW w:w="0" w:type="dxa"/>
            <w:vAlign w:val="bottom"/>
          </w:tcPr>
          <w:p>
            <w:pPr>
              <w:spacing w:after="0"/>
              <w:rPr>
                <w:sz w:val="1"/>
                <w:szCs w:val="1"/>
                <w:color w:val="auto"/>
              </w:rPr>
            </w:pPr>
          </w:p>
        </w:tc>
      </w:tr>
      <w:tr>
        <w:trPr>
          <w:trHeight w:val="189"/>
        </w:trPr>
        <w:tc>
          <w:tcPr>
            <w:tcW w:w="940" w:type="dxa"/>
            <w:vAlign w:val="bottom"/>
            <w:shd w:val="clear" w:color="auto" w:fill="CCE2F1"/>
          </w:tcPr>
          <w:p>
            <w:pPr>
              <w:spacing w:after="0"/>
              <w:rPr>
                <w:sz w:val="16"/>
                <w:szCs w:val="16"/>
                <w:color w:val="auto"/>
              </w:rPr>
            </w:pPr>
          </w:p>
        </w:tc>
        <w:tc>
          <w:tcPr>
            <w:tcW w:w="600" w:type="dxa"/>
            <w:vAlign w:val="bottom"/>
            <w:shd w:val="clear" w:color="auto" w:fill="CCE2F1"/>
          </w:tcPr>
          <w:p>
            <w:pPr>
              <w:ind w:left="160"/>
              <w:spacing w:after="0"/>
              <w:rPr>
                <w:sz w:val="20"/>
                <w:szCs w:val="20"/>
                <w:color w:val="auto"/>
              </w:rPr>
            </w:pPr>
            <w:r>
              <w:rPr>
                <w:rFonts w:ascii="Arial" w:cs="Arial" w:eastAsia="Arial" w:hAnsi="Arial"/>
                <w:sz w:val="16"/>
                <w:szCs w:val="16"/>
                <w:color w:val="auto"/>
              </w:rPr>
              <w:t>2020</w:t>
            </w:r>
          </w:p>
        </w:tc>
        <w:tc>
          <w:tcPr>
            <w:tcW w:w="1120" w:type="dxa"/>
            <w:vAlign w:val="bottom"/>
            <w:shd w:val="clear" w:color="auto" w:fill="CCE2F1"/>
          </w:tcPr>
          <w:p>
            <w:pPr>
              <w:jc w:val="right"/>
              <w:ind w:right="59"/>
              <w:spacing w:after="0"/>
              <w:rPr>
                <w:sz w:val="20"/>
                <w:szCs w:val="20"/>
                <w:color w:val="auto"/>
              </w:rPr>
            </w:pPr>
            <w:r>
              <w:rPr>
                <w:rFonts w:ascii="Arial" w:cs="Arial" w:eastAsia="Arial" w:hAnsi="Arial"/>
                <w:sz w:val="16"/>
                <w:szCs w:val="16"/>
                <w:color w:val="auto"/>
              </w:rPr>
              <w:t>20,131,408</w:t>
            </w:r>
          </w:p>
        </w:tc>
        <w:tc>
          <w:tcPr>
            <w:tcW w:w="1160" w:type="dxa"/>
            <w:vAlign w:val="bottom"/>
            <w:shd w:val="clear" w:color="auto" w:fill="CCE2F1"/>
          </w:tcPr>
          <w:p>
            <w:pPr>
              <w:jc w:val="right"/>
              <w:ind w:right="79"/>
              <w:spacing w:after="0"/>
              <w:rPr>
                <w:sz w:val="20"/>
                <w:szCs w:val="20"/>
                <w:color w:val="auto"/>
              </w:rPr>
            </w:pPr>
            <w:r>
              <w:rPr>
                <w:rFonts w:ascii="Arial" w:cs="Arial" w:eastAsia="Arial" w:hAnsi="Arial"/>
                <w:sz w:val="16"/>
                <w:szCs w:val="16"/>
                <w:color w:val="auto"/>
              </w:rPr>
              <w:t>10,079,676</w:t>
            </w:r>
          </w:p>
        </w:tc>
        <w:tc>
          <w:tcPr>
            <w:tcW w:w="1080" w:type="dxa"/>
            <w:vAlign w:val="bottom"/>
            <w:shd w:val="clear" w:color="auto" w:fill="CCE2F1"/>
          </w:tcPr>
          <w:p>
            <w:pPr>
              <w:jc w:val="right"/>
              <w:ind w:right="79"/>
              <w:spacing w:after="0"/>
              <w:rPr>
                <w:sz w:val="20"/>
                <w:szCs w:val="20"/>
                <w:color w:val="auto"/>
              </w:rPr>
            </w:pPr>
            <w:r>
              <w:rPr>
                <w:rFonts w:ascii="Arial" w:cs="Arial" w:eastAsia="Arial" w:hAnsi="Arial"/>
                <w:sz w:val="16"/>
                <w:szCs w:val="16"/>
                <w:color w:val="auto"/>
              </w:rPr>
              <w:t>4,319,993</w:t>
            </w:r>
          </w:p>
        </w:tc>
        <w:tc>
          <w:tcPr>
            <w:tcW w:w="1460" w:type="dxa"/>
            <w:vAlign w:val="bottom"/>
            <w:shd w:val="clear" w:color="auto" w:fill="CCE2F1"/>
          </w:tcPr>
          <w:p>
            <w:pPr>
              <w:jc w:val="right"/>
              <w:ind w:right="99"/>
              <w:spacing w:after="0"/>
              <w:rPr>
                <w:sz w:val="20"/>
                <w:szCs w:val="20"/>
                <w:color w:val="auto"/>
              </w:rPr>
            </w:pPr>
            <w:r>
              <w:rPr>
                <w:rFonts w:ascii="Arial" w:cs="Arial" w:eastAsia="Arial" w:hAnsi="Arial"/>
                <w:sz w:val="16"/>
                <w:szCs w:val="16"/>
                <w:color w:val="auto"/>
              </w:rPr>
              <w:t>13,341,787</w:t>
            </w:r>
          </w:p>
        </w:tc>
        <w:tc>
          <w:tcPr>
            <w:tcW w:w="1660" w:type="dxa"/>
            <w:vAlign w:val="bottom"/>
            <w:shd w:val="clear" w:color="auto" w:fill="CCE2F1"/>
          </w:tcPr>
          <w:p>
            <w:pPr>
              <w:jc w:val="right"/>
              <w:ind w:right="99"/>
              <w:spacing w:after="0"/>
              <w:rPr>
                <w:sz w:val="20"/>
                <w:szCs w:val="20"/>
                <w:color w:val="auto"/>
              </w:rPr>
            </w:pPr>
            <w:r>
              <w:rPr>
                <w:rFonts w:ascii="Arial" w:cs="Arial" w:eastAsia="Arial" w:hAnsi="Arial"/>
                <w:sz w:val="16"/>
                <w:szCs w:val="16"/>
                <w:color w:val="auto"/>
              </w:rPr>
              <w:t>(3,546,758)</w:t>
            </w:r>
          </w:p>
        </w:tc>
        <w:tc>
          <w:tcPr>
            <w:tcW w:w="1540" w:type="dxa"/>
            <w:vAlign w:val="bottom"/>
            <w:shd w:val="clear" w:color="auto" w:fill="CCE2F1"/>
          </w:tcPr>
          <w:p>
            <w:pPr>
              <w:jc w:val="right"/>
              <w:spacing w:after="0"/>
              <w:rPr>
                <w:sz w:val="20"/>
                <w:szCs w:val="20"/>
                <w:color w:val="auto"/>
              </w:rPr>
            </w:pPr>
            <w:r>
              <w:rPr>
                <w:rFonts w:ascii="Arial" w:cs="Arial" w:eastAsia="Arial" w:hAnsi="Arial"/>
                <w:sz w:val="16"/>
                <w:szCs w:val="16"/>
                <w:color w:val="auto"/>
              </w:rPr>
              <w:t>(802,456)</w:t>
            </w:r>
          </w:p>
        </w:tc>
        <w:tc>
          <w:tcPr>
            <w:tcW w:w="1460" w:type="dxa"/>
            <w:vAlign w:val="bottom"/>
            <w:shd w:val="clear" w:color="auto" w:fill="CCE2F1"/>
          </w:tcPr>
          <w:p>
            <w:pPr>
              <w:jc w:val="right"/>
              <w:spacing w:after="0"/>
              <w:rPr>
                <w:sz w:val="20"/>
                <w:szCs w:val="20"/>
                <w:color w:val="auto"/>
              </w:rPr>
            </w:pPr>
            <w:r>
              <w:rPr>
                <w:rFonts w:ascii="Arial" w:cs="Arial" w:eastAsia="Arial" w:hAnsi="Arial"/>
                <w:sz w:val="16"/>
                <w:szCs w:val="16"/>
                <w:color w:val="auto"/>
              </w:rPr>
              <w:t>14,724,312</w:t>
            </w:r>
          </w:p>
        </w:tc>
        <w:tc>
          <w:tcPr>
            <w:tcW w:w="0" w:type="dxa"/>
            <w:vAlign w:val="bottom"/>
          </w:tcPr>
          <w:p>
            <w:pPr>
              <w:spacing w:after="0"/>
              <w:rPr>
                <w:sz w:val="1"/>
                <w:szCs w:val="1"/>
                <w:color w:val="auto"/>
              </w:rPr>
            </w:pPr>
          </w:p>
        </w:tc>
      </w:tr>
      <w:tr>
        <w:trPr>
          <w:trHeight w:val="191"/>
        </w:trPr>
        <w:tc>
          <w:tcPr>
            <w:tcW w:w="940" w:type="dxa"/>
            <w:vAlign w:val="bottom"/>
          </w:tcPr>
          <w:p>
            <w:pPr>
              <w:spacing w:after="0"/>
              <w:rPr>
                <w:sz w:val="20"/>
                <w:szCs w:val="20"/>
                <w:color w:val="auto"/>
              </w:rPr>
            </w:pPr>
            <w:r>
              <w:rPr>
                <w:rFonts w:ascii="Arial" w:cs="Arial" w:eastAsia="Arial" w:hAnsi="Arial"/>
                <w:sz w:val="16"/>
                <w:szCs w:val="16"/>
                <w:color w:val="auto"/>
              </w:rPr>
              <w:t>Average of</w:t>
            </w:r>
          </w:p>
        </w:tc>
        <w:tc>
          <w:tcPr>
            <w:tcW w:w="600" w:type="dxa"/>
            <w:vAlign w:val="bottom"/>
          </w:tcPr>
          <w:p>
            <w:pPr>
              <w:ind w:left="160"/>
              <w:spacing w:after="0"/>
              <w:rPr>
                <w:sz w:val="20"/>
                <w:szCs w:val="20"/>
                <w:color w:val="auto"/>
              </w:rPr>
            </w:pPr>
            <w:r>
              <w:rPr>
                <w:rFonts w:ascii="Arial" w:cs="Arial" w:eastAsia="Arial" w:hAnsi="Arial"/>
                <w:sz w:val="16"/>
                <w:szCs w:val="16"/>
                <w:color w:val="auto"/>
              </w:rPr>
              <w:t>2022</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7,211,427</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3,184,719</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1,364,984</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5,947,522</w:t>
            </w:r>
          </w:p>
        </w:tc>
        <w:tc>
          <w:tcPr>
            <w:tcW w:w="1660" w:type="dxa"/>
            <w:vAlign w:val="bottom"/>
          </w:tcPr>
          <w:p>
            <w:pPr>
              <w:jc w:val="right"/>
              <w:ind w:right="159"/>
              <w:spacing w:after="0"/>
              <w:rPr>
                <w:sz w:val="20"/>
                <w:szCs w:val="20"/>
                <w:color w:val="auto"/>
              </w:rPr>
            </w:pPr>
            <w:r>
              <w:rPr>
                <w:rFonts w:ascii="Arial" w:cs="Arial" w:eastAsia="Arial" w:hAnsi="Arial"/>
                <w:sz w:val="16"/>
                <w:szCs w:val="16"/>
                <w:color w:val="auto"/>
              </w:rPr>
              <w:t>3,219,024</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949,497</w:t>
            </w:r>
          </w:p>
        </w:tc>
        <w:tc>
          <w:tcPr>
            <w:tcW w:w="1460" w:type="dxa"/>
            <w:vAlign w:val="bottom"/>
          </w:tcPr>
          <w:p>
            <w:pPr>
              <w:jc w:val="right"/>
              <w:spacing w:after="0"/>
              <w:rPr>
                <w:sz w:val="20"/>
                <w:szCs w:val="20"/>
                <w:color w:val="auto"/>
              </w:rPr>
            </w:pPr>
            <w:r>
              <w:rPr>
                <w:rFonts w:ascii="Arial" w:cs="Arial" w:eastAsia="Arial" w:hAnsi="Arial"/>
                <w:sz w:val="16"/>
                <w:szCs w:val="16"/>
                <w:color w:val="auto"/>
              </w:rPr>
              <w:t>12,777,767</w:t>
            </w:r>
          </w:p>
        </w:tc>
        <w:tc>
          <w:tcPr>
            <w:tcW w:w="0" w:type="dxa"/>
            <w:vAlign w:val="bottom"/>
          </w:tcPr>
          <w:p>
            <w:pPr>
              <w:spacing w:after="0"/>
              <w:rPr>
                <w:sz w:val="1"/>
                <w:szCs w:val="1"/>
                <w:color w:val="auto"/>
              </w:rPr>
            </w:pPr>
          </w:p>
        </w:tc>
      </w:tr>
      <w:tr>
        <w:trPr>
          <w:trHeight w:val="189"/>
        </w:trPr>
        <w:tc>
          <w:tcPr>
            <w:tcW w:w="940" w:type="dxa"/>
            <w:vAlign w:val="bottom"/>
          </w:tcPr>
          <w:p>
            <w:pPr>
              <w:ind w:left="160"/>
              <w:spacing w:after="0"/>
              <w:rPr>
                <w:sz w:val="20"/>
                <w:szCs w:val="20"/>
                <w:color w:val="auto"/>
              </w:rPr>
            </w:pPr>
            <w:r>
              <w:rPr>
                <w:rFonts w:ascii="Arial" w:cs="Arial" w:eastAsia="Arial" w:hAnsi="Arial"/>
                <w:sz w:val="16"/>
                <w:szCs w:val="16"/>
                <w:color w:val="auto"/>
              </w:rPr>
              <w:t>Other</w:t>
            </w:r>
          </w:p>
        </w:tc>
        <w:tc>
          <w:tcPr>
            <w:tcW w:w="600" w:type="dxa"/>
            <w:vAlign w:val="bottom"/>
          </w:tcPr>
          <w:p>
            <w:pPr>
              <w:ind w:left="160"/>
              <w:spacing w:after="0"/>
              <w:rPr>
                <w:sz w:val="20"/>
                <w:szCs w:val="20"/>
                <w:color w:val="auto"/>
              </w:rPr>
            </w:pPr>
            <w:r>
              <w:rPr>
                <w:rFonts w:ascii="Arial" w:cs="Arial" w:eastAsia="Arial" w:hAnsi="Arial"/>
                <w:sz w:val="16"/>
                <w:szCs w:val="16"/>
                <w:color w:val="auto"/>
              </w:rPr>
              <w:t>2021</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7,358,134</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3,246,014</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1,391,226</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4,023,392</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(640,566)</w:t>
            </w:r>
          </w:p>
        </w:tc>
        <w:tc>
          <w:tcPr>
            <w:tcW w:w="1540" w:type="dxa"/>
            <w:vAlign w:val="bottom"/>
          </w:tcPr>
          <w:p>
            <w:pPr>
              <w:jc w:val="right"/>
              <w:spacing w:after="0"/>
              <w:rPr>
                <w:sz w:val="20"/>
                <w:szCs w:val="20"/>
                <w:color w:val="auto"/>
              </w:rPr>
            </w:pPr>
            <w:r>
              <w:rPr>
                <w:rFonts w:ascii="Arial" w:cs="Arial" w:eastAsia="Arial" w:hAnsi="Arial"/>
                <w:sz w:val="16"/>
                <w:szCs w:val="16"/>
                <w:color w:val="auto"/>
              </w:rPr>
              <w:t>(234,199)</w:t>
            </w:r>
          </w:p>
        </w:tc>
        <w:tc>
          <w:tcPr>
            <w:tcW w:w="1460" w:type="dxa"/>
            <w:vAlign w:val="bottom"/>
          </w:tcPr>
          <w:p>
            <w:pPr>
              <w:jc w:val="right"/>
              <w:spacing w:after="0"/>
              <w:rPr>
                <w:sz w:val="20"/>
                <w:szCs w:val="20"/>
                <w:color w:val="auto"/>
              </w:rPr>
            </w:pPr>
            <w:r>
              <w:rPr>
                <w:rFonts w:ascii="Arial" w:cs="Arial" w:eastAsia="Arial" w:hAnsi="Arial"/>
                <w:sz w:val="16"/>
                <w:szCs w:val="16"/>
                <w:color w:val="auto"/>
              </w:rPr>
              <w:t>5,869,521</w:t>
            </w:r>
          </w:p>
        </w:tc>
        <w:tc>
          <w:tcPr>
            <w:tcW w:w="0" w:type="dxa"/>
            <w:vAlign w:val="bottom"/>
          </w:tcPr>
          <w:p>
            <w:pPr>
              <w:spacing w:after="0"/>
              <w:rPr>
                <w:sz w:val="1"/>
                <w:szCs w:val="1"/>
                <w:color w:val="auto"/>
              </w:rPr>
            </w:pPr>
          </w:p>
        </w:tc>
      </w:tr>
      <w:tr>
        <w:trPr>
          <w:trHeight w:val="187"/>
        </w:trPr>
        <w:tc>
          <w:tcPr>
            <w:tcW w:w="940" w:type="dxa"/>
            <w:vAlign w:val="bottom"/>
            <w:tcBorders>
              <w:bottom w:val="single" w:sz="8" w:color="0171B9"/>
            </w:tcBorders>
          </w:tcPr>
          <w:p>
            <w:pPr>
              <w:ind w:left="160"/>
              <w:spacing w:after="0"/>
              <w:rPr>
                <w:sz w:val="20"/>
                <w:szCs w:val="20"/>
                <w:color w:val="auto"/>
              </w:rPr>
            </w:pPr>
            <w:r>
              <w:rPr>
                <w:rFonts w:ascii="Arial" w:cs="Arial" w:eastAsia="Arial" w:hAnsi="Arial"/>
                <w:sz w:val="16"/>
                <w:szCs w:val="16"/>
                <w:color w:val="auto"/>
              </w:rPr>
              <w:t>NEOs</w:t>
            </w:r>
          </w:p>
        </w:tc>
        <w:tc>
          <w:tcPr>
            <w:tcW w:w="600" w:type="dxa"/>
            <w:vAlign w:val="bottom"/>
            <w:tcBorders>
              <w:bottom w:val="single" w:sz="8" w:color="0171B9"/>
            </w:tcBorders>
          </w:tcPr>
          <w:p>
            <w:pPr>
              <w:ind w:left="160"/>
              <w:spacing w:after="0"/>
              <w:rPr>
                <w:sz w:val="20"/>
                <w:szCs w:val="20"/>
                <w:color w:val="auto"/>
              </w:rPr>
            </w:pPr>
            <w:r>
              <w:rPr>
                <w:rFonts w:ascii="Arial" w:cs="Arial" w:eastAsia="Arial" w:hAnsi="Arial"/>
                <w:sz w:val="16"/>
                <w:szCs w:val="16"/>
                <w:color w:val="auto"/>
              </w:rPr>
              <w:t>2020</w:t>
            </w:r>
          </w:p>
        </w:tc>
        <w:tc>
          <w:tcPr>
            <w:tcW w:w="1120" w:type="dxa"/>
            <w:vAlign w:val="bottom"/>
            <w:tcBorders>
              <w:bottom w:val="single" w:sz="8" w:color="0171B9"/>
            </w:tcBorders>
          </w:tcPr>
          <w:p>
            <w:pPr>
              <w:jc w:val="right"/>
              <w:ind w:right="59"/>
              <w:spacing w:after="0"/>
              <w:rPr>
                <w:sz w:val="20"/>
                <w:szCs w:val="20"/>
                <w:color w:val="auto"/>
              </w:rPr>
            </w:pPr>
            <w:r>
              <w:rPr>
                <w:rFonts w:ascii="Arial" w:cs="Arial" w:eastAsia="Arial" w:hAnsi="Arial"/>
                <w:sz w:val="16"/>
                <w:szCs w:val="16"/>
                <w:color w:val="auto"/>
              </w:rPr>
              <w:t>6,736,942</w:t>
            </w:r>
          </w:p>
        </w:tc>
        <w:tc>
          <w:tcPr>
            <w:tcW w:w="1160" w:type="dxa"/>
            <w:vAlign w:val="bottom"/>
            <w:tcBorders>
              <w:bottom w:val="single" w:sz="8" w:color="0171B9"/>
            </w:tcBorders>
          </w:tcPr>
          <w:p>
            <w:pPr>
              <w:jc w:val="right"/>
              <w:ind w:right="79"/>
              <w:spacing w:after="0"/>
              <w:rPr>
                <w:sz w:val="20"/>
                <w:szCs w:val="20"/>
                <w:color w:val="auto"/>
              </w:rPr>
            </w:pPr>
            <w:r>
              <w:rPr>
                <w:rFonts w:ascii="Arial" w:cs="Arial" w:eastAsia="Arial" w:hAnsi="Arial"/>
                <w:sz w:val="16"/>
                <w:szCs w:val="16"/>
                <w:color w:val="auto"/>
              </w:rPr>
              <w:t>2,834,702</w:t>
            </w:r>
          </w:p>
        </w:tc>
        <w:tc>
          <w:tcPr>
            <w:tcW w:w="1080" w:type="dxa"/>
            <w:vAlign w:val="bottom"/>
            <w:tcBorders>
              <w:bottom w:val="single" w:sz="8" w:color="0171B9"/>
            </w:tcBorders>
          </w:tcPr>
          <w:p>
            <w:pPr>
              <w:jc w:val="right"/>
              <w:ind w:right="79"/>
              <w:spacing w:after="0"/>
              <w:rPr>
                <w:sz w:val="20"/>
                <w:szCs w:val="20"/>
                <w:color w:val="auto"/>
              </w:rPr>
            </w:pPr>
            <w:r>
              <w:rPr>
                <w:rFonts w:ascii="Arial" w:cs="Arial" w:eastAsia="Arial" w:hAnsi="Arial"/>
                <w:sz w:val="16"/>
                <w:szCs w:val="16"/>
                <w:color w:val="auto"/>
              </w:rPr>
              <w:t>1,214,968</w:t>
            </w:r>
          </w:p>
        </w:tc>
        <w:tc>
          <w:tcPr>
            <w:tcW w:w="1460" w:type="dxa"/>
            <w:vAlign w:val="bottom"/>
            <w:tcBorders>
              <w:bottom w:val="single" w:sz="8" w:color="0171B9"/>
            </w:tcBorders>
          </w:tcPr>
          <w:p>
            <w:pPr>
              <w:jc w:val="right"/>
              <w:ind w:right="99"/>
              <w:spacing w:after="0"/>
              <w:rPr>
                <w:sz w:val="20"/>
                <w:szCs w:val="20"/>
                <w:color w:val="auto"/>
              </w:rPr>
            </w:pPr>
            <w:r>
              <w:rPr>
                <w:rFonts w:ascii="Arial" w:cs="Arial" w:eastAsia="Arial" w:hAnsi="Arial"/>
                <w:sz w:val="16"/>
                <w:szCs w:val="16"/>
                <w:color w:val="auto"/>
              </w:rPr>
              <w:t>3,752,153</w:t>
            </w:r>
          </w:p>
        </w:tc>
        <w:tc>
          <w:tcPr>
            <w:tcW w:w="1660" w:type="dxa"/>
            <w:vAlign w:val="bottom"/>
            <w:tcBorders>
              <w:bottom w:val="single" w:sz="8" w:color="0171B9"/>
            </w:tcBorders>
          </w:tcPr>
          <w:p>
            <w:pPr>
              <w:jc w:val="right"/>
              <w:ind w:right="99"/>
              <w:spacing w:after="0"/>
              <w:rPr>
                <w:sz w:val="20"/>
                <w:szCs w:val="20"/>
                <w:color w:val="auto"/>
              </w:rPr>
            </w:pPr>
            <w:r>
              <w:rPr>
                <w:rFonts w:ascii="Arial" w:cs="Arial" w:eastAsia="Arial" w:hAnsi="Arial"/>
                <w:sz w:val="16"/>
                <w:szCs w:val="16"/>
                <w:color w:val="auto"/>
              </w:rPr>
              <w:t>(650,362)</w:t>
            </w:r>
          </w:p>
        </w:tc>
        <w:tc>
          <w:tcPr>
            <w:tcW w:w="1540" w:type="dxa"/>
            <w:vAlign w:val="bottom"/>
            <w:tcBorders>
              <w:bottom w:val="single" w:sz="8" w:color="0171B9"/>
            </w:tcBorders>
          </w:tcPr>
          <w:p>
            <w:pPr>
              <w:jc w:val="right"/>
              <w:spacing w:after="0"/>
              <w:rPr>
                <w:sz w:val="20"/>
                <w:szCs w:val="20"/>
                <w:color w:val="auto"/>
              </w:rPr>
            </w:pPr>
            <w:r>
              <w:rPr>
                <w:rFonts w:ascii="Arial" w:cs="Arial" w:eastAsia="Arial" w:hAnsi="Arial"/>
                <w:sz w:val="16"/>
                <w:szCs w:val="16"/>
                <w:color w:val="auto"/>
              </w:rPr>
              <w:t>(217,688)</w:t>
            </w:r>
          </w:p>
        </w:tc>
        <w:tc>
          <w:tcPr>
            <w:tcW w:w="1460" w:type="dxa"/>
            <w:vAlign w:val="bottom"/>
            <w:tcBorders>
              <w:bottom w:val="single" w:sz="8" w:color="0171B9"/>
            </w:tcBorders>
          </w:tcPr>
          <w:p>
            <w:pPr>
              <w:jc w:val="right"/>
              <w:spacing w:after="0"/>
              <w:rPr>
                <w:sz w:val="20"/>
                <w:szCs w:val="20"/>
                <w:color w:val="auto"/>
              </w:rPr>
            </w:pPr>
            <w:r>
              <w:rPr>
                <w:rFonts w:ascii="Arial" w:cs="Arial" w:eastAsia="Arial" w:hAnsi="Arial"/>
                <w:sz w:val="16"/>
                <w:szCs w:val="16"/>
                <w:color w:val="auto"/>
              </w:rPr>
              <w:t>5,571,375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-1859280</wp:posOffset>
            </wp:positionV>
            <wp:extent cx="426910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06" w:lineRule="exact"/>
        <w:rPr>
          <w:sz w:val="20"/>
          <w:szCs w:val="20"/>
          <w:color w:val="auto"/>
        </w:rPr>
      </w:pPr>
    </w:p>
    <w:p>
      <w:pPr>
        <w:jc w:val="both"/>
        <w:ind w:left="540" w:hanging="424"/>
        <w:spacing w:after="0" w:line="228" w:lineRule="auto"/>
        <w:tabs>
          <w:tab w:leader="none" w:pos="540" w:val="left"/>
        </w:tabs>
        <w:numPr>
          <w:ilvl w:val="0"/>
          <w:numId w:val="128"/>
        </w:numPr>
        <w:rPr>
          <w:rFonts w:ascii="Arial" w:cs="Arial" w:eastAsia="Arial" w:hAnsi="Arial"/>
          <w:sz w:val="18"/>
          <w:szCs w:val="18"/>
          <w:color w:val="auto"/>
          <w:vertAlign w:val="superscript"/>
        </w:rPr>
      </w:pPr>
      <w:r>
        <w:rPr>
          <w:rFonts w:ascii="Arial" w:cs="Arial" w:eastAsia="Arial" w:hAnsi="Arial"/>
          <w:sz w:val="14"/>
          <w:szCs w:val="14"/>
          <w:color w:val="auto"/>
        </w:rPr>
        <w:t>Stock option fair values are calculated at each measurement date using a Black-Scholes valuation model, consistent with the approach used to value the awards at the grant date. Stock option fair values as of each measurement date were determined using updated assumptions (the closing stock price of our Common Stock as of the measurement date, risk-free interest rate, expected life, expected volatility of the price of our Common Stock, and expected dividend yield) and fair value increases are primarily driven by an increase in the price of the Company’s Common Stock.</w:t>
      </w:r>
    </w:p>
    <w:p>
      <w:pPr>
        <w:spacing w:after="0" w:line="19" w:lineRule="exact"/>
        <w:rPr>
          <w:rFonts w:ascii="Arial" w:cs="Arial" w:eastAsia="Arial" w:hAnsi="Arial"/>
          <w:sz w:val="18"/>
          <w:szCs w:val="18"/>
          <w:color w:val="auto"/>
          <w:vertAlign w:val="superscript"/>
        </w:rPr>
      </w:pPr>
    </w:p>
    <w:p>
      <w:pPr>
        <w:jc w:val="both"/>
        <w:ind w:left="560" w:right="20"/>
        <w:spacing w:after="0" w:line="244" w:lineRule="auto"/>
        <w:rPr>
          <w:rFonts w:ascii="Arial" w:cs="Arial" w:eastAsia="Arial" w:hAnsi="Arial"/>
          <w:sz w:val="18"/>
          <w:szCs w:val="18"/>
          <w:color w:val="auto"/>
          <w:vertAlign w:val="superscript"/>
        </w:rPr>
      </w:pPr>
      <w:r>
        <w:rPr>
          <w:rFonts w:ascii="Arial" w:cs="Arial" w:eastAsia="Arial" w:hAnsi="Arial"/>
          <w:sz w:val="14"/>
          <w:szCs w:val="14"/>
          <w:color w:val="auto"/>
        </w:rPr>
        <w:t>Performance unit fair values are calculated using a payout simulation model, consistent with the approach used to value the awards at the grant date. Performance unit fair values as of each measurement date were determined using updated assumptions (risk-free interest rate, volatility of the price of our Common Stock, the closing price of our Common Stock on the measurement date, volatilities of the prices of the stocks of the Reference Group (as defined in footnote 3 to the “Grant of Plan-Based Awards” table in our Executive Compensation Tables), and the correlations of returns of our Common Stock and the stocks of the Reference Group to simulate total shareholder returns and their resulting impact on the payout percentages based on the contractual terms of the performance units) and fair value increases are primarily driven by an increase in the price of the Company’s Common Stock.</w:t>
      </w:r>
    </w:p>
    <w:p>
      <w:pPr>
        <w:sectPr>
          <w:pgSz w:w="11900" w:h="16838" w:orient="portrait"/>
          <w:cols w:equalWidth="0" w:num="1">
            <w:col w:w="11140"/>
          </w:cols>
          <w:pgMar w:left="320" w:top="486" w:right="439" w:bottom="1440" w:gutter="0" w:footer="0" w:header="0"/>
          <w:type w:val="continuous"/>
        </w:sectPr>
      </w:pPr>
    </w:p>
    <w:p>
      <w:pPr>
        <w:spacing w:after="0" w:line="117" w:lineRule="exact"/>
        <w:rPr>
          <w:sz w:val="20"/>
          <w:szCs w:val="20"/>
          <w:color w:val="auto"/>
        </w:r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205740</wp:posOffset>
            </wp:positionV>
            <wp:extent cx="1739900" cy="21463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739900" cy="214630"/>
                    </a:xfrm>
                    <a:prstGeom prst="rect">
                      <a:avLst/>
                    </a:prstGeom>
                    <a:noFill/>
                  </pic:spPr>
                </pic:pic>
              </a:graphicData>
            </a:graphic>
          </wp:anchor>
        </w:drawing>
      </w:r>
    </w:p>
    <w:p>
      <w:pPr>
        <w:spacing w:after="0" w:line="312" w:lineRule="exact"/>
        <w:rPr>
          <w:sz w:val="20"/>
          <w:szCs w:val="20"/>
          <w:color w:val="auto"/>
        </w:rPr>
      </w:pPr>
    </w:p>
    <w:p>
      <w:pPr>
        <w:ind w:left="8540"/>
        <w:spacing w:after="0"/>
        <w:rPr>
          <w:sz w:val="20"/>
          <w:szCs w:val="20"/>
          <w:color w:val="auto"/>
        </w:rPr>
      </w:pPr>
      <w:r>
        <w:rPr>
          <w:rFonts w:ascii="Arial" w:cs="Arial" w:eastAsia="Arial" w:hAnsi="Arial"/>
          <w:sz w:val="22"/>
          <w:szCs w:val="22"/>
          <w:b w:val="1"/>
          <w:bCs w:val="1"/>
          <w:color w:val="FFFFFF"/>
        </w:rPr>
        <w:t>Pay Versus Performance</w:t>
      </w:r>
    </w:p>
    <w:p>
      <w:pPr>
        <w:spacing w:after="0" w:line="378" w:lineRule="exact"/>
        <w:rPr>
          <w:sz w:val="20"/>
          <w:szCs w:val="20"/>
          <w:color w:val="auto"/>
        </w:rPr>
      </w:pPr>
    </w:p>
    <w:p>
      <w:pPr>
        <w:jc w:val="both"/>
        <w:ind w:left="540" w:right="20" w:hanging="424"/>
        <w:spacing w:after="0" w:line="220" w:lineRule="auto"/>
        <w:tabs>
          <w:tab w:leader="none" w:pos="540" w:val="left"/>
        </w:tabs>
        <w:numPr>
          <w:ilvl w:val="0"/>
          <w:numId w:val="129"/>
        </w:numPr>
        <w:rPr>
          <w:rFonts w:ascii="Arial" w:cs="Arial" w:eastAsia="Arial" w:hAnsi="Arial"/>
          <w:sz w:val="18"/>
          <w:szCs w:val="18"/>
          <w:color w:val="auto"/>
          <w:vertAlign w:val="superscript"/>
        </w:rPr>
      </w:pPr>
      <w:r>
        <w:rPr>
          <w:rFonts w:ascii="Arial" w:cs="Arial" w:eastAsia="Arial" w:hAnsi="Arial"/>
          <w:sz w:val="14"/>
          <w:szCs w:val="14"/>
          <w:color w:val="auto"/>
        </w:rPr>
        <w:t>Pursuant to the SEC rules, total shareholder return, or TSR, reflects an initial investment of $100 on December 31, 2019. All values assume reinvestment of the pretax value of dividends, are calculated as of December 31 of each year, and are weighted according to the respective issuers’ stock market capitalization at the beginning of each period for which a return is indicated.</w:t>
      </w:r>
    </w:p>
    <w:p>
      <w:pPr>
        <w:spacing w:after="0" w:line="1" w:lineRule="exact"/>
        <w:rPr>
          <w:rFonts w:ascii="Arial" w:cs="Arial" w:eastAsia="Arial" w:hAnsi="Arial"/>
          <w:sz w:val="18"/>
          <w:szCs w:val="18"/>
          <w:color w:val="auto"/>
          <w:vertAlign w:val="superscript"/>
        </w:rPr>
      </w:pPr>
    </w:p>
    <w:p>
      <w:pPr>
        <w:jc w:val="both"/>
        <w:ind w:left="540" w:hanging="424"/>
        <w:spacing w:after="0" w:line="230" w:lineRule="auto"/>
        <w:tabs>
          <w:tab w:leader="none" w:pos="540" w:val="left"/>
        </w:tabs>
        <w:numPr>
          <w:ilvl w:val="0"/>
          <w:numId w:val="129"/>
        </w:numPr>
        <w:rPr>
          <w:rFonts w:ascii="Arial" w:cs="Arial" w:eastAsia="Arial" w:hAnsi="Arial"/>
          <w:sz w:val="18"/>
          <w:szCs w:val="18"/>
          <w:color w:val="auto"/>
          <w:vertAlign w:val="superscript"/>
        </w:rPr>
      </w:pPr>
      <w:r>
        <w:rPr>
          <w:rFonts w:ascii="Arial" w:cs="Arial" w:eastAsia="Arial" w:hAnsi="Arial"/>
          <w:sz w:val="14"/>
          <w:szCs w:val="14"/>
          <w:color w:val="auto"/>
        </w:rPr>
        <w:t>The peer group for each listed fiscal year consists of the companies listed as our executive compensation benchmarking peer group in the Compensation Discussion and Analysis specific for that year. For 2020, the companies included: Allergan plc (until July 2020); Abbvie, Inc.; AstraZeneca plc; Biogen Inc.; Bristol Myers Squibb Company; Celgene Corporation (until July 2020); Eli Lilly and Company; Gilead Sciences, Inc.; GlaxoSmithKline plc.; Johnson &amp; Johnson; Merck &amp; Co., Inc.; Novartis AG; Pfizer Inc.; Regeneron Pharmaceuticals, Inc.; Roche Holding AG; and Sanofi S.A.. For 2021 and 2022, the peer group included: Abbvie, Inc.; AstraZeneca plc; Biogen Inc.; Bristol Myers Squibb Company; Eli Lilly and Company; Gilead Sciences, Inc.; GlaxoSmithKline plc.; Johnson &amp; Johnson; Merck &amp; Co., Inc.; Novartis AG; Pfizer Inc.; Regeneron Pharmaceuticals, Inc.; Roche Holding AG; and Sanofi S.A.</w:t>
      </w:r>
    </w:p>
    <w:p>
      <w:pPr>
        <w:spacing w:after="0" w:line="2" w:lineRule="exact"/>
        <w:rPr>
          <w:rFonts w:ascii="Arial" w:cs="Arial" w:eastAsia="Arial" w:hAnsi="Arial"/>
          <w:sz w:val="18"/>
          <w:szCs w:val="18"/>
          <w:color w:val="auto"/>
          <w:vertAlign w:val="superscript"/>
        </w:rPr>
      </w:pPr>
    </w:p>
    <w:p>
      <w:pPr>
        <w:ind w:left="540" w:hanging="424"/>
        <w:spacing w:after="0" w:line="217" w:lineRule="auto"/>
        <w:tabs>
          <w:tab w:leader="none" w:pos="540" w:val="left"/>
        </w:tabs>
        <w:numPr>
          <w:ilvl w:val="0"/>
          <w:numId w:val="129"/>
        </w:numPr>
        <w:rPr>
          <w:rFonts w:ascii="Arial" w:cs="Arial" w:eastAsia="Arial" w:hAnsi="Arial"/>
          <w:sz w:val="18"/>
          <w:szCs w:val="18"/>
          <w:color w:val="auto"/>
          <w:vertAlign w:val="superscript"/>
        </w:rPr>
      </w:pPr>
      <w:r>
        <w:rPr>
          <w:rFonts w:ascii="Arial" w:cs="Arial" w:eastAsia="Arial" w:hAnsi="Arial"/>
          <w:sz w:val="14"/>
          <w:szCs w:val="14"/>
          <w:color w:val="auto"/>
        </w:rPr>
        <w:t xml:space="preserve">Non-Generally Accepted Accounting Principles, or non-GAAP, earnings per share for purposes of the Company selected measure is reported and reconciled in </w:t>
      </w:r>
      <w:r>
        <w:rPr>
          <w:rFonts w:ascii="Arial" w:cs="Arial" w:eastAsia="Arial" w:hAnsi="Arial"/>
          <w:sz w:val="14"/>
          <w:szCs w:val="14"/>
          <w:b w:val="1"/>
          <w:bCs w:val="1"/>
          <w:color w:val="auto"/>
        </w:rPr>
        <w:t>Appendix B</w:t>
      </w:r>
      <w:r>
        <w:rPr>
          <w:rFonts w:ascii="Arial" w:cs="Arial" w:eastAsia="Arial" w:hAnsi="Arial"/>
          <w:sz w:val="14"/>
          <w:szCs w:val="14"/>
          <w:color w:val="auto"/>
        </w:rPr>
        <w:t>.</w:t>
      </w:r>
    </w:p>
    <w:p>
      <w:pPr>
        <w:spacing w:after="0" w:line="8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As the valuation methods for “compensation actually paid” required by the SEC differ from those required in the SCT, the graph below depicts a reconciliation of SCT amounts to the CAP amount in the Pay Versus Performance table for Mr. Bradway for fiscal 2022 derived from the Summary Compensation Table to the Compensation Actually Paid Reconciliation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149225</wp:posOffset>
            </wp:positionV>
            <wp:extent cx="5194935" cy="22631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19493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171B9"/>
        </w:rPr>
        <w:t>2022 Performance Measures</w:t>
      </w:r>
    </w:p>
    <w:p>
      <w:pPr>
        <w:spacing w:after="0" w:line="115"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Pursuant to Item 402(v) of Regulation S-K, the Compensation Committee identified the following financial and non-financial performance measures used in our long-term and annual incentive programs as representing the most important performance measures used to link “compensation actually paid” in 2022 to the Company’s performance.</w:t>
      </w:r>
    </w:p>
    <w:p>
      <w:pPr>
        <w:spacing w:after="0" w:line="215" w:lineRule="exact"/>
        <w:rPr>
          <w:sz w:val="20"/>
          <w:szCs w:val="20"/>
          <w:color w:val="auto"/>
        </w:rPr>
      </w:pPr>
    </w:p>
    <w:tbl>
      <w:tblPr>
        <w:tblLayout w:type="fixed"/>
        <w:tblInd w:w="130" w:type="dxa"/>
        <w:tblCellMar>
          <w:top w:w="0" w:type="dxa"/>
          <w:left w:w="0" w:type="dxa"/>
          <w:bottom w:w="0" w:type="dxa"/>
          <w:right w:w="0" w:type="dxa"/>
        </w:tblCellMar>
      </w:tblPr>
      <w:tr>
        <w:trPr>
          <w:trHeight w:val="196"/>
        </w:trPr>
        <w:tc>
          <w:tcPr>
            <w:tcW w:w="5400" w:type="dxa"/>
            <w:vAlign w:val="bottom"/>
            <w:tcBorders>
              <w:top w:val="single" w:sz="8" w:color="0171B9"/>
              <w:left w:val="single" w:sz="8" w:color="0171B9"/>
            </w:tcBorders>
            <w:shd w:val="clear" w:color="auto" w:fill="CCE2F1"/>
          </w:tcPr>
          <w:p>
            <w:pPr>
              <w:ind w:left="22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Non-GAAP earnings per share (EPS)</w:t>
            </w:r>
          </w:p>
        </w:tc>
        <w:tc>
          <w:tcPr>
            <w:tcW w:w="5640" w:type="dxa"/>
            <w:vAlign w:val="bottom"/>
            <w:tcBorders>
              <w:top w:val="single" w:sz="8" w:color="0171B9"/>
              <w:right w:val="single" w:sz="8" w:color="0171B9"/>
            </w:tcBorders>
            <w:shd w:val="clear" w:color="auto" w:fill="CCE2F1"/>
          </w:tcPr>
          <w:p>
            <w:pPr>
              <w:ind w:left="34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Non-GAAP net income</w:t>
            </w:r>
          </w:p>
        </w:tc>
      </w:tr>
      <w:tr>
        <w:trPr>
          <w:trHeight w:val="189"/>
        </w:trPr>
        <w:tc>
          <w:tcPr>
            <w:tcW w:w="5400" w:type="dxa"/>
            <w:vAlign w:val="bottom"/>
            <w:tcBorders>
              <w:left w:val="single" w:sz="8" w:color="0171B9"/>
            </w:tcBorders>
            <w:shd w:val="clear" w:color="auto" w:fill="CCE2F1"/>
          </w:tcPr>
          <w:p>
            <w:pPr>
              <w:ind w:left="220"/>
              <w:spacing w:after="0" w:line="189" w:lineRule="exact"/>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Non-GAAP return on invested capital (ROIC)</w:t>
            </w:r>
          </w:p>
        </w:tc>
        <w:tc>
          <w:tcPr>
            <w:tcW w:w="5640" w:type="dxa"/>
            <w:vAlign w:val="bottom"/>
            <w:tcBorders>
              <w:right w:val="single" w:sz="8" w:color="0171B9"/>
            </w:tcBorders>
            <w:shd w:val="clear" w:color="auto" w:fill="CCE2F1"/>
          </w:tcPr>
          <w:p>
            <w:pPr>
              <w:ind w:left="340"/>
              <w:spacing w:after="0" w:line="189" w:lineRule="exact"/>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Pipeline, clinical study, and regulatory goals</w:t>
            </w:r>
          </w:p>
        </w:tc>
      </w:tr>
      <w:tr>
        <w:trPr>
          <w:trHeight w:val="189"/>
        </w:trPr>
        <w:tc>
          <w:tcPr>
            <w:tcW w:w="5400" w:type="dxa"/>
            <w:vAlign w:val="bottom"/>
            <w:tcBorders>
              <w:left w:val="single" w:sz="8" w:color="0171B9"/>
            </w:tcBorders>
            <w:shd w:val="clear" w:color="auto" w:fill="CCE2F1"/>
          </w:tcPr>
          <w:p>
            <w:pPr>
              <w:ind w:left="220"/>
              <w:spacing w:after="0" w:line="189" w:lineRule="exact"/>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Total shareholder return (TSR) relative to that of the S&amp;P 500</w:t>
            </w:r>
          </w:p>
        </w:tc>
        <w:tc>
          <w:tcPr>
            <w:tcW w:w="5640" w:type="dxa"/>
            <w:vAlign w:val="bottom"/>
            <w:tcBorders>
              <w:right w:val="single" w:sz="8" w:color="0171B9"/>
            </w:tcBorders>
            <w:shd w:val="clear" w:color="auto" w:fill="CCE2F1"/>
          </w:tcPr>
          <w:p>
            <w:pPr>
              <w:ind w:left="340"/>
              <w:spacing w:after="0" w:line="189" w:lineRule="exact"/>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Environmental, social, and governance goals</w:t>
            </w:r>
          </w:p>
        </w:tc>
      </w:tr>
      <w:tr>
        <w:trPr>
          <w:trHeight w:val="205"/>
        </w:trPr>
        <w:tc>
          <w:tcPr>
            <w:tcW w:w="5400" w:type="dxa"/>
            <w:vAlign w:val="bottom"/>
            <w:tcBorders>
              <w:left w:val="single" w:sz="8" w:color="0171B9"/>
            </w:tcBorders>
            <w:shd w:val="clear" w:color="auto" w:fill="CCE2F1"/>
          </w:tcPr>
          <w:p>
            <w:pPr>
              <w:ind w:left="220"/>
              <w:spacing w:after="0"/>
              <w:rPr>
                <w:sz w:val="20"/>
                <w:szCs w:val="20"/>
                <w:color w:val="auto"/>
              </w:rPr>
            </w:pPr>
            <w:r>
              <w:rPr>
                <w:rFonts w:ascii="Arial" w:cs="Arial" w:eastAsia="Arial" w:hAnsi="Arial"/>
                <w:sz w:val="17"/>
                <w:szCs w:val="17"/>
                <w:color w:val="0171B9"/>
              </w:rPr>
              <w:t>•</w:t>
            </w:r>
            <w:r>
              <w:rPr>
                <w:rFonts w:ascii="Arial" w:cs="Arial" w:eastAsia="Arial" w:hAnsi="Arial"/>
                <w:sz w:val="17"/>
                <w:szCs w:val="17"/>
                <w:color w:val="000000"/>
              </w:rPr>
              <w:t xml:space="preserve">    Revenues</w:t>
            </w:r>
          </w:p>
        </w:tc>
        <w:tc>
          <w:tcPr>
            <w:tcW w:w="5640" w:type="dxa"/>
            <w:vAlign w:val="bottom"/>
            <w:tcBorders>
              <w:right w:val="single" w:sz="8" w:color="0171B9"/>
            </w:tcBorders>
            <w:shd w:val="clear" w:color="auto" w:fill="CCE2F1"/>
          </w:tcPr>
          <w:p>
            <w:pPr>
              <w:spacing w:after="0"/>
              <w:rPr>
                <w:sz w:val="17"/>
                <w:szCs w:val="17"/>
                <w:color w:val="auto"/>
              </w:rPr>
            </w:pPr>
          </w:p>
        </w:tc>
      </w:tr>
      <w:tr>
        <w:trPr>
          <w:trHeight w:val="125"/>
        </w:trPr>
        <w:tc>
          <w:tcPr>
            <w:tcW w:w="5400" w:type="dxa"/>
            <w:vAlign w:val="bottom"/>
            <w:tcBorders>
              <w:left w:val="single" w:sz="8" w:color="0171B9"/>
              <w:bottom w:val="single" w:sz="8" w:color="0171B9"/>
            </w:tcBorders>
            <w:shd w:val="clear" w:color="auto" w:fill="CCE2F1"/>
          </w:tcPr>
          <w:p>
            <w:pPr>
              <w:spacing w:after="0"/>
              <w:rPr>
                <w:sz w:val="10"/>
                <w:szCs w:val="10"/>
                <w:color w:val="auto"/>
              </w:rPr>
            </w:pPr>
          </w:p>
        </w:tc>
        <w:tc>
          <w:tcPr>
            <w:tcW w:w="5640" w:type="dxa"/>
            <w:vAlign w:val="bottom"/>
            <w:tcBorders>
              <w:bottom w:val="single" w:sz="8" w:color="0171B9"/>
              <w:right w:val="single" w:sz="8" w:color="0171B9"/>
            </w:tcBorders>
            <w:shd w:val="clear" w:color="auto" w:fill="CCE2F1"/>
          </w:tcPr>
          <w:p>
            <w:pPr>
              <w:spacing w:after="0"/>
              <w:rPr>
                <w:sz w:val="10"/>
                <w:szCs w:val="10"/>
                <w:color w:val="auto"/>
              </w:rPr>
            </w:pPr>
          </w:p>
        </w:tc>
      </w:tr>
    </w:tbl>
    <w:p>
      <w:pPr>
        <w:spacing w:after="0" w:line="210" w:lineRule="exact"/>
        <w:rPr>
          <w:sz w:val="20"/>
          <w:szCs w:val="20"/>
          <w:color w:val="auto"/>
        </w:rPr>
      </w:pPr>
    </w:p>
    <w:p>
      <w:pPr>
        <w:jc w:val="both"/>
        <w:ind w:left="120" w:right="20"/>
        <w:spacing w:after="0" w:line="243" w:lineRule="auto"/>
        <w:rPr>
          <w:sz w:val="20"/>
          <w:szCs w:val="20"/>
          <w:color w:val="auto"/>
        </w:rPr>
      </w:pPr>
      <w:r>
        <w:rPr>
          <w:rFonts w:ascii="Arial" w:cs="Arial" w:eastAsia="Arial" w:hAnsi="Arial"/>
          <w:sz w:val="17"/>
          <w:szCs w:val="17"/>
          <w:color w:val="auto"/>
        </w:rPr>
        <w:t>For a description of these measures and their application to our compensation programs for 2022, please see our Compensation Discussion and Analysis.</w:t>
      </w:r>
    </w:p>
    <w:p>
      <w:pPr>
        <w:spacing w:after="0" w:line="120"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90</w:t>
      </w:r>
      <w:r>
        <w:rPr>
          <w:sz w:val="20"/>
          <w:szCs w:val="20"/>
          <w:color w:val="auto"/>
        </w:rPr>
        <w:tab/>
      </w:r>
      <w:r>
        <w:rPr>
          <w:sz w:val="1"/>
          <w:szCs w:val="1"/>
          <w:color w:val="auto"/>
        </w:rPr>
        <w:drawing>
          <wp:inline distT="0" distB="0" distL="0" distR="0">
            <wp:extent cx="582930" cy="137160"/>
            <wp:effectExtent l="0" t="0" r="0" b="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205740</wp:posOffset>
            </wp:positionV>
            <wp:extent cx="1739900" cy="21463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739900" cy="214630"/>
                    </a:xfrm>
                    <a:prstGeom prst="rect">
                      <a:avLst/>
                    </a:prstGeom>
                    <a:noFill/>
                  </pic:spPr>
                </pic:pic>
              </a:graphicData>
            </a:graphic>
          </wp:anchor>
        </w:drawing>
      </w:r>
    </w:p>
    <w:p>
      <w:pPr>
        <w:spacing w:after="0" w:line="312" w:lineRule="exact"/>
        <w:rPr>
          <w:sz w:val="20"/>
          <w:szCs w:val="20"/>
          <w:color w:val="auto"/>
        </w:rPr>
      </w:pPr>
    </w:p>
    <w:p>
      <w:pPr>
        <w:ind w:left="8540"/>
        <w:spacing w:after="0"/>
        <w:rPr>
          <w:sz w:val="20"/>
          <w:szCs w:val="20"/>
          <w:color w:val="auto"/>
        </w:rPr>
      </w:pPr>
      <w:r>
        <w:rPr>
          <w:rFonts w:ascii="Arial" w:cs="Arial" w:eastAsia="Arial" w:hAnsi="Arial"/>
          <w:sz w:val="22"/>
          <w:szCs w:val="22"/>
          <w:b w:val="1"/>
          <w:bCs w:val="1"/>
          <w:color w:val="FFFFFF"/>
        </w:rPr>
        <w:t>Pay Versus Performance</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171B9"/>
        </w:rPr>
        <w:t>Compensation Actually Paid and Performance Measures</w:t>
      </w:r>
    </w:p>
    <w:p>
      <w:pPr>
        <w:spacing w:after="0" w:line="11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following charts depict, as required by Item 402(v), the “compensation actually paid” for our CEO and the other NEOs versus: (1) our TSR and that of our executive compensation peer group; (2) GAAP net income; and (3) non-GAAP EPS.</w:t>
      </w:r>
      <w:r>
        <w:rPr>
          <w:rFonts w:ascii="Arial" w:cs="Arial" w:eastAsia="Arial" w:hAnsi="Arial"/>
          <w:sz w:val="21"/>
          <w:szCs w:val="21"/>
          <w:color w:val="auto"/>
          <w:vertAlign w:val="superscript"/>
        </w:rPr>
        <w:t>(1)</w:t>
      </w:r>
    </w:p>
    <w:p>
      <w:pPr>
        <w:spacing w:after="0" w:line="169" w:lineRule="exact"/>
        <w:rPr>
          <w:sz w:val="20"/>
          <w:szCs w:val="20"/>
          <w:color w:val="auto"/>
        </w:rPr>
      </w:pPr>
    </w:p>
    <w:p>
      <w:pPr>
        <w:ind w:left="320"/>
        <w:spacing w:after="0"/>
        <w:tabs>
          <w:tab w:leader="none" w:pos="5940" w:val="left"/>
        </w:tabs>
        <w:rPr>
          <w:sz w:val="20"/>
          <w:szCs w:val="20"/>
          <w:color w:val="auto"/>
        </w:rPr>
      </w:pPr>
      <w:r>
        <w:rPr>
          <w:rFonts w:ascii="Arial" w:cs="Arial" w:eastAsia="Arial" w:hAnsi="Arial"/>
          <w:sz w:val="18"/>
          <w:szCs w:val="18"/>
          <w:b w:val="1"/>
          <w:bCs w:val="1"/>
          <w:color w:val="0171B9"/>
        </w:rPr>
        <w:t>(1)</w:t>
      </w:r>
      <w:r>
        <w:rPr>
          <w:sz w:val="20"/>
          <w:szCs w:val="20"/>
          <w:color w:val="auto"/>
        </w:rPr>
        <w:tab/>
      </w:r>
      <w:r>
        <w:rPr>
          <w:rFonts w:ascii="Arial" w:cs="Arial" w:eastAsia="Arial" w:hAnsi="Arial"/>
          <w:sz w:val="18"/>
          <w:szCs w:val="18"/>
          <w:b w:val="1"/>
          <w:bCs w:val="1"/>
          <w:color w:val="0171B9"/>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-116205</wp:posOffset>
            </wp:positionV>
            <wp:extent cx="5991860" cy="15176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991860"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0260"/>
        <w:spacing w:after="0"/>
        <w:rPr>
          <w:sz w:val="20"/>
          <w:szCs w:val="20"/>
          <w:color w:val="auto"/>
        </w:rPr>
      </w:pPr>
      <w:r>
        <w:rPr>
          <w:rFonts w:ascii="Arial" w:cs="Arial" w:eastAsia="Arial" w:hAnsi="Arial"/>
          <w:sz w:val="18"/>
          <w:szCs w:val="18"/>
          <w:b w:val="1"/>
          <w:bCs w:val="1"/>
          <w:color w:val="0171B9"/>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1734820</wp:posOffset>
            </wp:positionV>
            <wp:extent cx="77152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-116205</wp:posOffset>
            </wp:positionV>
            <wp:extent cx="2408555" cy="15176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40855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40" w:hanging="424"/>
        <w:spacing w:after="0"/>
        <w:tabs>
          <w:tab w:leader="none" w:pos="540" w:val="left"/>
        </w:tabs>
        <w:numPr>
          <w:ilvl w:val="0"/>
          <w:numId w:val="130"/>
        </w:numPr>
        <w:rPr>
          <w:rFonts w:ascii="Arial" w:cs="Arial" w:eastAsia="Arial" w:hAnsi="Arial"/>
          <w:sz w:val="18"/>
          <w:szCs w:val="18"/>
          <w:color w:val="auto"/>
          <w:vertAlign w:val="superscript"/>
        </w:rPr>
      </w:pPr>
      <w:r>
        <w:rPr>
          <w:rFonts w:ascii="Arial" w:cs="Arial" w:eastAsia="Arial" w:hAnsi="Arial"/>
          <w:sz w:val="14"/>
          <w:szCs w:val="14"/>
          <w:color w:val="auto"/>
        </w:rPr>
        <w:t xml:space="preserve">Non-GAAP earnings per share for purposes of the Company selected measure is reported and reconciled in </w:t>
      </w:r>
      <w:r>
        <w:rPr>
          <w:rFonts w:ascii="Arial" w:cs="Arial" w:eastAsia="Arial" w:hAnsi="Arial"/>
          <w:sz w:val="14"/>
          <w:szCs w:val="14"/>
          <w:b w:val="1"/>
          <w:bCs w:val="1"/>
          <w:color w:val="auto"/>
        </w:rPr>
        <w:t>Appendix B</w:t>
      </w:r>
      <w:r>
        <w:rPr>
          <w:rFonts w:ascii="Arial" w:cs="Arial" w:eastAsia="Arial" w:hAnsi="Arial"/>
          <w:sz w:val="14"/>
          <w:szCs w:val="14"/>
          <w:color w:val="auto"/>
        </w:rPr>
        <w:t>.</w:t>
      </w:r>
    </w:p>
    <w:p>
      <w:pPr>
        <w:spacing w:after="0" w:line="117"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205740</wp:posOffset>
            </wp:positionV>
            <wp:extent cx="1645920" cy="21463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645920" cy="214630"/>
                    </a:xfrm>
                    <a:prstGeom prst="rect">
                      <a:avLst/>
                    </a:prstGeom>
                    <a:noFill/>
                  </pic:spPr>
                </pic:pic>
              </a:graphicData>
            </a:graphic>
          </wp:anchor>
        </w:drawing>
      </w: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rPr>
        <w:t>Director Compensation</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Director Compensation</w:t>
      </w:r>
    </w:p>
    <w:p>
      <w:pPr>
        <w:sectPr>
          <w:pgSz w:w="11900" w:h="16838" w:orient="portrait"/>
          <w:cols w:equalWidth="0" w:num="1">
            <w:col w:w="11140"/>
          </w:cols>
          <w:pgMar w:left="320" w:top="486" w:right="439" w:bottom="1440" w:gutter="0" w:footer="0" w:header="0"/>
        </w:sectPr>
      </w:pPr>
    </w:p>
    <w:p>
      <w:pPr>
        <w:spacing w:after="0" w:line="212"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The compensation program for our non-employee directors is intended to be competitive and fair so that we can attract the best talent to our Board of Directors, or Board, and recognize the time and effort required of a director given the size and complexity of our operations. In addition to cash compensation, we provide equity grants and have stock</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ownership guidelines to align the directors’ interests with our stockholders’ interests and to focus on our long-term growth and success. Directors who are our employees are not paid any fees for serving on our Board or for attending Board meetings.</w:t>
      </w:r>
    </w:p>
    <w:p>
      <w:pPr>
        <w:spacing w:after="0" w:line="579"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2022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560" w:type="dxa"/>
            <w:vAlign w:val="bottom"/>
            <w:shd w:val="clear" w:color="auto" w:fill="0171B9"/>
          </w:tcPr>
          <w:p>
            <w:pPr>
              <w:spacing w:after="0"/>
              <w:rPr>
                <w:sz w:val="20"/>
                <w:szCs w:val="20"/>
                <w:color w:val="auto"/>
              </w:rPr>
            </w:pPr>
          </w:p>
        </w:tc>
        <w:tc>
          <w:tcPr>
            <w:tcW w:w="1300" w:type="dxa"/>
            <w:vAlign w:val="bottom"/>
            <w:shd w:val="clear" w:color="auto" w:fill="0171B9"/>
          </w:tcPr>
          <w:p>
            <w:pPr>
              <w:spacing w:after="0"/>
              <w:rPr>
                <w:sz w:val="20"/>
                <w:szCs w:val="20"/>
                <w:color w:val="auto"/>
              </w:rPr>
            </w:pPr>
          </w:p>
        </w:tc>
        <w:tc>
          <w:tcPr>
            <w:tcW w:w="2160" w:type="dxa"/>
            <w:vAlign w:val="bottom"/>
            <w:shd w:val="clear" w:color="auto" w:fill="0171B9"/>
          </w:tcPr>
          <w:p>
            <w:pPr>
              <w:jc w:val="right"/>
              <w:spacing w:after="0"/>
              <w:rPr>
                <w:sz w:val="20"/>
                <w:szCs w:val="20"/>
                <w:color w:val="auto"/>
              </w:rPr>
            </w:pPr>
            <w:r>
              <w:rPr>
                <w:rFonts w:ascii="Arial" w:cs="Arial" w:eastAsia="Arial" w:hAnsi="Arial"/>
                <w:sz w:val="16"/>
                <w:szCs w:val="16"/>
                <w:b w:val="1"/>
                <w:bCs w:val="1"/>
                <w:color w:val="FFFFFF"/>
              </w:rPr>
              <w:t>Annual Equity Awards</w:t>
            </w:r>
          </w:p>
        </w:tc>
      </w:tr>
      <w:tr>
        <w:trPr>
          <w:trHeight w:val="189"/>
        </w:trPr>
        <w:tc>
          <w:tcPr>
            <w:tcW w:w="7560" w:type="dxa"/>
            <w:vAlign w:val="bottom"/>
            <w:shd w:val="clear" w:color="auto" w:fill="0171B9"/>
          </w:tcPr>
          <w:p>
            <w:pPr>
              <w:spacing w:after="0"/>
              <w:rPr>
                <w:sz w:val="16"/>
                <w:szCs w:val="16"/>
                <w:color w:val="auto"/>
              </w:rPr>
            </w:pPr>
          </w:p>
        </w:tc>
        <w:tc>
          <w:tcPr>
            <w:tcW w:w="1300" w:type="dxa"/>
            <w:vAlign w:val="bottom"/>
            <w:shd w:val="clear" w:color="auto" w:fill="0171B9"/>
          </w:tcPr>
          <w:p>
            <w:pPr>
              <w:jc w:val="right"/>
              <w:ind w:right="119"/>
              <w:spacing w:after="0"/>
              <w:rPr>
                <w:sz w:val="20"/>
                <w:szCs w:val="20"/>
                <w:color w:val="auto"/>
              </w:rPr>
            </w:pPr>
            <w:r>
              <w:rPr>
                <w:rFonts w:ascii="Arial" w:cs="Arial" w:eastAsia="Arial" w:hAnsi="Arial"/>
                <w:sz w:val="16"/>
                <w:szCs w:val="16"/>
                <w:b w:val="1"/>
                <w:bCs w:val="1"/>
                <w:color w:val="FFFFFF"/>
              </w:rPr>
              <w:t>Annual Cash</w:t>
            </w:r>
          </w:p>
        </w:tc>
        <w:tc>
          <w:tcPr>
            <w:tcW w:w="2160" w:type="dxa"/>
            <w:vAlign w:val="bottom"/>
            <w:shd w:val="clear" w:color="auto" w:fill="0171B9"/>
          </w:tcPr>
          <w:p>
            <w:pPr>
              <w:jc w:val="right"/>
              <w:spacing w:after="0"/>
              <w:rPr>
                <w:sz w:val="20"/>
                <w:szCs w:val="20"/>
                <w:color w:val="auto"/>
              </w:rPr>
            </w:pPr>
            <w:r>
              <w:rPr>
                <w:rFonts w:ascii="Arial" w:cs="Arial" w:eastAsia="Arial" w:hAnsi="Arial"/>
                <w:sz w:val="16"/>
                <w:szCs w:val="16"/>
                <w:b w:val="1"/>
                <w:bCs w:val="1"/>
                <w:color w:val="FFFFFF"/>
              </w:rPr>
              <w:t>(Restricted Stock Units</w:t>
            </w:r>
          </w:p>
        </w:tc>
      </w:tr>
      <w:tr>
        <w:trPr>
          <w:trHeight w:val="189"/>
        </w:trPr>
        <w:tc>
          <w:tcPr>
            <w:tcW w:w="7560" w:type="dxa"/>
            <w:vAlign w:val="bottom"/>
            <w:shd w:val="clear" w:color="auto" w:fill="0171B9"/>
          </w:tcPr>
          <w:p>
            <w:pPr>
              <w:spacing w:after="0"/>
              <w:rPr>
                <w:sz w:val="16"/>
                <w:szCs w:val="16"/>
                <w:color w:val="auto"/>
              </w:rPr>
            </w:pPr>
          </w:p>
        </w:tc>
        <w:tc>
          <w:tcPr>
            <w:tcW w:w="1300" w:type="dxa"/>
            <w:vAlign w:val="bottom"/>
            <w:shd w:val="clear" w:color="auto" w:fill="0171B9"/>
          </w:tcPr>
          <w:p>
            <w:pPr>
              <w:jc w:val="right"/>
              <w:ind w:right="119"/>
              <w:spacing w:after="0"/>
              <w:rPr>
                <w:sz w:val="20"/>
                <w:szCs w:val="20"/>
                <w:color w:val="auto"/>
              </w:rPr>
            </w:pPr>
            <w:r>
              <w:rPr>
                <w:rFonts w:ascii="Arial" w:cs="Arial" w:eastAsia="Arial" w:hAnsi="Arial"/>
                <w:sz w:val="16"/>
                <w:szCs w:val="16"/>
                <w:b w:val="1"/>
                <w:bCs w:val="1"/>
                <w:color w:val="FFFFFF"/>
              </w:rPr>
              <w:t>Retainer</w:t>
            </w:r>
          </w:p>
        </w:tc>
        <w:tc>
          <w:tcPr>
            <w:tcW w:w="2160" w:type="dxa"/>
            <w:vAlign w:val="bottom"/>
            <w:shd w:val="clear" w:color="auto" w:fill="0171B9"/>
          </w:tcPr>
          <w:p>
            <w:pPr>
              <w:jc w:val="right"/>
              <w:spacing w:after="0"/>
              <w:rPr>
                <w:sz w:val="20"/>
                <w:szCs w:val="20"/>
                <w:color w:val="auto"/>
              </w:rPr>
            </w:pPr>
            <w:r>
              <w:rPr>
                <w:rFonts w:ascii="Arial" w:cs="Arial" w:eastAsia="Arial" w:hAnsi="Arial"/>
                <w:sz w:val="16"/>
                <w:szCs w:val="16"/>
                <w:b w:val="1"/>
                <w:bCs w:val="1"/>
                <w:color w:val="FFFFFF"/>
              </w:rPr>
              <w:t>Grant Date Market Value)</w:t>
            </w:r>
          </w:p>
        </w:tc>
      </w:tr>
      <w:tr>
        <w:trPr>
          <w:trHeight w:val="268"/>
        </w:trPr>
        <w:tc>
          <w:tcPr>
            <w:tcW w:w="7560" w:type="dxa"/>
            <w:vAlign w:val="bottom"/>
            <w:tcBorders>
              <w:bottom w:val="single" w:sz="8" w:color="0171B9"/>
            </w:tcBorders>
            <w:shd w:val="clear" w:color="auto" w:fill="0171B9"/>
          </w:tcPr>
          <w:p>
            <w:pPr>
              <w:ind w:left="80"/>
              <w:spacing w:after="0"/>
              <w:rPr>
                <w:sz w:val="20"/>
                <w:szCs w:val="20"/>
                <w:color w:val="auto"/>
              </w:rPr>
            </w:pPr>
            <w:r>
              <w:rPr>
                <w:rFonts w:ascii="Arial" w:cs="Arial" w:eastAsia="Arial" w:hAnsi="Arial"/>
                <w:sz w:val="16"/>
                <w:szCs w:val="16"/>
                <w:b w:val="1"/>
                <w:bCs w:val="1"/>
                <w:color w:val="FFFFFF"/>
              </w:rPr>
              <w:t>Position</w:t>
            </w:r>
          </w:p>
        </w:tc>
        <w:tc>
          <w:tcPr>
            <w:tcW w:w="1300" w:type="dxa"/>
            <w:vAlign w:val="bottom"/>
            <w:tcBorders>
              <w:bottom w:val="single" w:sz="8" w:color="0171B9"/>
            </w:tcBorders>
            <w:shd w:val="clear" w:color="auto" w:fill="0171B9"/>
          </w:tcPr>
          <w:p>
            <w:pPr>
              <w:jc w:val="right"/>
              <w:ind w:right="119"/>
              <w:spacing w:after="0"/>
              <w:rPr>
                <w:sz w:val="20"/>
                <w:szCs w:val="20"/>
                <w:color w:val="auto"/>
              </w:rPr>
            </w:pPr>
            <w:r>
              <w:rPr>
                <w:rFonts w:ascii="Arial" w:cs="Arial" w:eastAsia="Arial" w:hAnsi="Arial"/>
                <w:sz w:val="16"/>
                <w:szCs w:val="16"/>
                <w:b w:val="1"/>
                <w:bCs w:val="1"/>
                <w:color w:val="FFFFFF"/>
              </w:rPr>
              <w:t>($)</w:t>
            </w:r>
          </w:p>
        </w:tc>
        <w:tc>
          <w:tcPr>
            <w:tcW w:w="2160" w:type="dxa"/>
            <w:vAlign w:val="bottom"/>
            <w:tcBorders>
              <w:bottom w:val="single" w:sz="8" w:color="0171B9"/>
            </w:tcBorders>
            <w:shd w:val="clear" w:color="auto" w:fill="0171B9"/>
          </w:tcPr>
          <w:p>
            <w:pPr>
              <w:jc w:val="right"/>
              <w:spacing w:after="0"/>
              <w:rPr>
                <w:sz w:val="20"/>
                <w:szCs w:val="20"/>
                <w:color w:val="auto"/>
              </w:rPr>
            </w:pPr>
            <w:r>
              <w:rPr>
                <w:rFonts w:ascii="Arial" w:cs="Arial" w:eastAsia="Arial" w:hAnsi="Arial"/>
                <w:sz w:val="16"/>
                <w:szCs w:val="16"/>
                <w:b w:val="1"/>
                <w:bCs w:val="1"/>
                <w:color w:val="FFFFFF"/>
              </w:rPr>
              <w:t>($)</w:t>
            </w:r>
          </w:p>
        </w:tc>
      </w:tr>
      <w:tr>
        <w:trPr>
          <w:trHeight w:val="304"/>
        </w:trPr>
        <w:tc>
          <w:tcPr>
            <w:tcW w:w="756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6"/>
                <w:szCs w:val="16"/>
                <w:color w:val="auto"/>
              </w:rPr>
              <w:t>Non-Employee Director</w:t>
            </w:r>
          </w:p>
        </w:tc>
        <w:tc>
          <w:tcPr>
            <w:tcW w:w="1300" w:type="dxa"/>
            <w:vAlign w:val="bottom"/>
            <w:tcBorders>
              <w:bottom w:val="single" w:sz="8" w:color="CCE2F1"/>
            </w:tcBorders>
            <w:shd w:val="clear" w:color="auto" w:fill="CCE2F1"/>
          </w:tcPr>
          <w:p>
            <w:pPr>
              <w:jc w:val="right"/>
              <w:ind w:right="119"/>
              <w:spacing w:after="0"/>
              <w:rPr>
                <w:sz w:val="20"/>
                <w:szCs w:val="20"/>
                <w:color w:val="auto"/>
              </w:rPr>
            </w:pPr>
            <w:r>
              <w:rPr>
                <w:rFonts w:ascii="Arial" w:cs="Arial" w:eastAsia="Arial" w:hAnsi="Arial"/>
                <w:sz w:val="16"/>
                <w:szCs w:val="16"/>
                <w:color w:val="auto"/>
              </w:rPr>
              <w:t>105,000</w:t>
            </w:r>
          </w:p>
        </w:tc>
        <w:tc>
          <w:tcPr>
            <w:tcW w:w="216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210,000</w:t>
            </w:r>
          </w:p>
        </w:tc>
      </w:tr>
      <w:tr>
        <w:trPr>
          <w:trHeight w:val="264"/>
        </w:trPr>
        <w:tc>
          <w:tcPr>
            <w:tcW w:w="7560" w:type="dxa"/>
            <w:vAlign w:val="bottom"/>
          </w:tcPr>
          <w:p>
            <w:pPr>
              <w:ind w:left="80"/>
              <w:spacing w:after="0"/>
              <w:rPr>
                <w:sz w:val="20"/>
                <w:szCs w:val="20"/>
                <w:color w:val="auto"/>
              </w:rPr>
            </w:pPr>
            <w:r>
              <w:rPr>
                <w:rFonts w:ascii="Arial" w:cs="Arial" w:eastAsia="Arial" w:hAnsi="Arial"/>
                <w:sz w:val="16"/>
                <w:szCs w:val="16"/>
                <w:color w:val="auto"/>
              </w:rPr>
              <w:t>Lead Independent Director Retainer</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40,000</w:t>
            </w:r>
          </w:p>
        </w:tc>
        <w:tc>
          <w:tcPr>
            <w:tcW w:w="21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60"/>
        </w:trPr>
        <w:tc>
          <w:tcPr>
            <w:tcW w:w="75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160" w:type="dxa"/>
            <w:vAlign w:val="bottom"/>
          </w:tcPr>
          <w:p>
            <w:pPr>
              <w:spacing w:after="0"/>
              <w:rPr>
                <w:sz w:val="5"/>
                <w:szCs w:val="5"/>
                <w:color w:val="auto"/>
              </w:rPr>
            </w:pPr>
          </w:p>
        </w:tc>
      </w:tr>
      <w:tr>
        <w:trPr>
          <w:trHeight w:val="304"/>
        </w:trPr>
        <w:tc>
          <w:tcPr>
            <w:tcW w:w="756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6"/>
                <w:szCs w:val="16"/>
                <w:color w:val="auto"/>
              </w:rPr>
              <w:t>Committee Chair Retainers</w:t>
            </w:r>
          </w:p>
        </w:tc>
        <w:tc>
          <w:tcPr>
            <w:tcW w:w="1300" w:type="dxa"/>
            <w:vAlign w:val="bottom"/>
            <w:tcBorders>
              <w:bottom w:val="single" w:sz="8" w:color="CCE2F1"/>
            </w:tcBorders>
            <w:shd w:val="clear" w:color="auto" w:fill="CCE2F1"/>
          </w:tcPr>
          <w:p>
            <w:pPr>
              <w:spacing w:after="0"/>
              <w:rPr>
                <w:sz w:val="24"/>
                <w:szCs w:val="24"/>
                <w:color w:val="auto"/>
              </w:rPr>
            </w:pPr>
          </w:p>
        </w:tc>
        <w:tc>
          <w:tcPr>
            <w:tcW w:w="216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w:t>
            </w:r>
          </w:p>
        </w:tc>
      </w:tr>
      <w:tr>
        <w:trPr>
          <w:trHeight w:val="264"/>
        </w:trPr>
        <w:tc>
          <w:tcPr>
            <w:tcW w:w="7560" w:type="dxa"/>
            <w:vAlign w:val="bottom"/>
          </w:tcPr>
          <w:p>
            <w:pPr>
              <w:ind w:left="240"/>
              <w:spacing w:after="0"/>
              <w:rPr>
                <w:sz w:val="20"/>
                <w:szCs w:val="20"/>
                <w:color w:val="auto"/>
              </w:rPr>
            </w:pPr>
            <w:r>
              <w:rPr>
                <w:rFonts w:ascii="Arial" w:cs="Arial" w:eastAsia="Arial" w:hAnsi="Arial"/>
                <w:sz w:val="16"/>
                <w:szCs w:val="16"/>
                <w:color w:val="auto"/>
              </w:rPr>
              <w:t>Audit Committee Chair</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30,000</w:t>
            </w:r>
          </w:p>
        </w:tc>
        <w:tc>
          <w:tcPr>
            <w:tcW w:w="21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60"/>
        </w:trPr>
        <w:tc>
          <w:tcPr>
            <w:tcW w:w="75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160" w:type="dxa"/>
            <w:vAlign w:val="bottom"/>
          </w:tcPr>
          <w:p>
            <w:pPr>
              <w:spacing w:after="0"/>
              <w:rPr>
                <w:sz w:val="5"/>
                <w:szCs w:val="5"/>
                <w:color w:val="auto"/>
              </w:rPr>
            </w:pPr>
          </w:p>
        </w:tc>
      </w:tr>
      <w:tr>
        <w:trPr>
          <w:trHeight w:val="191"/>
        </w:trPr>
        <w:tc>
          <w:tcPr>
            <w:tcW w:w="7560" w:type="dxa"/>
            <w:vAlign w:val="bottom"/>
            <w:shd w:val="clear" w:color="auto" w:fill="CCE2F1"/>
          </w:tcPr>
          <w:p>
            <w:pPr>
              <w:ind w:left="240"/>
              <w:spacing w:after="0"/>
              <w:rPr>
                <w:sz w:val="20"/>
                <w:szCs w:val="20"/>
                <w:color w:val="auto"/>
              </w:rPr>
            </w:pPr>
            <w:r>
              <w:rPr>
                <w:rFonts w:ascii="Arial" w:cs="Arial" w:eastAsia="Arial" w:hAnsi="Arial"/>
                <w:sz w:val="16"/>
                <w:szCs w:val="16"/>
                <w:color w:val="auto"/>
              </w:rPr>
              <w:t>Other Committee Chairs (Compensation and Management Development, Corporate Responsibility</w:t>
            </w:r>
          </w:p>
        </w:tc>
        <w:tc>
          <w:tcPr>
            <w:tcW w:w="1300" w:type="dxa"/>
            <w:vAlign w:val="bottom"/>
            <w:shd w:val="clear" w:color="auto" w:fill="CCE2F1"/>
          </w:tcPr>
          <w:p>
            <w:pPr>
              <w:spacing w:after="0"/>
              <w:rPr>
                <w:sz w:val="16"/>
                <w:szCs w:val="16"/>
                <w:color w:val="auto"/>
              </w:rPr>
            </w:pPr>
          </w:p>
        </w:tc>
        <w:tc>
          <w:tcPr>
            <w:tcW w:w="2160" w:type="dxa"/>
            <w:vAlign w:val="bottom"/>
            <w:shd w:val="clear" w:color="auto" w:fill="CCE2F1"/>
          </w:tcPr>
          <w:p>
            <w:pPr>
              <w:spacing w:after="0"/>
              <w:rPr>
                <w:sz w:val="16"/>
                <w:szCs w:val="16"/>
                <w:color w:val="auto"/>
              </w:rPr>
            </w:pPr>
          </w:p>
        </w:tc>
      </w:tr>
      <w:tr>
        <w:trPr>
          <w:trHeight w:val="187"/>
        </w:trPr>
        <w:tc>
          <w:tcPr>
            <w:tcW w:w="7560" w:type="dxa"/>
            <w:vAlign w:val="bottom"/>
            <w:shd w:val="clear" w:color="auto" w:fill="CCE2F1"/>
          </w:tcPr>
          <w:p>
            <w:pPr>
              <w:ind w:left="320"/>
              <w:spacing w:after="0"/>
              <w:rPr>
                <w:sz w:val="20"/>
                <w:szCs w:val="20"/>
                <w:color w:val="auto"/>
              </w:rPr>
            </w:pPr>
            <w:r>
              <w:rPr>
                <w:rFonts w:ascii="Arial" w:cs="Arial" w:eastAsia="Arial" w:hAnsi="Arial"/>
                <w:sz w:val="16"/>
                <w:szCs w:val="16"/>
                <w:color w:val="auto"/>
              </w:rPr>
              <w:t>and Compliance, and Governance and Nominating Committees)</w:t>
            </w:r>
          </w:p>
        </w:tc>
        <w:tc>
          <w:tcPr>
            <w:tcW w:w="1300" w:type="dxa"/>
            <w:vAlign w:val="bottom"/>
            <w:shd w:val="clear" w:color="auto" w:fill="CCE2F1"/>
          </w:tcPr>
          <w:p>
            <w:pPr>
              <w:jc w:val="right"/>
              <w:ind w:right="119"/>
              <w:spacing w:after="0"/>
              <w:rPr>
                <w:sz w:val="20"/>
                <w:szCs w:val="20"/>
                <w:color w:val="auto"/>
              </w:rPr>
            </w:pPr>
            <w:r>
              <w:rPr>
                <w:rFonts w:ascii="Arial" w:cs="Arial" w:eastAsia="Arial" w:hAnsi="Arial"/>
                <w:sz w:val="16"/>
                <w:szCs w:val="16"/>
                <w:color w:val="auto"/>
              </w:rPr>
              <w:t>20,000</w:t>
            </w:r>
          </w:p>
        </w:tc>
        <w:tc>
          <w:tcPr>
            <w:tcW w:w="2160" w:type="dxa"/>
            <w:vAlign w:val="bottom"/>
            <w:shd w:val="clear" w:color="auto" w:fill="CCE2F1"/>
          </w:tcPr>
          <w:p>
            <w:pPr>
              <w:jc w:val="right"/>
              <w:ind w:right="79"/>
              <w:spacing w:after="0"/>
              <w:rPr>
                <w:sz w:val="20"/>
                <w:szCs w:val="20"/>
                <w:color w:val="auto"/>
              </w:rPr>
            </w:pPr>
            <w:r>
              <w:rPr>
                <w:rFonts w:ascii="Arial" w:cs="Arial" w:eastAsia="Arial" w:hAnsi="Arial"/>
                <w:sz w:val="16"/>
                <w:szCs w:val="16"/>
                <w:color w:val="auto"/>
              </w:rPr>
              <w:t>—</w:t>
            </w:r>
          </w:p>
        </w:tc>
      </w:tr>
      <w:tr>
        <w:trPr>
          <w:trHeight w:val="264"/>
        </w:trPr>
        <w:tc>
          <w:tcPr>
            <w:tcW w:w="7560" w:type="dxa"/>
            <w:vAlign w:val="bottom"/>
          </w:tcPr>
          <w:p>
            <w:pPr>
              <w:ind w:left="80"/>
              <w:spacing w:after="0"/>
              <w:rPr>
                <w:sz w:val="20"/>
                <w:szCs w:val="20"/>
                <w:color w:val="auto"/>
              </w:rPr>
            </w:pPr>
            <w:r>
              <w:rPr>
                <w:rFonts w:ascii="Arial" w:cs="Arial" w:eastAsia="Arial" w:hAnsi="Arial"/>
                <w:sz w:val="16"/>
                <w:szCs w:val="16"/>
                <w:color w:val="auto"/>
              </w:rPr>
              <w:t>Committee Member Meeting Retainer</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12,500</w:t>
            </w:r>
          </w:p>
        </w:tc>
        <w:tc>
          <w:tcPr>
            <w:tcW w:w="21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60"/>
        </w:trPr>
        <w:tc>
          <w:tcPr>
            <w:tcW w:w="7560" w:type="dxa"/>
            <w:vAlign w:val="bottom"/>
            <w:tcBorders>
              <w:bottom w:val="single" w:sz="8" w:color="0171B9"/>
            </w:tcBorders>
          </w:tcPr>
          <w:p>
            <w:pPr>
              <w:spacing w:after="0"/>
              <w:rPr>
                <w:sz w:val="5"/>
                <w:szCs w:val="5"/>
                <w:color w:val="auto"/>
              </w:rPr>
            </w:pPr>
          </w:p>
        </w:tc>
        <w:tc>
          <w:tcPr>
            <w:tcW w:w="1300" w:type="dxa"/>
            <w:vAlign w:val="bottom"/>
            <w:tcBorders>
              <w:bottom w:val="single" w:sz="8" w:color="0171B9"/>
            </w:tcBorders>
          </w:tcPr>
          <w:p>
            <w:pPr>
              <w:spacing w:after="0"/>
              <w:rPr>
                <w:sz w:val="5"/>
                <w:szCs w:val="5"/>
                <w:color w:val="auto"/>
              </w:rPr>
            </w:pPr>
          </w:p>
        </w:tc>
        <w:tc>
          <w:tcPr>
            <w:tcW w:w="2160" w:type="dxa"/>
            <w:vAlign w:val="bottom"/>
            <w:tcBorders>
              <w:bottom w:val="single" w:sz="8" w:color="0171B9"/>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-1276350</wp:posOffset>
            </wp:positionV>
            <wp:extent cx="699516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p>
      <w:pPr>
        <w:spacing w:after="0" w:line="151"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i w:val="1"/>
          <w:iCs w:val="1"/>
          <w:color w:val="0171B9"/>
        </w:rPr>
        <w:t xml:space="preserve">Equity Incentives. </w:t>
      </w:r>
      <w:r>
        <w:rPr>
          <w:rFonts w:ascii="Arial" w:cs="Arial" w:eastAsia="Arial" w:hAnsi="Arial"/>
          <w:sz w:val="17"/>
          <w:szCs w:val="17"/>
          <w:color w:val="000000"/>
        </w:rPr>
        <w:t>Each non-employee director received an automatic</w:t>
      </w:r>
      <w:r>
        <w:rPr>
          <w:rFonts w:ascii="Arial" w:cs="Arial" w:eastAsia="Arial" w:hAnsi="Arial"/>
          <w:sz w:val="17"/>
          <w:szCs w:val="17"/>
          <w:i w:val="1"/>
          <w:iCs w:val="1"/>
          <w:color w:val="0171B9"/>
        </w:rPr>
        <w:t xml:space="preserve"> </w:t>
      </w:r>
      <w:r>
        <w:rPr>
          <w:rFonts w:ascii="Arial" w:cs="Arial" w:eastAsia="Arial" w:hAnsi="Arial"/>
          <w:sz w:val="17"/>
          <w:szCs w:val="17"/>
          <w:color w:val="000000"/>
        </w:rPr>
        <w:t>annual grant of restricted stock units, or RSUs, on the date of the annual meeting of stockholders, with a grant date fair market value of $210,000, based on the closing price of our Common Stock on the grant date (rounded down to the nearest whole number). The RSUs vest immediately, and to further support long-term holding, a director may choose to defer receipt of such shares. Directors who elect to defer receipt of the shares accrue dividend equivalents on the vested RSUs during the deferral period. Further, to increase their equity holdings, a director may also elect to receive deferred vested RSUs in lieu of up to 100% of his or her cash compensation.</w:t>
      </w:r>
    </w:p>
    <w:p>
      <w:pPr>
        <w:spacing w:after="0" w:line="82" w:lineRule="exact"/>
        <w:rPr>
          <w:sz w:val="20"/>
          <w:szCs w:val="20"/>
          <w:color w:val="auto"/>
        </w:rPr>
      </w:pPr>
    </w:p>
    <w:p>
      <w:pPr>
        <w:jc w:val="both"/>
        <w:ind w:left="120"/>
        <w:spacing w:after="0" w:line="243" w:lineRule="auto"/>
        <w:rPr>
          <w:sz w:val="20"/>
          <w:szCs w:val="20"/>
          <w:color w:val="auto"/>
        </w:rPr>
      </w:pPr>
      <w:r>
        <w:rPr>
          <w:rFonts w:ascii="Arial" w:cs="Arial" w:eastAsia="Arial" w:hAnsi="Arial"/>
          <w:sz w:val="17"/>
          <w:szCs w:val="17"/>
          <w:i w:val="1"/>
          <w:iCs w:val="1"/>
          <w:color w:val="0171B9"/>
        </w:rPr>
        <w:t xml:space="preserve">Director Stock Ownership Guidelines. </w:t>
      </w:r>
      <w:r>
        <w:rPr>
          <w:rFonts w:ascii="Arial" w:cs="Arial" w:eastAsia="Arial" w:hAnsi="Arial"/>
          <w:sz w:val="17"/>
          <w:szCs w:val="17"/>
          <w:color w:val="000000"/>
        </w:rPr>
        <w:t>All non-employee directors are</w:t>
      </w:r>
      <w:r>
        <w:rPr>
          <w:rFonts w:ascii="Arial" w:cs="Arial" w:eastAsia="Arial" w:hAnsi="Arial"/>
          <w:sz w:val="17"/>
          <w:szCs w:val="17"/>
          <w:i w:val="1"/>
          <w:iCs w:val="1"/>
          <w:color w:val="0171B9"/>
        </w:rPr>
        <w:t xml:space="preserve"> </w:t>
      </w:r>
      <w:r>
        <w:rPr>
          <w:rFonts w:ascii="Arial" w:cs="Arial" w:eastAsia="Arial" w:hAnsi="Arial"/>
          <w:sz w:val="17"/>
          <w:szCs w:val="17"/>
          <w:color w:val="000000"/>
        </w:rPr>
        <w:t>expected to hold the equivalent of five times the Board annual cash retainer ($525,000 in 2022) in our Common Stock while serving as a non-employee director.</w:t>
      </w:r>
    </w:p>
    <w:p>
      <w:pPr>
        <w:spacing w:after="0" w:line="90"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All non-employee directors are expected to comply with the stock ownership guidelines on or before December 31</w:t>
      </w:r>
      <w:r>
        <w:rPr>
          <w:rFonts w:ascii="Arial" w:cs="Arial" w:eastAsia="Arial" w:hAnsi="Arial"/>
          <w:sz w:val="12"/>
          <w:szCs w:val="12"/>
          <w:color w:val="auto"/>
        </w:rPr>
        <w:t>st</w:t>
      </w:r>
      <w:r>
        <w:rPr>
          <w:rFonts w:ascii="Arial" w:cs="Arial" w:eastAsia="Arial" w:hAnsi="Arial"/>
          <w:sz w:val="17"/>
          <w:szCs w:val="17"/>
          <w:color w:val="auto"/>
        </w:rPr>
        <w:t xml:space="preserve"> of the calendar year in which the fifth anniversary of their first date of election by stockholders falls. For purposes of the Board stock ownership guidelines, issued and outstanding shares of our Common Stock held beneficially or of record by the non-employee director, issued and outstanding shares of our Common Stock held in a qualifying trust (as defined in the guidelines), and vested RSUs that are deferred will count towards satisfying these stock ownership guidelines. All directors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255905</wp:posOffset>
            </wp:positionV>
            <wp:extent cx="77152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compliance dates that were on or prior to December 31, 2022, met the stock ownership guidelines as of that date.</w:t>
      </w:r>
    </w:p>
    <w:p>
      <w:pPr>
        <w:spacing w:after="0" w:line="90"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Board members are subject to our insider trading policy that, among other things, prohibits engaging in short sales with respect to the Company’s securities, purchasing or pledging the Company’s stock on margin</w:t>
      </w:r>
      <w:r>
        <w:rPr>
          <w:rFonts w:ascii="Arial" w:cs="Arial" w:eastAsia="Arial" w:hAnsi="Arial"/>
          <w:sz w:val="12"/>
          <w:szCs w:val="12"/>
          <w:color w:val="auto"/>
        </w:rPr>
        <w:t>(1)</w:t>
      </w:r>
      <w:r>
        <w:rPr>
          <w:rFonts w:ascii="Arial" w:cs="Arial" w:eastAsia="Arial" w:hAnsi="Arial"/>
          <w:sz w:val="17"/>
          <w:szCs w:val="17"/>
          <w:color w:val="auto"/>
        </w:rPr>
        <w:t>, or entering into any hedging, derivative or similar transactions with respect to the Company’s securities.</w:t>
      </w:r>
    </w:p>
    <w:p>
      <w:pPr>
        <w:spacing w:after="0" w:line="78"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i w:val="1"/>
          <w:iCs w:val="1"/>
          <w:color w:val="0171B9"/>
        </w:rPr>
        <w:t xml:space="preserve">Expenses. </w:t>
      </w:r>
      <w:r>
        <w:rPr>
          <w:rFonts w:ascii="Arial" w:cs="Arial" w:eastAsia="Arial" w:hAnsi="Arial"/>
          <w:sz w:val="17"/>
          <w:szCs w:val="17"/>
          <w:color w:val="000000"/>
        </w:rPr>
        <w:t>Directors are entitled to reimbursement of their expenses</w:t>
      </w:r>
      <w:r>
        <w:rPr>
          <w:rFonts w:ascii="Arial" w:cs="Arial" w:eastAsia="Arial" w:hAnsi="Arial"/>
          <w:sz w:val="17"/>
          <w:szCs w:val="17"/>
          <w:i w:val="1"/>
          <w:iCs w:val="1"/>
          <w:color w:val="0171B9"/>
        </w:rPr>
        <w:t xml:space="preserve"> </w:t>
      </w:r>
      <w:r>
        <w:rPr>
          <w:rFonts w:ascii="Arial" w:cs="Arial" w:eastAsia="Arial" w:hAnsi="Arial"/>
          <w:sz w:val="17"/>
          <w:szCs w:val="17"/>
          <w:color w:val="000000"/>
        </w:rPr>
        <w:t>incurred in connection with attendance at Board and committee meetings and conferences with our Senior Management. We make tax gross-up payments to our directors to reimburse them for additional income taxes imposed when we are required to impute income on perquisites that we provide</w:t>
      </w:r>
      <w:r>
        <w:rPr>
          <w:rFonts w:ascii="Arial" w:cs="Arial" w:eastAsia="Arial" w:hAnsi="Arial"/>
          <w:sz w:val="17"/>
          <w:szCs w:val="17"/>
          <w:i w:val="1"/>
          <w:iCs w:val="1"/>
          <w:color w:val="000000"/>
        </w:rPr>
        <w:t>.</w:t>
      </w:r>
      <w:r>
        <w:rPr>
          <w:rFonts w:ascii="Arial" w:cs="Arial" w:eastAsia="Arial" w:hAnsi="Arial"/>
          <w:sz w:val="17"/>
          <w:szCs w:val="17"/>
          <w:color w:val="000000"/>
        </w:rPr>
        <w:t xml:space="preserve"> Guests of our Board members are occasionally invited to Board events, and we may pay or reimburse travel expenses and may provide transportation on our aircraft for both the director and his or her guest.</w:t>
      </w:r>
    </w:p>
    <w:p>
      <w:pPr>
        <w:spacing w:after="0" w:line="7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i w:val="1"/>
          <w:iCs w:val="1"/>
          <w:color w:val="0171B9"/>
        </w:rPr>
        <w:t xml:space="preserve">Deferred Compensation. </w:t>
      </w:r>
      <w:r>
        <w:rPr>
          <w:rFonts w:ascii="Arial" w:cs="Arial" w:eastAsia="Arial" w:hAnsi="Arial"/>
          <w:sz w:val="17"/>
          <w:szCs w:val="17"/>
          <w:color w:val="000000"/>
        </w:rPr>
        <w:t>Non-employee directors are eligible to</w:t>
      </w:r>
      <w:r>
        <w:rPr>
          <w:rFonts w:ascii="Arial" w:cs="Arial" w:eastAsia="Arial" w:hAnsi="Arial"/>
          <w:sz w:val="17"/>
          <w:szCs w:val="17"/>
          <w:i w:val="1"/>
          <w:iCs w:val="1"/>
          <w:color w:val="0171B9"/>
        </w:rPr>
        <w:t xml:space="preserve"> </w:t>
      </w:r>
      <w:r>
        <w:rPr>
          <w:rFonts w:ascii="Arial" w:cs="Arial" w:eastAsia="Arial" w:hAnsi="Arial"/>
          <w:sz w:val="17"/>
          <w:szCs w:val="17"/>
          <w:color w:val="000000"/>
        </w:rPr>
        <w:t>participate in the Nonqualified Deferred Compensation Plan that we maintain for our staff members (see “Nonqualified Deferred Compensation” in our Executive Compensation Tables above for more information). Earnings under this plan are market-based—there are no “above market” or guaranteed rates of returns.</w:t>
      </w:r>
    </w:p>
    <w:p>
      <w:pPr>
        <w:spacing w:after="0" w:line="655"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248" w:lineRule="exact"/>
        <w:rPr>
          <w:sz w:val="20"/>
          <w:szCs w:val="20"/>
          <w:color w:val="auto"/>
        </w:rPr>
      </w:pPr>
    </w:p>
    <w:p>
      <w:pPr>
        <w:ind w:left="540" w:right="20" w:hanging="424"/>
        <w:spacing w:after="0" w:line="201" w:lineRule="auto"/>
        <w:tabs>
          <w:tab w:leader="none" w:pos="540" w:val="left"/>
        </w:tabs>
        <w:numPr>
          <w:ilvl w:val="0"/>
          <w:numId w:val="131"/>
        </w:numPr>
        <w:rPr>
          <w:rFonts w:ascii="Arial" w:cs="Arial" w:eastAsia="Arial" w:hAnsi="Arial"/>
          <w:sz w:val="22"/>
          <w:szCs w:val="22"/>
          <w:color w:val="auto"/>
          <w:vertAlign w:val="superscript"/>
        </w:rPr>
      </w:pPr>
      <w:r>
        <w:rPr>
          <w:rFonts w:ascii="Arial" w:cs="Arial" w:eastAsia="Arial" w:hAnsi="Arial"/>
          <w:sz w:val="14"/>
          <w:szCs w:val="14"/>
          <w:color w:val="auto"/>
        </w:rPr>
        <w:t>With the exception of the use of a margin account to purchase our common stock in connection with the exercise of Amgen-granted stock options (</w:t>
      </w:r>
      <w:r>
        <w:rPr>
          <w:rFonts w:ascii="Arial" w:cs="Arial" w:eastAsia="Arial" w:hAnsi="Arial"/>
          <w:sz w:val="14"/>
          <w:szCs w:val="14"/>
          <w:i w:val="1"/>
          <w:iCs w:val="1"/>
          <w:color w:val="auto"/>
        </w:rPr>
        <w:t>i.e.</w:t>
      </w:r>
      <w:r>
        <w:rPr>
          <w:rFonts w:ascii="Arial" w:cs="Arial" w:eastAsia="Arial" w:hAnsi="Arial"/>
          <w:sz w:val="14"/>
          <w:szCs w:val="14"/>
          <w:color w:val="auto"/>
        </w:rPr>
        <w:t>, “cashless exercises”).</w:t>
      </w:r>
    </w:p>
    <w:p>
      <w:pPr>
        <w:sectPr>
          <w:pgSz w:w="11900" w:h="16838" w:orient="portrait"/>
          <w:cols w:equalWidth="0" w:num="1">
            <w:col w:w="11140"/>
          </w:cols>
          <w:pgMar w:left="320" w:top="486" w:right="439" w:bottom="1440" w:gutter="0" w:footer="0" w:header="0"/>
          <w:type w:val="continuous"/>
        </w:sectPr>
      </w:pPr>
    </w:p>
    <w:p>
      <w:pPr>
        <w:spacing w:after="0" w:line="118"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92</w:t>
      </w:r>
      <w:r>
        <w:rPr>
          <w:sz w:val="20"/>
          <w:szCs w:val="20"/>
          <w:color w:val="auto"/>
        </w:rPr>
        <w:tab/>
      </w:r>
      <w:r>
        <w:rPr>
          <w:sz w:val="1"/>
          <w:szCs w:val="1"/>
          <w:color w:val="auto"/>
        </w:rPr>
        <w:drawing>
          <wp:inline distT="0" distB="0" distL="0" distR="0">
            <wp:extent cx="582930" cy="137160"/>
            <wp:effectExtent l="0" t="0" r="0" b="0"/>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205740</wp:posOffset>
            </wp:positionV>
            <wp:extent cx="1645920" cy="21463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645920" cy="214630"/>
                    </a:xfrm>
                    <a:prstGeom prst="rect">
                      <a:avLst/>
                    </a:prstGeom>
                    <a:noFill/>
                  </pic:spPr>
                </pic:pic>
              </a:graphicData>
            </a:graphic>
          </wp:anchor>
        </w:drawing>
      </w: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rPr>
        <w:t>Director Compensation</w:t>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i w:val="1"/>
          <w:iCs w:val="1"/>
          <w:color w:val="0171B9"/>
        </w:rPr>
        <w:t xml:space="preserve">Charitable Contributions. </w:t>
      </w:r>
      <w:r>
        <w:rPr>
          <w:rFonts w:ascii="Arial" w:cs="Arial" w:eastAsia="Arial" w:hAnsi="Arial"/>
          <w:sz w:val="17"/>
          <w:szCs w:val="17"/>
          <w:color w:val="000000"/>
        </w:rPr>
        <w:t>Through The Amgen Foundation, Inc., the</w:t>
      </w:r>
      <w:r>
        <w:rPr>
          <w:rFonts w:ascii="Arial" w:cs="Arial" w:eastAsia="Arial" w:hAnsi="Arial"/>
          <w:sz w:val="17"/>
          <w:szCs w:val="17"/>
          <w:i w:val="1"/>
          <w:iCs w:val="1"/>
          <w:color w:val="0171B9"/>
        </w:rPr>
        <w:t xml:space="preserve"> </w:t>
      </w:r>
      <w:r>
        <w:rPr>
          <w:rFonts w:ascii="Arial" w:cs="Arial" w:eastAsia="Arial" w:hAnsi="Arial"/>
          <w:sz w:val="17"/>
          <w:szCs w:val="17"/>
          <w:color w:val="000000"/>
        </w:rPr>
        <w:t>Company maintains a charitable contributions matching gift program for all eligible staff members and non-employee directors. Our directors participate in the program on the same terms as our staff members. The Amgen Foundation, Inc. matches, on a dollar-for-dollar basis, qualifying donations made by directors and staff members to eligible organizations, up to $20,000 per person, per year. Separate from, and in addition to, this ongoing annual program, in response to specific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disasters, The Amgen Foundation, Inc. matches, on a dollar-for-dollar basis, donations to specified disaster relief organizations, up to $20,000 per deployment per person. For example, in the wake of the war unfolding in Ukraine, the Amgen Foundation and Amgen Inc. made grants to humanitarian organizations working in Eastern Europe and provided support to help victims of hurricanes Ian and Fiona in Florida and Puerto Rico.</w:t>
      </w:r>
    </w:p>
    <w:p>
      <w:pPr>
        <w:spacing w:after="0" w:line="577"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The following table shows compensation of the non-employee members of our Board for 2022. Robert A. Bradway, our Chairman of the Board, Chief Executive Officer and President is not included in the table as he is an employee and thus receives no compensation for his service as a director.</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40" w:type="dxa"/>
            <w:vAlign w:val="bottom"/>
            <w:shd w:val="clear" w:color="auto" w:fill="0171B9"/>
          </w:tcPr>
          <w:p>
            <w:pPr>
              <w:spacing w:after="0"/>
              <w:rPr>
                <w:sz w:val="20"/>
                <w:szCs w:val="20"/>
                <w:color w:val="auto"/>
              </w:rPr>
            </w:pPr>
          </w:p>
        </w:tc>
        <w:tc>
          <w:tcPr>
            <w:tcW w:w="1680" w:type="dxa"/>
            <w:vAlign w:val="bottom"/>
            <w:shd w:val="clear" w:color="auto" w:fill="0171B9"/>
          </w:tcPr>
          <w:p>
            <w:pPr>
              <w:jc w:val="right"/>
              <w:ind w:right="99"/>
              <w:spacing w:after="0"/>
              <w:rPr>
                <w:sz w:val="20"/>
                <w:szCs w:val="20"/>
                <w:color w:val="auto"/>
              </w:rPr>
            </w:pPr>
            <w:r>
              <w:rPr>
                <w:rFonts w:ascii="Arial" w:cs="Arial" w:eastAsia="Arial" w:hAnsi="Arial"/>
                <w:sz w:val="16"/>
                <w:szCs w:val="16"/>
                <w:b w:val="1"/>
                <w:bCs w:val="1"/>
                <w:color w:val="FFFFFF"/>
              </w:rPr>
              <w:t>Fees Earned or</w:t>
            </w:r>
          </w:p>
        </w:tc>
        <w:tc>
          <w:tcPr>
            <w:tcW w:w="1460" w:type="dxa"/>
            <w:vAlign w:val="bottom"/>
            <w:shd w:val="clear" w:color="auto" w:fill="0171B9"/>
          </w:tcPr>
          <w:p>
            <w:pPr>
              <w:jc w:val="right"/>
              <w:ind w:right="119"/>
              <w:spacing w:after="0"/>
              <w:rPr>
                <w:sz w:val="20"/>
                <w:szCs w:val="20"/>
                <w:color w:val="auto"/>
              </w:rPr>
            </w:pPr>
            <w:r>
              <w:rPr>
                <w:rFonts w:ascii="Arial" w:cs="Arial" w:eastAsia="Arial" w:hAnsi="Arial"/>
                <w:sz w:val="16"/>
                <w:szCs w:val="16"/>
                <w:b w:val="1"/>
                <w:bCs w:val="1"/>
                <w:color w:val="FFFFFF"/>
              </w:rPr>
              <w:t>Stock</w:t>
            </w:r>
          </w:p>
        </w:tc>
        <w:tc>
          <w:tcPr>
            <w:tcW w:w="188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All Other</w:t>
            </w:r>
          </w:p>
        </w:tc>
        <w:tc>
          <w:tcPr>
            <w:tcW w:w="960" w:type="dxa"/>
            <w:vAlign w:val="bottom"/>
            <w:shd w:val="clear" w:color="auto" w:fill="0171B9"/>
          </w:tcPr>
          <w:p>
            <w:pPr>
              <w:spacing w:after="0"/>
              <w:rPr>
                <w:sz w:val="20"/>
                <w:szCs w:val="20"/>
                <w:color w:val="auto"/>
              </w:rPr>
            </w:pPr>
          </w:p>
        </w:tc>
      </w:tr>
      <w:tr>
        <w:trPr>
          <w:trHeight w:val="275"/>
        </w:trPr>
        <w:tc>
          <w:tcPr>
            <w:tcW w:w="5040" w:type="dxa"/>
            <w:vAlign w:val="bottom"/>
            <w:shd w:val="clear" w:color="auto" w:fill="0171B9"/>
          </w:tcPr>
          <w:p>
            <w:pPr>
              <w:ind w:left="80"/>
              <w:spacing w:after="0"/>
              <w:rPr>
                <w:sz w:val="20"/>
                <w:szCs w:val="20"/>
                <w:color w:val="auto"/>
              </w:rPr>
            </w:pPr>
            <w:r>
              <w:rPr>
                <w:rFonts w:ascii="Arial" w:cs="Arial" w:eastAsia="Arial" w:hAnsi="Arial"/>
                <w:sz w:val="16"/>
                <w:szCs w:val="16"/>
                <w:b w:val="1"/>
                <w:bCs w:val="1"/>
                <w:color w:val="FFFFFF"/>
              </w:rPr>
              <w:t>Non-Employee Director</w:t>
            </w:r>
          </w:p>
        </w:tc>
        <w:tc>
          <w:tcPr>
            <w:tcW w:w="1680" w:type="dxa"/>
            <w:vAlign w:val="bottom"/>
            <w:shd w:val="clear" w:color="auto" w:fill="0171B9"/>
          </w:tcPr>
          <w:p>
            <w:pPr>
              <w:jc w:val="right"/>
              <w:ind w:right="99"/>
              <w:spacing w:after="0" w:line="274" w:lineRule="exact"/>
              <w:rPr>
                <w:sz w:val="20"/>
                <w:szCs w:val="20"/>
                <w:color w:val="auto"/>
              </w:rPr>
            </w:pPr>
            <w:r>
              <w:rPr>
                <w:rFonts w:ascii="Arial" w:cs="Arial" w:eastAsia="Arial" w:hAnsi="Arial"/>
                <w:sz w:val="16"/>
                <w:szCs w:val="16"/>
                <w:b w:val="1"/>
                <w:bCs w:val="1"/>
                <w:color w:val="FFFFFF"/>
              </w:rPr>
              <w:t>Paid in Cash($)</w:t>
            </w:r>
            <w:r>
              <w:rPr>
                <w:rFonts w:ascii="Arial" w:cs="Arial" w:eastAsia="Arial" w:hAnsi="Arial"/>
                <w:sz w:val="24"/>
                <w:szCs w:val="24"/>
                <w:b w:val="1"/>
                <w:bCs w:val="1"/>
                <w:color w:val="FFFFFF"/>
                <w:vertAlign w:val="superscript"/>
              </w:rPr>
              <w:t>(3)</w:t>
            </w:r>
          </w:p>
        </w:tc>
        <w:tc>
          <w:tcPr>
            <w:tcW w:w="1460" w:type="dxa"/>
            <w:vAlign w:val="bottom"/>
            <w:shd w:val="clear" w:color="auto" w:fill="0171B9"/>
          </w:tcPr>
          <w:p>
            <w:pPr>
              <w:jc w:val="right"/>
              <w:ind w:right="119"/>
              <w:spacing w:after="0" w:line="274" w:lineRule="exact"/>
              <w:rPr>
                <w:sz w:val="20"/>
                <w:szCs w:val="20"/>
                <w:color w:val="auto"/>
              </w:rPr>
            </w:pPr>
            <w:r>
              <w:rPr>
                <w:rFonts w:ascii="Arial" w:cs="Arial" w:eastAsia="Arial" w:hAnsi="Arial"/>
                <w:sz w:val="16"/>
                <w:szCs w:val="16"/>
                <w:b w:val="1"/>
                <w:bCs w:val="1"/>
                <w:color w:val="FFFFFF"/>
              </w:rPr>
              <w:t>Awards($)</w:t>
            </w:r>
            <w:r>
              <w:rPr>
                <w:rFonts w:ascii="Arial" w:cs="Arial" w:eastAsia="Arial" w:hAnsi="Arial"/>
                <w:sz w:val="24"/>
                <w:szCs w:val="24"/>
                <w:b w:val="1"/>
                <w:bCs w:val="1"/>
                <w:color w:val="FFFFFF"/>
                <w:vertAlign w:val="superscript"/>
              </w:rPr>
              <w:t>(4)(5)</w:t>
            </w:r>
          </w:p>
        </w:tc>
        <w:tc>
          <w:tcPr>
            <w:tcW w:w="1880" w:type="dxa"/>
            <w:vAlign w:val="bottom"/>
            <w:shd w:val="clear" w:color="auto" w:fill="0171B9"/>
          </w:tcPr>
          <w:p>
            <w:pPr>
              <w:jc w:val="right"/>
              <w:ind w:right="139"/>
              <w:spacing w:after="0" w:line="274" w:lineRule="exact"/>
              <w:rPr>
                <w:sz w:val="20"/>
                <w:szCs w:val="20"/>
                <w:color w:val="auto"/>
              </w:rPr>
            </w:pPr>
            <w:r>
              <w:rPr>
                <w:rFonts w:ascii="Arial" w:cs="Arial" w:eastAsia="Arial" w:hAnsi="Arial"/>
                <w:sz w:val="16"/>
                <w:szCs w:val="16"/>
                <w:b w:val="1"/>
                <w:bCs w:val="1"/>
                <w:color w:val="FFFFFF"/>
              </w:rPr>
              <w:t>Compensation($)</w:t>
            </w:r>
            <w:r>
              <w:rPr>
                <w:rFonts w:ascii="Arial" w:cs="Arial" w:eastAsia="Arial" w:hAnsi="Arial"/>
                <w:sz w:val="24"/>
                <w:szCs w:val="24"/>
                <w:b w:val="1"/>
                <w:bCs w:val="1"/>
                <w:color w:val="FFFFFF"/>
                <w:vertAlign w:val="superscript"/>
              </w:rPr>
              <w:t>(6)</w:t>
            </w:r>
          </w:p>
        </w:tc>
        <w:tc>
          <w:tcPr>
            <w:tcW w:w="96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Total($)</w:t>
            </w:r>
          </w:p>
        </w:tc>
      </w:tr>
      <w:tr>
        <w:trPr>
          <w:trHeight w:val="304"/>
        </w:trPr>
        <w:tc>
          <w:tcPr>
            <w:tcW w:w="504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6"/>
                <w:szCs w:val="16"/>
                <w:color w:val="auto"/>
              </w:rPr>
              <w:t>Wanda M. Austin</w:t>
            </w:r>
          </w:p>
        </w:tc>
        <w:tc>
          <w:tcPr>
            <w:tcW w:w="1680" w:type="dxa"/>
            <w:vAlign w:val="bottom"/>
            <w:tcBorders>
              <w:bottom w:val="single" w:sz="8" w:color="CCE2F1"/>
            </w:tcBorders>
            <w:shd w:val="clear" w:color="auto" w:fill="CCE2F1"/>
          </w:tcPr>
          <w:p>
            <w:pPr>
              <w:jc w:val="right"/>
              <w:ind w:right="99"/>
              <w:spacing w:after="0"/>
              <w:rPr>
                <w:sz w:val="20"/>
                <w:szCs w:val="20"/>
                <w:color w:val="auto"/>
              </w:rPr>
            </w:pPr>
            <w:r>
              <w:rPr>
                <w:rFonts w:ascii="Arial" w:cs="Arial" w:eastAsia="Arial" w:hAnsi="Arial"/>
                <w:sz w:val="16"/>
                <w:szCs w:val="16"/>
                <w:color w:val="auto"/>
              </w:rPr>
              <w:t>130,000</w:t>
            </w:r>
          </w:p>
        </w:tc>
        <w:tc>
          <w:tcPr>
            <w:tcW w:w="1460" w:type="dxa"/>
            <w:vAlign w:val="bottom"/>
            <w:tcBorders>
              <w:bottom w:val="single" w:sz="8" w:color="CCE2F1"/>
            </w:tcBorders>
            <w:shd w:val="clear" w:color="auto" w:fill="CCE2F1"/>
          </w:tcPr>
          <w:p>
            <w:pPr>
              <w:jc w:val="right"/>
              <w:ind w:right="119"/>
              <w:spacing w:after="0"/>
              <w:rPr>
                <w:sz w:val="20"/>
                <w:szCs w:val="20"/>
                <w:color w:val="auto"/>
              </w:rPr>
            </w:pPr>
            <w:r>
              <w:rPr>
                <w:rFonts w:ascii="Arial" w:cs="Arial" w:eastAsia="Arial" w:hAnsi="Arial"/>
                <w:sz w:val="16"/>
                <w:szCs w:val="16"/>
                <w:color w:val="auto"/>
              </w:rPr>
              <w:t>209,774</w:t>
            </w:r>
          </w:p>
        </w:tc>
        <w:tc>
          <w:tcPr>
            <w:tcW w:w="188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20,000</w:t>
            </w:r>
          </w:p>
        </w:tc>
        <w:tc>
          <w:tcPr>
            <w:tcW w:w="96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359,774</w:t>
            </w:r>
          </w:p>
        </w:tc>
      </w:tr>
      <w:tr>
        <w:trPr>
          <w:trHeight w:val="324"/>
        </w:trPr>
        <w:tc>
          <w:tcPr>
            <w:tcW w:w="5040" w:type="dxa"/>
            <w:vAlign w:val="bottom"/>
          </w:tcPr>
          <w:p>
            <w:pPr>
              <w:ind w:left="80"/>
              <w:spacing w:after="0"/>
              <w:rPr>
                <w:sz w:val="20"/>
                <w:szCs w:val="20"/>
                <w:color w:val="auto"/>
              </w:rPr>
            </w:pPr>
            <w:r>
              <w:rPr>
                <w:rFonts w:ascii="Arial" w:cs="Arial" w:eastAsia="Arial" w:hAnsi="Arial"/>
                <w:sz w:val="16"/>
                <w:szCs w:val="16"/>
                <w:color w:val="auto"/>
              </w:rPr>
              <w:t>Michael V. Drake</w:t>
            </w:r>
            <w:r>
              <w:rPr>
                <w:rFonts w:ascii="Arial" w:cs="Arial" w:eastAsia="Arial" w:hAnsi="Arial"/>
                <w:sz w:val="24"/>
                <w:szCs w:val="24"/>
                <w:color w:val="auto"/>
                <w:vertAlign w:val="superscript"/>
              </w:rPr>
              <w:t>(1)(2)</w:t>
            </w: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207,460</w:t>
            </w:r>
          </w:p>
        </w:tc>
        <w:tc>
          <w:tcPr>
            <w:tcW w:w="1880" w:type="dxa"/>
            <w:vAlign w:val="bottom"/>
          </w:tcPr>
          <w:p>
            <w:pPr>
              <w:jc w:val="right"/>
              <w:ind w:right="139"/>
              <w:spacing w:after="0"/>
              <w:rPr>
                <w:sz w:val="20"/>
                <w:szCs w:val="20"/>
                <w:color w:val="auto"/>
              </w:rPr>
            </w:pPr>
            <w:r>
              <w:rPr>
                <w:rFonts w:ascii="Arial" w:cs="Arial" w:eastAsia="Arial" w:hAnsi="Arial"/>
                <w:sz w:val="16"/>
                <w:szCs w:val="16"/>
                <w:color w:val="auto"/>
              </w:rPr>
              <w:t>47</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207,507</w:t>
            </w:r>
          </w:p>
        </w:tc>
      </w:tr>
      <w:tr>
        <w:trPr>
          <w:trHeight w:val="304"/>
        </w:trPr>
        <w:tc>
          <w:tcPr>
            <w:tcW w:w="504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6"/>
                <w:szCs w:val="16"/>
                <w:color w:val="auto"/>
              </w:rPr>
              <w:t>Brian J. Druker</w:t>
            </w:r>
          </w:p>
        </w:tc>
        <w:tc>
          <w:tcPr>
            <w:tcW w:w="1680" w:type="dxa"/>
            <w:vAlign w:val="bottom"/>
            <w:tcBorders>
              <w:bottom w:val="single" w:sz="8" w:color="CCE2F1"/>
            </w:tcBorders>
            <w:shd w:val="clear" w:color="auto" w:fill="CCE2F1"/>
          </w:tcPr>
          <w:p>
            <w:pPr>
              <w:jc w:val="right"/>
              <w:ind w:right="99"/>
              <w:spacing w:after="0"/>
              <w:rPr>
                <w:sz w:val="20"/>
                <w:szCs w:val="20"/>
                <w:color w:val="auto"/>
              </w:rPr>
            </w:pPr>
            <w:r>
              <w:rPr>
                <w:rFonts w:ascii="Arial" w:cs="Arial" w:eastAsia="Arial" w:hAnsi="Arial"/>
                <w:sz w:val="16"/>
                <w:szCs w:val="16"/>
                <w:color w:val="auto"/>
              </w:rPr>
              <w:t>130,000</w:t>
            </w:r>
          </w:p>
        </w:tc>
        <w:tc>
          <w:tcPr>
            <w:tcW w:w="1460" w:type="dxa"/>
            <w:vAlign w:val="bottom"/>
            <w:tcBorders>
              <w:bottom w:val="single" w:sz="8" w:color="CCE2F1"/>
            </w:tcBorders>
            <w:shd w:val="clear" w:color="auto" w:fill="CCE2F1"/>
          </w:tcPr>
          <w:p>
            <w:pPr>
              <w:jc w:val="right"/>
              <w:ind w:right="119"/>
              <w:spacing w:after="0"/>
              <w:rPr>
                <w:sz w:val="20"/>
                <w:szCs w:val="20"/>
                <w:color w:val="auto"/>
              </w:rPr>
            </w:pPr>
            <w:r>
              <w:rPr>
                <w:rFonts w:ascii="Arial" w:cs="Arial" w:eastAsia="Arial" w:hAnsi="Arial"/>
                <w:sz w:val="16"/>
                <w:szCs w:val="16"/>
                <w:color w:val="auto"/>
              </w:rPr>
              <w:t>209,774</w:t>
            </w:r>
          </w:p>
        </w:tc>
        <w:tc>
          <w:tcPr>
            <w:tcW w:w="188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20,000</w:t>
            </w:r>
          </w:p>
        </w:tc>
        <w:tc>
          <w:tcPr>
            <w:tcW w:w="96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359,774</w:t>
            </w:r>
          </w:p>
        </w:tc>
      </w:tr>
      <w:tr>
        <w:trPr>
          <w:trHeight w:val="264"/>
        </w:trPr>
        <w:tc>
          <w:tcPr>
            <w:tcW w:w="5040" w:type="dxa"/>
            <w:vAlign w:val="bottom"/>
          </w:tcPr>
          <w:p>
            <w:pPr>
              <w:ind w:left="80"/>
              <w:spacing w:after="0"/>
              <w:rPr>
                <w:sz w:val="20"/>
                <w:szCs w:val="20"/>
                <w:color w:val="auto"/>
              </w:rPr>
            </w:pPr>
            <w:r>
              <w:rPr>
                <w:rFonts w:ascii="Arial" w:cs="Arial" w:eastAsia="Arial" w:hAnsi="Arial"/>
                <w:sz w:val="16"/>
                <w:szCs w:val="16"/>
                <w:color w:val="auto"/>
              </w:rPr>
              <w:t>Robert A. Eckert</w:t>
            </w: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190,000</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209,774</w:t>
            </w:r>
          </w:p>
        </w:tc>
        <w:tc>
          <w:tcPr>
            <w:tcW w:w="1880" w:type="dxa"/>
            <w:vAlign w:val="bottom"/>
          </w:tcPr>
          <w:p>
            <w:pPr>
              <w:jc w:val="right"/>
              <w:ind w:right="139"/>
              <w:spacing w:after="0"/>
              <w:rPr>
                <w:sz w:val="20"/>
                <w:szCs w:val="20"/>
                <w:color w:val="auto"/>
              </w:rPr>
            </w:pPr>
            <w:r>
              <w:rPr>
                <w:rFonts w:ascii="Arial" w:cs="Arial" w:eastAsia="Arial" w:hAnsi="Arial"/>
                <w:sz w:val="16"/>
                <w:szCs w:val="16"/>
                <w:color w:val="auto"/>
              </w:rPr>
              <w:t>20,000</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419,774</w:t>
            </w:r>
          </w:p>
        </w:tc>
      </w:tr>
      <w:tr>
        <w:trPr>
          <w:trHeight w:val="60"/>
        </w:trPr>
        <w:tc>
          <w:tcPr>
            <w:tcW w:w="50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304"/>
        </w:trPr>
        <w:tc>
          <w:tcPr>
            <w:tcW w:w="504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6"/>
                <w:szCs w:val="16"/>
                <w:color w:val="auto"/>
              </w:rPr>
              <w:t>Greg C. Garland</w:t>
            </w:r>
          </w:p>
        </w:tc>
        <w:tc>
          <w:tcPr>
            <w:tcW w:w="1680" w:type="dxa"/>
            <w:vAlign w:val="bottom"/>
            <w:tcBorders>
              <w:bottom w:val="single" w:sz="8" w:color="CCE2F1"/>
            </w:tcBorders>
            <w:shd w:val="clear" w:color="auto" w:fill="CCE2F1"/>
          </w:tcPr>
          <w:p>
            <w:pPr>
              <w:jc w:val="right"/>
              <w:ind w:right="99"/>
              <w:spacing w:after="0"/>
              <w:rPr>
                <w:sz w:val="20"/>
                <w:szCs w:val="20"/>
                <w:color w:val="auto"/>
              </w:rPr>
            </w:pPr>
            <w:r>
              <w:rPr>
                <w:rFonts w:ascii="Arial" w:cs="Arial" w:eastAsia="Arial" w:hAnsi="Arial"/>
                <w:sz w:val="16"/>
                <w:szCs w:val="16"/>
                <w:color w:val="auto"/>
              </w:rPr>
              <w:t>150,000</w:t>
            </w:r>
          </w:p>
        </w:tc>
        <w:tc>
          <w:tcPr>
            <w:tcW w:w="1460" w:type="dxa"/>
            <w:vAlign w:val="bottom"/>
            <w:tcBorders>
              <w:bottom w:val="single" w:sz="8" w:color="CCE2F1"/>
            </w:tcBorders>
            <w:shd w:val="clear" w:color="auto" w:fill="CCE2F1"/>
          </w:tcPr>
          <w:p>
            <w:pPr>
              <w:jc w:val="right"/>
              <w:ind w:right="119"/>
              <w:spacing w:after="0"/>
              <w:rPr>
                <w:sz w:val="20"/>
                <w:szCs w:val="20"/>
                <w:color w:val="auto"/>
              </w:rPr>
            </w:pPr>
            <w:r>
              <w:rPr>
                <w:rFonts w:ascii="Arial" w:cs="Arial" w:eastAsia="Arial" w:hAnsi="Arial"/>
                <w:sz w:val="16"/>
                <w:szCs w:val="16"/>
                <w:color w:val="auto"/>
              </w:rPr>
              <w:t>209,774</w:t>
            </w:r>
          </w:p>
        </w:tc>
        <w:tc>
          <w:tcPr>
            <w:tcW w:w="188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20,000</w:t>
            </w:r>
          </w:p>
        </w:tc>
        <w:tc>
          <w:tcPr>
            <w:tcW w:w="96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379,774</w:t>
            </w:r>
          </w:p>
        </w:tc>
      </w:tr>
      <w:tr>
        <w:trPr>
          <w:trHeight w:val="264"/>
        </w:trPr>
        <w:tc>
          <w:tcPr>
            <w:tcW w:w="5040" w:type="dxa"/>
            <w:vAlign w:val="bottom"/>
          </w:tcPr>
          <w:p>
            <w:pPr>
              <w:ind w:left="80"/>
              <w:spacing w:after="0"/>
              <w:rPr>
                <w:sz w:val="20"/>
                <w:szCs w:val="20"/>
                <w:color w:val="auto"/>
              </w:rPr>
            </w:pPr>
            <w:r>
              <w:rPr>
                <w:rFonts w:ascii="Arial" w:cs="Arial" w:eastAsia="Arial" w:hAnsi="Arial"/>
                <w:sz w:val="16"/>
                <w:szCs w:val="16"/>
                <w:color w:val="auto"/>
              </w:rPr>
              <w:t>Charles M. Holley, Jr.</w:t>
            </w: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160,000</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209,774</w:t>
            </w:r>
          </w:p>
        </w:tc>
        <w:tc>
          <w:tcPr>
            <w:tcW w:w="188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369,774</w:t>
            </w:r>
          </w:p>
        </w:tc>
      </w:tr>
      <w:tr>
        <w:trPr>
          <w:trHeight w:val="60"/>
        </w:trPr>
        <w:tc>
          <w:tcPr>
            <w:tcW w:w="50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324"/>
        </w:trPr>
        <w:tc>
          <w:tcPr>
            <w:tcW w:w="5040" w:type="dxa"/>
            <w:vAlign w:val="bottom"/>
            <w:shd w:val="clear" w:color="auto" w:fill="CCE2F1"/>
          </w:tcPr>
          <w:p>
            <w:pPr>
              <w:ind w:left="80"/>
              <w:spacing w:after="0"/>
              <w:rPr>
                <w:sz w:val="20"/>
                <w:szCs w:val="20"/>
                <w:color w:val="auto"/>
              </w:rPr>
            </w:pPr>
            <w:r>
              <w:rPr>
                <w:rFonts w:ascii="Arial" w:cs="Arial" w:eastAsia="Arial" w:hAnsi="Arial"/>
                <w:sz w:val="16"/>
                <w:szCs w:val="16"/>
                <w:color w:val="auto"/>
              </w:rPr>
              <w:t>S. Omar Ishrak</w:t>
            </w:r>
            <w:r>
              <w:rPr>
                <w:rFonts w:ascii="Arial" w:cs="Arial" w:eastAsia="Arial" w:hAnsi="Arial"/>
                <w:sz w:val="24"/>
                <w:szCs w:val="24"/>
                <w:color w:val="auto"/>
                <w:vertAlign w:val="superscript"/>
              </w:rPr>
              <w:t>(2)</w:t>
            </w:r>
          </w:p>
        </w:tc>
        <w:tc>
          <w:tcPr>
            <w:tcW w:w="1680" w:type="dxa"/>
            <w:vAlign w:val="bottom"/>
            <w:shd w:val="clear" w:color="auto" w:fill="CCE2F1"/>
          </w:tcPr>
          <w:p>
            <w:pPr>
              <w:jc w:val="right"/>
              <w:ind w:right="99"/>
              <w:spacing w:after="0"/>
              <w:rPr>
                <w:sz w:val="20"/>
                <w:szCs w:val="20"/>
                <w:color w:val="auto"/>
              </w:rPr>
            </w:pPr>
            <w:r>
              <w:rPr>
                <w:rFonts w:ascii="Arial" w:cs="Arial" w:eastAsia="Arial" w:hAnsi="Arial"/>
                <w:sz w:val="16"/>
                <w:szCs w:val="16"/>
                <w:color w:val="auto"/>
              </w:rPr>
              <w:t>0</w:t>
            </w:r>
          </w:p>
        </w:tc>
        <w:tc>
          <w:tcPr>
            <w:tcW w:w="1460" w:type="dxa"/>
            <w:vAlign w:val="bottom"/>
            <w:shd w:val="clear" w:color="auto" w:fill="CCE2F1"/>
          </w:tcPr>
          <w:p>
            <w:pPr>
              <w:jc w:val="right"/>
              <w:ind w:right="119"/>
              <w:spacing w:after="0"/>
              <w:rPr>
                <w:sz w:val="20"/>
                <w:szCs w:val="20"/>
                <w:color w:val="auto"/>
              </w:rPr>
            </w:pPr>
            <w:r>
              <w:rPr>
                <w:rFonts w:ascii="Arial" w:cs="Arial" w:eastAsia="Arial" w:hAnsi="Arial"/>
                <w:sz w:val="16"/>
                <w:szCs w:val="16"/>
                <w:color w:val="auto"/>
              </w:rPr>
              <w:t>339,774</w:t>
            </w:r>
          </w:p>
        </w:tc>
        <w:tc>
          <w:tcPr>
            <w:tcW w:w="188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20,116</w:t>
            </w:r>
          </w:p>
        </w:tc>
        <w:tc>
          <w:tcPr>
            <w:tcW w:w="960" w:type="dxa"/>
            <w:vAlign w:val="bottom"/>
            <w:shd w:val="clear" w:color="auto" w:fill="CCE2F1"/>
          </w:tcPr>
          <w:p>
            <w:pPr>
              <w:jc w:val="right"/>
              <w:ind w:right="79"/>
              <w:spacing w:after="0"/>
              <w:rPr>
                <w:sz w:val="20"/>
                <w:szCs w:val="20"/>
                <w:color w:val="auto"/>
              </w:rPr>
            </w:pPr>
            <w:r>
              <w:rPr>
                <w:rFonts w:ascii="Arial" w:cs="Arial" w:eastAsia="Arial" w:hAnsi="Arial"/>
                <w:sz w:val="16"/>
                <w:szCs w:val="16"/>
                <w:color w:val="auto"/>
              </w:rPr>
              <w:t>359,890</w:t>
            </w:r>
          </w:p>
        </w:tc>
      </w:tr>
      <w:tr>
        <w:trPr>
          <w:trHeight w:val="264"/>
        </w:trPr>
        <w:tc>
          <w:tcPr>
            <w:tcW w:w="5040" w:type="dxa"/>
            <w:vAlign w:val="bottom"/>
          </w:tcPr>
          <w:p>
            <w:pPr>
              <w:ind w:left="80"/>
              <w:spacing w:after="0"/>
              <w:rPr>
                <w:sz w:val="20"/>
                <w:szCs w:val="20"/>
                <w:color w:val="auto"/>
              </w:rPr>
            </w:pPr>
            <w:r>
              <w:rPr>
                <w:rFonts w:ascii="Arial" w:cs="Arial" w:eastAsia="Arial" w:hAnsi="Arial"/>
                <w:sz w:val="16"/>
                <w:szCs w:val="16"/>
                <w:color w:val="auto"/>
              </w:rPr>
              <w:t>Tyler Jacks</w:t>
            </w: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130,000</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209,774</w:t>
            </w:r>
          </w:p>
        </w:tc>
        <w:tc>
          <w:tcPr>
            <w:tcW w:w="1880" w:type="dxa"/>
            <w:vAlign w:val="bottom"/>
          </w:tcPr>
          <w:p>
            <w:pPr>
              <w:jc w:val="right"/>
              <w:ind w:right="139"/>
              <w:spacing w:after="0"/>
              <w:rPr>
                <w:sz w:val="20"/>
                <w:szCs w:val="20"/>
                <w:color w:val="auto"/>
              </w:rPr>
            </w:pPr>
            <w:r>
              <w:rPr>
                <w:rFonts w:ascii="Arial" w:cs="Arial" w:eastAsia="Arial" w:hAnsi="Arial"/>
                <w:sz w:val="16"/>
                <w:szCs w:val="16"/>
                <w:color w:val="auto"/>
              </w:rPr>
              <w:t>20,000</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359,774</w:t>
            </w:r>
          </w:p>
        </w:tc>
      </w:tr>
      <w:tr>
        <w:trPr>
          <w:trHeight w:val="60"/>
        </w:trPr>
        <w:tc>
          <w:tcPr>
            <w:tcW w:w="50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324"/>
        </w:trPr>
        <w:tc>
          <w:tcPr>
            <w:tcW w:w="5040" w:type="dxa"/>
            <w:vAlign w:val="bottom"/>
            <w:shd w:val="clear" w:color="auto" w:fill="CCE2F1"/>
          </w:tcPr>
          <w:p>
            <w:pPr>
              <w:ind w:left="80"/>
              <w:spacing w:after="0"/>
              <w:rPr>
                <w:sz w:val="20"/>
                <w:szCs w:val="20"/>
                <w:color w:val="auto"/>
              </w:rPr>
            </w:pPr>
            <w:r>
              <w:rPr>
                <w:rFonts w:ascii="Arial" w:cs="Arial" w:eastAsia="Arial" w:hAnsi="Arial"/>
                <w:sz w:val="16"/>
                <w:szCs w:val="16"/>
                <w:color w:val="auto"/>
              </w:rPr>
              <w:t>Ellen J. Kullman</w:t>
            </w:r>
            <w:r>
              <w:rPr>
                <w:rFonts w:ascii="Arial" w:cs="Arial" w:eastAsia="Arial" w:hAnsi="Arial"/>
                <w:sz w:val="24"/>
                <w:szCs w:val="24"/>
                <w:color w:val="auto"/>
                <w:vertAlign w:val="superscript"/>
              </w:rPr>
              <w:t>(2)</w:t>
            </w:r>
          </w:p>
        </w:tc>
        <w:tc>
          <w:tcPr>
            <w:tcW w:w="1680" w:type="dxa"/>
            <w:vAlign w:val="bottom"/>
            <w:shd w:val="clear" w:color="auto" w:fill="CCE2F1"/>
          </w:tcPr>
          <w:p>
            <w:pPr>
              <w:jc w:val="right"/>
              <w:ind w:right="99"/>
              <w:spacing w:after="0"/>
              <w:rPr>
                <w:sz w:val="20"/>
                <w:szCs w:val="20"/>
                <w:color w:val="auto"/>
              </w:rPr>
            </w:pPr>
            <w:r>
              <w:rPr>
                <w:rFonts w:ascii="Arial" w:cs="Arial" w:eastAsia="Arial" w:hAnsi="Arial"/>
                <w:sz w:val="16"/>
                <w:szCs w:val="16"/>
                <w:color w:val="auto"/>
              </w:rPr>
              <w:t>0</w:t>
            </w:r>
          </w:p>
        </w:tc>
        <w:tc>
          <w:tcPr>
            <w:tcW w:w="1460" w:type="dxa"/>
            <w:vAlign w:val="bottom"/>
            <w:shd w:val="clear" w:color="auto" w:fill="CCE2F1"/>
          </w:tcPr>
          <w:p>
            <w:pPr>
              <w:jc w:val="right"/>
              <w:ind w:right="119"/>
              <w:spacing w:after="0"/>
              <w:rPr>
                <w:sz w:val="20"/>
                <w:szCs w:val="20"/>
                <w:color w:val="auto"/>
              </w:rPr>
            </w:pPr>
            <w:r>
              <w:rPr>
                <w:rFonts w:ascii="Arial" w:cs="Arial" w:eastAsia="Arial" w:hAnsi="Arial"/>
                <w:sz w:val="16"/>
                <w:szCs w:val="16"/>
                <w:color w:val="auto"/>
              </w:rPr>
              <w:t>339,774</w:t>
            </w:r>
          </w:p>
        </w:tc>
        <w:tc>
          <w:tcPr>
            <w:tcW w:w="1880" w:type="dxa"/>
            <w:vAlign w:val="bottom"/>
            <w:shd w:val="clear" w:color="auto" w:fill="CCE2F1"/>
          </w:tcPr>
          <w:p>
            <w:pPr>
              <w:jc w:val="right"/>
              <w:ind w:right="139"/>
              <w:spacing w:after="0"/>
              <w:rPr>
                <w:sz w:val="20"/>
                <w:szCs w:val="20"/>
                <w:color w:val="auto"/>
              </w:rPr>
            </w:pPr>
            <w:r>
              <w:rPr>
                <w:rFonts w:ascii="Arial" w:cs="Arial" w:eastAsia="Arial" w:hAnsi="Arial"/>
                <w:sz w:val="16"/>
                <w:szCs w:val="16"/>
                <w:color w:val="auto"/>
              </w:rPr>
              <w:t>20,138</w:t>
            </w:r>
          </w:p>
        </w:tc>
        <w:tc>
          <w:tcPr>
            <w:tcW w:w="960" w:type="dxa"/>
            <w:vAlign w:val="bottom"/>
            <w:shd w:val="clear" w:color="auto" w:fill="CCE2F1"/>
          </w:tcPr>
          <w:p>
            <w:pPr>
              <w:jc w:val="right"/>
              <w:ind w:right="79"/>
              <w:spacing w:after="0"/>
              <w:rPr>
                <w:sz w:val="20"/>
                <w:szCs w:val="20"/>
                <w:color w:val="auto"/>
              </w:rPr>
            </w:pPr>
            <w:r>
              <w:rPr>
                <w:rFonts w:ascii="Arial" w:cs="Arial" w:eastAsia="Arial" w:hAnsi="Arial"/>
                <w:sz w:val="16"/>
                <w:szCs w:val="16"/>
                <w:color w:val="auto"/>
              </w:rPr>
              <w:t>359,912</w:t>
            </w:r>
          </w:p>
        </w:tc>
      </w:tr>
      <w:tr>
        <w:trPr>
          <w:trHeight w:val="264"/>
        </w:trPr>
        <w:tc>
          <w:tcPr>
            <w:tcW w:w="5040" w:type="dxa"/>
            <w:vAlign w:val="bottom"/>
          </w:tcPr>
          <w:p>
            <w:pPr>
              <w:ind w:left="80"/>
              <w:spacing w:after="0"/>
              <w:rPr>
                <w:sz w:val="20"/>
                <w:szCs w:val="20"/>
                <w:color w:val="auto"/>
              </w:rPr>
            </w:pPr>
            <w:r>
              <w:rPr>
                <w:rFonts w:ascii="Arial" w:cs="Arial" w:eastAsia="Arial" w:hAnsi="Arial"/>
                <w:sz w:val="16"/>
                <w:szCs w:val="16"/>
                <w:color w:val="auto"/>
              </w:rPr>
              <w:t>Amy E. Miles</w:t>
            </w: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130,000</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209,774</w:t>
            </w:r>
          </w:p>
        </w:tc>
        <w:tc>
          <w:tcPr>
            <w:tcW w:w="1880" w:type="dxa"/>
            <w:vAlign w:val="bottom"/>
          </w:tcPr>
          <w:p>
            <w:pPr>
              <w:jc w:val="right"/>
              <w:ind w:right="139"/>
              <w:spacing w:after="0"/>
              <w:rPr>
                <w:sz w:val="20"/>
                <w:szCs w:val="20"/>
                <w:color w:val="auto"/>
              </w:rPr>
            </w:pPr>
            <w:r>
              <w:rPr>
                <w:rFonts w:ascii="Arial" w:cs="Arial" w:eastAsia="Arial" w:hAnsi="Arial"/>
                <w:sz w:val="16"/>
                <w:szCs w:val="16"/>
                <w:color w:val="auto"/>
              </w:rPr>
              <w:t>20,039</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359,813</w:t>
            </w:r>
          </w:p>
        </w:tc>
      </w:tr>
      <w:tr>
        <w:trPr>
          <w:trHeight w:val="60"/>
        </w:trPr>
        <w:tc>
          <w:tcPr>
            <w:tcW w:w="50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304"/>
        </w:trPr>
        <w:tc>
          <w:tcPr>
            <w:tcW w:w="504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6"/>
                <w:szCs w:val="16"/>
                <w:color w:val="auto"/>
              </w:rPr>
              <w:t>Ronald D. Sugar</w:t>
            </w:r>
          </w:p>
        </w:tc>
        <w:tc>
          <w:tcPr>
            <w:tcW w:w="1680" w:type="dxa"/>
            <w:vAlign w:val="bottom"/>
            <w:tcBorders>
              <w:bottom w:val="single" w:sz="8" w:color="CCE2F1"/>
            </w:tcBorders>
            <w:shd w:val="clear" w:color="auto" w:fill="CCE2F1"/>
          </w:tcPr>
          <w:p>
            <w:pPr>
              <w:jc w:val="right"/>
              <w:ind w:right="99"/>
              <w:spacing w:after="0"/>
              <w:rPr>
                <w:sz w:val="20"/>
                <w:szCs w:val="20"/>
                <w:color w:val="auto"/>
              </w:rPr>
            </w:pPr>
            <w:r>
              <w:rPr>
                <w:rFonts w:ascii="Arial" w:cs="Arial" w:eastAsia="Arial" w:hAnsi="Arial"/>
                <w:sz w:val="16"/>
                <w:szCs w:val="16"/>
                <w:color w:val="auto"/>
              </w:rPr>
              <w:t>150,000</w:t>
            </w:r>
          </w:p>
        </w:tc>
        <w:tc>
          <w:tcPr>
            <w:tcW w:w="1460" w:type="dxa"/>
            <w:vAlign w:val="bottom"/>
            <w:tcBorders>
              <w:bottom w:val="single" w:sz="8" w:color="CCE2F1"/>
            </w:tcBorders>
            <w:shd w:val="clear" w:color="auto" w:fill="CCE2F1"/>
          </w:tcPr>
          <w:p>
            <w:pPr>
              <w:jc w:val="right"/>
              <w:ind w:right="119"/>
              <w:spacing w:after="0"/>
              <w:rPr>
                <w:sz w:val="20"/>
                <w:szCs w:val="20"/>
                <w:color w:val="auto"/>
              </w:rPr>
            </w:pPr>
            <w:r>
              <w:rPr>
                <w:rFonts w:ascii="Arial" w:cs="Arial" w:eastAsia="Arial" w:hAnsi="Arial"/>
                <w:sz w:val="16"/>
                <w:szCs w:val="16"/>
                <w:color w:val="auto"/>
              </w:rPr>
              <w:t>209,774</w:t>
            </w:r>
          </w:p>
        </w:tc>
        <w:tc>
          <w:tcPr>
            <w:tcW w:w="188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21,044</w:t>
            </w:r>
          </w:p>
        </w:tc>
        <w:tc>
          <w:tcPr>
            <w:tcW w:w="96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380,818</w:t>
            </w:r>
          </w:p>
        </w:tc>
      </w:tr>
      <w:tr>
        <w:trPr>
          <w:trHeight w:val="264"/>
        </w:trPr>
        <w:tc>
          <w:tcPr>
            <w:tcW w:w="5040" w:type="dxa"/>
            <w:vAlign w:val="bottom"/>
          </w:tcPr>
          <w:p>
            <w:pPr>
              <w:ind w:left="80"/>
              <w:spacing w:after="0"/>
              <w:rPr>
                <w:sz w:val="20"/>
                <w:szCs w:val="20"/>
                <w:color w:val="auto"/>
              </w:rPr>
            </w:pPr>
            <w:r>
              <w:rPr>
                <w:rFonts w:ascii="Arial" w:cs="Arial" w:eastAsia="Arial" w:hAnsi="Arial"/>
                <w:sz w:val="16"/>
                <w:szCs w:val="16"/>
                <w:color w:val="auto"/>
              </w:rPr>
              <w:t>R. Sanders Williams</w:t>
            </w: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130,000</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209,774</w:t>
            </w:r>
          </w:p>
        </w:tc>
        <w:tc>
          <w:tcPr>
            <w:tcW w:w="1880" w:type="dxa"/>
            <w:vAlign w:val="bottom"/>
          </w:tcPr>
          <w:p>
            <w:pPr>
              <w:jc w:val="right"/>
              <w:ind w:right="139"/>
              <w:spacing w:after="0"/>
              <w:rPr>
                <w:sz w:val="20"/>
                <w:szCs w:val="20"/>
                <w:color w:val="auto"/>
              </w:rPr>
            </w:pPr>
            <w:r>
              <w:rPr>
                <w:rFonts w:ascii="Arial" w:cs="Arial" w:eastAsia="Arial" w:hAnsi="Arial"/>
                <w:sz w:val="16"/>
                <w:szCs w:val="16"/>
                <w:color w:val="auto"/>
              </w:rPr>
              <w:t>20,164</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359,938</w:t>
            </w:r>
          </w:p>
        </w:tc>
      </w:tr>
      <w:tr>
        <w:trPr>
          <w:trHeight w:val="60"/>
        </w:trPr>
        <w:tc>
          <w:tcPr>
            <w:tcW w:w="5040" w:type="dxa"/>
            <w:vAlign w:val="bottom"/>
            <w:tcBorders>
              <w:bottom w:val="single" w:sz="8" w:color="0171B9"/>
            </w:tcBorders>
          </w:tcPr>
          <w:p>
            <w:pPr>
              <w:spacing w:after="0"/>
              <w:rPr>
                <w:sz w:val="5"/>
                <w:szCs w:val="5"/>
                <w:color w:val="auto"/>
              </w:rPr>
            </w:pPr>
          </w:p>
        </w:tc>
        <w:tc>
          <w:tcPr>
            <w:tcW w:w="1680" w:type="dxa"/>
            <w:vAlign w:val="bottom"/>
            <w:tcBorders>
              <w:bottom w:val="single" w:sz="8" w:color="0171B9"/>
            </w:tcBorders>
          </w:tcPr>
          <w:p>
            <w:pPr>
              <w:spacing w:after="0"/>
              <w:rPr>
                <w:sz w:val="5"/>
                <w:szCs w:val="5"/>
                <w:color w:val="auto"/>
              </w:rPr>
            </w:pPr>
          </w:p>
        </w:tc>
        <w:tc>
          <w:tcPr>
            <w:tcW w:w="1460" w:type="dxa"/>
            <w:vAlign w:val="bottom"/>
            <w:tcBorders>
              <w:bottom w:val="single" w:sz="8" w:color="0171B9"/>
            </w:tcBorders>
          </w:tcPr>
          <w:p>
            <w:pPr>
              <w:spacing w:after="0"/>
              <w:rPr>
                <w:sz w:val="5"/>
                <w:szCs w:val="5"/>
                <w:color w:val="auto"/>
              </w:rPr>
            </w:pPr>
          </w:p>
        </w:tc>
        <w:tc>
          <w:tcPr>
            <w:tcW w:w="1880" w:type="dxa"/>
            <w:vAlign w:val="bottom"/>
            <w:tcBorders>
              <w:bottom w:val="single" w:sz="8" w:color="0171B9"/>
            </w:tcBorders>
          </w:tcPr>
          <w:p>
            <w:pPr>
              <w:spacing w:after="0"/>
              <w:rPr>
                <w:sz w:val="5"/>
                <w:szCs w:val="5"/>
                <w:color w:val="auto"/>
              </w:rPr>
            </w:pPr>
          </w:p>
        </w:tc>
        <w:tc>
          <w:tcPr>
            <w:tcW w:w="960" w:type="dxa"/>
            <w:vAlign w:val="bottom"/>
            <w:tcBorders>
              <w:bottom w:val="single" w:sz="8" w:color="0171B9"/>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-2476500</wp:posOffset>
            </wp:positionV>
            <wp:extent cx="699516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6" w:lineRule="exact"/>
        <w:rPr>
          <w:sz w:val="20"/>
          <w:szCs w:val="20"/>
          <w:color w:val="auto"/>
        </w:rPr>
      </w:pPr>
    </w:p>
    <w:p>
      <w:pPr>
        <w:ind w:left="540" w:right="20" w:hanging="424"/>
        <w:spacing w:after="0" w:line="187" w:lineRule="auto"/>
        <w:tabs>
          <w:tab w:leader="none" w:pos="540" w:val="left"/>
        </w:tabs>
        <w:numPr>
          <w:ilvl w:val="0"/>
          <w:numId w:val="132"/>
        </w:numPr>
        <w:rPr>
          <w:rFonts w:ascii="Arial" w:cs="Arial" w:eastAsia="Arial" w:hAnsi="Arial"/>
          <w:sz w:val="22"/>
          <w:szCs w:val="22"/>
          <w:color w:val="auto"/>
          <w:vertAlign w:val="superscript"/>
        </w:rPr>
      </w:pPr>
      <w:r>
        <w:rPr>
          <w:rFonts w:ascii="Arial" w:cs="Arial" w:eastAsia="Arial" w:hAnsi="Arial"/>
          <w:sz w:val="14"/>
          <w:szCs w:val="14"/>
          <w:color w:val="auto"/>
        </w:rPr>
        <w:t>Dr. Drake joined our Board in August 2022. Accordingly, fees earned consist of a pro-rata amount of the annual retainer fee (pro-rated on a monthly basis for actual service) in 2022.</w:t>
      </w:r>
    </w:p>
    <w:p>
      <w:pPr>
        <w:spacing w:after="0" w:line="1" w:lineRule="exact"/>
        <w:rPr>
          <w:rFonts w:ascii="Arial" w:cs="Arial" w:eastAsia="Arial" w:hAnsi="Arial"/>
          <w:sz w:val="22"/>
          <w:szCs w:val="22"/>
          <w:color w:val="auto"/>
          <w:vertAlign w:val="superscript"/>
        </w:rPr>
      </w:pPr>
    </w:p>
    <w:p>
      <w:pPr>
        <w:ind w:left="540" w:right="20" w:hanging="424"/>
        <w:spacing w:after="0" w:line="187" w:lineRule="auto"/>
        <w:tabs>
          <w:tab w:leader="none" w:pos="540" w:val="left"/>
        </w:tabs>
        <w:numPr>
          <w:ilvl w:val="0"/>
          <w:numId w:val="132"/>
        </w:numPr>
        <w:rPr>
          <w:rFonts w:ascii="Arial" w:cs="Arial" w:eastAsia="Arial" w:hAnsi="Arial"/>
          <w:sz w:val="22"/>
          <w:szCs w:val="22"/>
          <w:color w:val="auto"/>
          <w:vertAlign w:val="superscript"/>
        </w:rPr>
      </w:pPr>
      <w:r>
        <w:rPr>
          <w:rFonts w:ascii="Arial" w:cs="Arial" w:eastAsia="Arial" w:hAnsi="Arial"/>
          <w:sz w:val="14"/>
          <w:szCs w:val="14"/>
          <w:color w:val="auto"/>
        </w:rPr>
        <w:t>Drs. Drake and Ishrak and Ms. Kullman elected to receive 100% of their respective annual retainer and committee meeting fees in the form of deferred vested RSUs, the value of which are reflected in the stock awards column in accordance with Accounting Standards Codification Topic 718.</w:t>
      </w:r>
    </w:p>
    <w:p>
      <w:pPr>
        <w:spacing w:after="0" w:line="1" w:lineRule="exact"/>
        <w:rPr>
          <w:rFonts w:ascii="Arial" w:cs="Arial" w:eastAsia="Arial" w:hAnsi="Arial"/>
          <w:sz w:val="22"/>
          <w:szCs w:val="22"/>
          <w:color w:val="auto"/>
          <w:vertAlign w:val="superscript"/>
        </w:rPr>
      </w:pPr>
    </w:p>
    <w:p>
      <w:pPr>
        <w:ind w:left="540" w:hanging="424"/>
        <w:spacing w:after="0" w:line="187" w:lineRule="auto"/>
        <w:tabs>
          <w:tab w:leader="none" w:pos="540" w:val="left"/>
        </w:tabs>
        <w:numPr>
          <w:ilvl w:val="0"/>
          <w:numId w:val="132"/>
        </w:numPr>
        <w:rPr>
          <w:rFonts w:ascii="Arial" w:cs="Arial" w:eastAsia="Arial" w:hAnsi="Arial"/>
          <w:sz w:val="18"/>
          <w:szCs w:val="18"/>
          <w:color w:val="auto"/>
          <w:vertAlign w:val="superscript"/>
        </w:rPr>
      </w:pPr>
      <w:r>
        <w:rPr>
          <w:rFonts w:ascii="Arial" w:cs="Arial" w:eastAsia="Arial" w:hAnsi="Arial"/>
          <w:sz w:val="12"/>
          <w:szCs w:val="12"/>
          <w:color w:val="auto"/>
        </w:rPr>
        <w:t>Reflects all cash fees earned by members of our Board for annual retainers.</w:t>
      </w:r>
    </w:p>
    <w:p>
      <w:pPr>
        <w:jc w:val="both"/>
        <w:ind w:left="540" w:hanging="424"/>
        <w:spacing w:after="0" w:line="225" w:lineRule="auto"/>
        <w:tabs>
          <w:tab w:leader="none" w:pos="540" w:val="left"/>
        </w:tabs>
        <w:numPr>
          <w:ilvl w:val="0"/>
          <w:numId w:val="132"/>
        </w:numPr>
        <w:rPr>
          <w:rFonts w:ascii="Arial" w:cs="Arial" w:eastAsia="Arial" w:hAnsi="Arial"/>
          <w:sz w:val="22"/>
          <w:szCs w:val="22"/>
          <w:color w:val="auto"/>
          <w:vertAlign w:val="superscript"/>
        </w:rPr>
      </w:pPr>
      <w:r>
        <w:rPr>
          <w:rFonts w:ascii="Arial" w:cs="Arial" w:eastAsia="Arial" w:hAnsi="Arial"/>
          <w:sz w:val="14"/>
          <w:szCs w:val="14"/>
          <w:color w:val="auto"/>
        </w:rPr>
        <w:t>Reflects the grant date fair values of RSUs determined in accordance with Accounting Standards Codification Topic 718 consisting of 855 RSUs granted on May 17, 2022, to each director named above, except Dr. Drake. Dr. Drake was granted 634 RSUs on August 9, 2022, which reflects a proration of the annual grant for service on the Board through the 2023 Annual Meeting of Stockholders. The grant date fair values of all of the annual awards are based on the closing price of our Common Stock on the grant date ($245.35 and $248.36 on May 17 and August 9, 2022, respectively) multiplied by the number of RSUs granted. Such grants occurred on the date of our annual meeting of stockholders or the third business day after release of our applicable quarterly earnings, respectively. Directors who elect to defer receipt of the shares accrue dividend equivalents on the vested RSUs during the deferral period. All of the RSUs granted to directors were fully vested upon grant, and thus directors who do not elect to defer the vested RSUs receive shares of common stock upon grant.</w:t>
      </w:r>
    </w:p>
    <w:p>
      <w:pPr>
        <w:spacing w:after="0" w:line="112" w:lineRule="exact"/>
        <w:rPr>
          <w:rFonts w:ascii="Arial" w:cs="Arial" w:eastAsia="Arial" w:hAnsi="Arial"/>
          <w:sz w:val="22"/>
          <w:szCs w:val="22"/>
          <w:color w:val="auto"/>
          <w:vertAlign w:val="superscript"/>
        </w:rPr>
      </w:pPr>
    </w:p>
    <w:p>
      <w:pPr>
        <w:ind w:left="540" w:right="20"/>
        <w:spacing w:after="0" w:line="258" w:lineRule="auto"/>
        <w:rPr>
          <w:rFonts w:ascii="Arial" w:cs="Arial" w:eastAsia="Arial" w:hAnsi="Arial"/>
          <w:sz w:val="22"/>
          <w:szCs w:val="22"/>
          <w:color w:val="auto"/>
          <w:vertAlign w:val="superscript"/>
        </w:rPr>
      </w:pPr>
      <w:r>
        <w:rPr>
          <w:rFonts w:ascii="Arial" w:cs="Arial" w:eastAsia="Arial" w:hAnsi="Arial"/>
          <w:sz w:val="14"/>
          <w:szCs w:val="14"/>
          <w:color w:val="auto"/>
        </w:rPr>
        <w:t>In addition to the annual grants discussed above, Drs. Drake and Ishrak and Ms. Kullman elected to receive RSUs in lieu of cash fees earned in 2022 for 100% of their annual retainer and committee meeting fees (rounded down to the nearest whole number of units) as follows:</w:t>
      </w: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264"/>
        </w:trPr>
        <w:tc>
          <w:tcPr>
            <w:tcW w:w="6420" w:type="dxa"/>
            <w:vAlign w:val="bottom"/>
            <w:shd w:val="clear" w:color="auto" w:fill="0171B9"/>
          </w:tcPr>
          <w:p>
            <w:pPr>
              <w:spacing w:after="0"/>
              <w:rPr>
                <w:sz w:val="22"/>
                <w:szCs w:val="22"/>
                <w:color w:val="auto"/>
              </w:rPr>
            </w:pPr>
          </w:p>
        </w:tc>
        <w:tc>
          <w:tcPr>
            <w:tcW w:w="4160" w:type="dxa"/>
            <w:vAlign w:val="bottom"/>
            <w:gridSpan w:val="3"/>
            <w:shd w:val="clear" w:color="auto" w:fill="0171B9"/>
          </w:tcPr>
          <w:p>
            <w:pPr>
              <w:jc w:val="right"/>
              <w:ind w:right="819"/>
              <w:spacing w:after="0"/>
              <w:rPr>
                <w:sz w:val="20"/>
                <w:szCs w:val="20"/>
                <w:color w:val="auto"/>
              </w:rPr>
            </w:pPr>
            <w:r>
              <w:rPr>
                <w:rFonts w:ascii="Arial" w:cs="Arial" w:eastAsia="Arial" w:hAnsi="Arial"/>
                <w:sz w:val="16"/>
                <w:szCs w:val="16"/>
                <w:b w:val="1"/>
                <w:bCs w:val="1"/>
                <w:color w:val="FFFFFF"/>
              </w:rPr>
              <w:t>Granted on (but receipt deferred)</w:t>
            </w:r>
          </w:p>
        </w:tc>
      </w:tr>
      <w:tr>
        <w:trPr>
          <w:trHeight w:val="350"/>
        </w:trPr>
        <w:tc>
          <w:tcPr>
            <w:tcW w:w="6420" w:type="dxa"/>
            <w:vAlign w:val="bottom"/>
            <w:tcBorders>
              <w:bottom w:val="single" w:sz="8" w:color="0171B9"/>
            </w:tcBorders>
            <w:shd w:val="clear" w:color="auto" w:fill="0171B9"/>
          </w:tcPr>
          <w:p>
            <w:pPr>
              <w:ind w:left="100"/>
              <w:spacing w:after="0"/>
              <w:rPr>
                <w:sz w:val="20"/>
                <w:szCs w:val="20"/>
                <w:color w:val="auto"/>
              </w:rPr>
            </w:pPr>
            <w:r>
              <w:rPr>
                <w:rFonts w:ascii="Arial" w:cs="Arial" w:eastAsia="Arial" w:hAnsi="Arial"/>
                <w:sz w:val="16"/>
                <w:szCs w:val="16"/>
                <w:b w:val="1"/>
                <w:bCs w:val="1"/>
                <w:color w:val="FFFFFF"/>
              </w:rPr>
              <w:t>Non-Employee Director</w:t>
            </w:r>
          </w:p>
        </w:tc>
        <w:tc>
          <w:tcPr>
            <w:tcW w:w="1100" w:type="dxa"/>
            <w:vAlign w:val="bottom"/>
            <w:tcBorders>
              <w:bottom w:val="single" w:sz="8" w:color="0171B9"/>
            </w:tcBorders>
            <w:shd w:val="clear" w:color="auto" w:fill="0171B9"/>
          </w:tcPr>
          <w:p>
            <w:pPr>
              <w:jc w:val="right"/>
              <w:ind w:right="19"/>
              <w:spacing w:after="0"/>
              <w:rPr>
                <w:sz w:val="20"/>
                <w:szCs w:val="20"/>
                <w:color w:val="auto"/>
              </w:rPr>
            </w:pPr>
            <w:r>
              <w:rPr>
                <w:rFonts w:ascii="Arial" w:cs="Arial" w:eastAsia="Arial" w:hAnsi="Arial"/>
                <w:sz w:val="16"/>
                <w:szCs w:val="16"/>
                <w:b w:val="1"/>
                <w:bCs w:val="1"/>
                <w:color w:val="FFFFFF"/>
              </w:rPr>
              <w:t>May 2, 2022</w:t>
            </w:r>
          </w:p>
        </w:tc>
        <w:tc>
          <w:tcPr>
            <w:tcW w:w="1320" w:type="dxa"/>
            <w:vAlign w:val="bottom"/>
            <w:tcBorders>
              <w:bottom w:val="single" w:sz="8" w:color="0171B9"/>
            </w:tcBorders>
            <w:shd w:val="clear" w:color="auto" w:fill="0171B9"/>
          </w:tcPr>
          <w:p>
            <w:pPr>
              <w:jc w:val="right"/>
              <w:ind w:right="19"/>
              <w:spacing w:after="0"/>
              <w:rPr>
                <w:sz w:val="20"/>
                <w:szCs w:val="20"/>
                <w:color w:val="auto"/>
              </w:rPr>
            </w:pPr>
            <w:r>
              <w:rPr>
                <w:rFonts w:ascii="Arial" w:cs="Arial" w:eastAsia="Arial" w:hAnsi="Arial"/>
                <w:sz w:val="16"/>
                <w:szCs w:val="16"/>
                <w:b w:val="1"/>
                <w:bCs w:val="1"/>
                <w:color w:val="FFFFFF"/>
              </w:rPr>
              <w:t>August 9, 2022</w:t>
            </w:r>
          </w:p>
        </w:tc>
        <w:tc>
          <w:tcPr>
            <w:tcW w:w="1740" w:type="dxa"/>
            <w:vAlign w:val="bottom"/>
            <w:tcBorders>
              <w:bottom w:val="single" w:sz="8" w:color="0171B9"/>
            </w:tcBorders>
            <w:shd w:val="clear" w:color="auto" w:fill="0171B9"/>
          </w:tcPr>
          <w:p>
            <w:pPr>
              <w:jc w:val="right"/>
              <w:ind w:right="179"/>
              <w:spacing w:after="0"/>
              <w:rPr>
                <w:sz w:val="20"/>
                <w:szCs w:val="20"/>
                <w:color w:val="auto"/>
              </w:rPr>
            </w:pPr>
            <w:r>
              <w:rPr>
                <w:rFonts w:ascii="Arial" w:cs="Arial" w:eastAsia="Arial" w:hAnsi="Arial"/>
                <w:sz w:val="16"/>
                <w:szCs w:val="16"/>
                <w:b w:val="1"/>
                <w:bCs w:val="1"/>
                <w:color w:val="FFFFFF"/>
              </w:rPr>
              <w:t>November 8, 2022</w:t>
            </w:r>
          </w:p>
        </w:tc>
      </w:tr>
      <w:tr>
        <w:trPr>
          <w:trHeight w:val="304"/>
        </w:trPr>
        <w:tc>
          <w:tcPr>
            <w:tcW w:w="642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Michael V. Drake</w:t>
            </w:r>
          </w:p>
        </w:tc>
        <w:tc>
          <w:tcPr>
            <w:tcW w:w="1100" w:type="dxa"/>
            <w:vAlign w:val="bottom"/>
            <w:tcBorders>
              <w:bottom w:val="single" w:sz="8" w:color="CCE2F1"/>
            </w:tcBorders>
            <w:shd w:val="clear" w:color="auto" w:fill="CCE2F1"/>
          </w:tcPr>
          <w:p>
            <w:pPr>
              <w:jc w:val="right"/>
              <w:ind w:right="19"/>
              <w:spacing w:after="0"/>
              <w:rPr>
                <w:sz w:val="20"/>
                <w:szCs w:val="20"/>
                <w:color w:val="auto"/>
              </w:rPr>
            </w:pPr>
            <w:r>
              <w:rPr>
                <w:rFonts w:ascii="Arial" w:cs="Arial" w:eastAsia="Arial" w:hAnsi="Arial"/>
                <w:sz w:val="16"/>
                <w:szCs w:val="16"/>
                <w:color w:val="auto"/>
              </w:rPr>
              <w:t>n/a</w:t>
            </w:r>
          </w:p>
        </w:tc>
        <w:tc>
          <w:tcPr>
            <w:tcW w:w="1320" w:type="dxa"/>
            <w:vAlign w:val="bottom"/>
            <w:tcBorders>
              <w:bottom w:val="single" w:sz="8" w:color="CCE2F1"/>
            </w:tcBorders>
            <w:shd w:val="clear" w:color="auto" w:fill="CCE2F1"/>
          </w:tcPr>
          <w:p>
            <w:pPr>
              <w:jc w:val="right"/>
              <w:ind w:right="19"/>
              <w:spacing w:after="0"/>
              <w:rPr>
                <w:sz w:val="20"/>
                <w:szCs w:val="20"/>
                <w:color w:val="auto"/>
              </w:rPr>
            </w:pPr>
            <w:r>
              <w:rPr>
                <w:rFonts w:ascii="Arial" w:cs="Arial" w:eastAsia="Arial" w:hAnsi="Arial"/>
                <w:sz w:val="16"/>
                <w:szCs w:val="16"/>
                <w:color w:val="auto"/>
              </w:rPr>
              <w:t>n/a</w:t>
            </w:r>
          </w:p>
        </w:tc>
        <w:tc>
          <w:tcPr>
            <w:tcW w:w="1740" w:type="dxa"/>
            <w:vAlign w:val="bottom"/>
            <w:tcBorders>
              <w:bottom w:val="single" w:sz="8" w:color="CCE2F1"/>
            </w:tcBorders>
            <w:shd w:val="clear" w:color="auto" w:fill="CCE2F1"/>
          </w:tcPr>
          <w:p>
            <w:pPr>
              <w:jc w:val="right"/>
              <w:ind w:right="179"/>
              <w:spacing w:after="0"/>
              <w:rPr>
                <w:sz w:val="20"/>
                <w:szCs w:val="20"/>
                <w:color w:val="auto"/>
              </w:rPr>
            </w:pPr>
            <w:r>
              <w:rPr>
                <w:rFonts w:ascii="Arial" w:cs="Arial" w:eastAsia="Arial" w:hAnsi="Arial"/>
                <w:sz w:val="16"/>
                <w:szCs w:val="16"/>
                <w:color w:val="auto"/>
              </w:rPr>
              <w:t>171</w:t>
            </w:r>
          </w:p>
        </w:tc>
      </w:tr>
      <w:tr>
        <w:trPr>
          <w:trHeight w:val="264"/>
        </w:trPr>
        <w:tc>
          <w:tcPr>
            <w:tcW w:w="6420" w:type="dxa"/>
            <w:vAlign w:val="bottom"/>
          </w:tcPr>
          <w:p>
            <w:pPr>
              <w:ind w:left="100"/>
              <w:spacing w:after="0"/>
              <w:rPr>
                <w:sz w:val="20"/>
                <w:szCs w:val="20"/>
                <w:color w:val="auto"/>
              </w:rPr>
            </w:pPr>
            <w:r>
              <w:rPr>
                <w:rFonts w:ascii="Arial" w:cs="Arial" w:eastAsia="Arial" w:hAnsi="Arial"/>
                <w:sz w:val="16"/>
                <w:szCs w:val="16"/>
                <w:color w:val="auto"/>
              </w:rPr>
              <w:t>S. Omar Ishrak</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740" w:type="dxa"/>
            <w:vAlign w:val="bottom"/>
          </w:tcPr>
          <w:p>
            <w:pPr>
              <w:jc w:val="right"/>
              <w:ind w:right="179"/>
              <w:spacing w:after="0"/>
              <w:rPr>
                <w:sz w:val="20"/>
                <w:szCs w:val="20"/>
                <w:color w:val="auto"/>
              </w:rPr>
            </w:pPr>
            <w:r>
              <w:rPr>
                <w:rFonts w:ascii="Arial" w:cs="Arial" w:eastAsia="Arial" w:hAnsi="Arial"/>
                <w:sz w:val="16"/>
                <w:szCs w:val="16"/>
                <w:color w:val="auto"/>
              </w:rPr>
              <w:t>222</w:t>
            </w:r>
          </w:p>
        </w:tc>
      </w:tr>
      <w:tr>
        <w:trPr>
          <w:trHeight w:val="60"/>
        </w:trPr>
        <w:tc>
          <w:tcPr>
            <w:tcW w:w="6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740" w:type="dxa"/>
            <w:vAlign w:val="bottom"/>
          </w:tcPr>
          <w:p>
            <w:pPr>
              <w:spacing w:after="0"/>
              <w:rPr>
                <w:sz w:val="5"/>
                <w:szCs w:val="5"/>
                <w:color w:val="auto"/>
              </w:rPr>
            </w:pPr>
          </w:p>
        </w:tc>
      </w:tr>
      <w:tr>
        <w:trPr>
          <w:trHeight w:val="304"/>
        </w:trPr>
        <w:tc>
          <w:tcPr>
            <w:tcW w:w="642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Ellen J. Kullman</w:t>
            </w:r>
          </w:p>
        </w:tc>
        <w:tc>
          <w:tcPr>
            <w:tcW w:w="1100" w:type="dxa"/>
            <w:vAlign w:val="bottom"/>
            <w:tcBorders>
              <w:bottom w:val="single" w:sz="8" w:color="CCE2F1"/>
            </w:tcBorders>
            <w:shd w:val="clear" w:color="auto" w:fill="CCE2F1"/>
          </w:tcPr>
          <w:p>
            <w:pPr>
              <w:jc w:val="right"/>
              <w:ind w:right="19"/>
              <w:spacing w:after="0"/>
              <w:rPr>
                <w:sz w:val="20"/>
                <w:szCs w:val="20"/>
                <w:color w:val="auto"/>
              </w:rPr>
            </w:pPr>
            <w:r>
              <w:rPr>
                <w:rFonts w:ascii="Arial" w:cs="Arial" w:eastAsia="Arial" w:hAnsi="Arial"/>
                <w:sz w:val="16"/>
                <w:szCs w:val="16"/>
                <w:color w:val="auto"/>
              </w:rPr>
              <w:t>140</w:t>
            </w:r>
          </w:p>
        </w:tc>
        <w:tc>
          <w:tcPr>
            <w:tcW w:w="1320" w:type="dxa"/>
            <w:vAlign w:val="bottom"/>
            <w:tcBorders>
              <w:bottom w:val="single" w:sz="8" w:color="CCE2F1"/>
            </w:tcBorders>
            <w:shd w:val="clear" w:color="auto" w:fill="CCE2F1"/>
          </w:tcPr>
          <w:p>
            <w:pPr>
              <w:jc w:val="right"/>
              <w:ind w:right="19"/>
              <w:spacing w:after="0"/>
              <w:rPr>
                <w:sz w:val="20"/>
                <w:szCs w:val="20"/>
                <w:color w:val="auto"/>
              </w:rPr>
            </w:pPr>
            <w:r>
              <w:rPr>
                <w:rFonts w:ascii="Arial" w:cs="Arial" w:eastAsia="Arial" w:hAnsi="Arial"/>
                <w:sz w:val="16"/>
                <w:szCs w:val="16"/>
                <w:color w:val="auto"/>
              </w:rPr>
              <w:t>130</w:t>
            </w:r>
          </w:p>
        </w:tc>
        <w:tc>
          <w:tcPr>
            <w:tcW w:w="1740" w:type="dxa"/>
            <w:vAlign w:val="bottom"/>
            <w:tcBorders>
              <w:bottom w:val="single" w:sz="8" w:color="CCE2F1"/>
            </w:tcBorders>
            <w:shd w:val="clear" w:color="auto" w:fill="CCE2F1"/>
          </w:tcPr>
          <w:p>
            <w:pPr>
              <w:jc w:val="right"/>
              <w:ind w:right="179"/>
              <w:spacing w:after="0"/>
              <w:rPr>
                <w:sz w:val="20"/>
                <w:szCs w:val="20"/>
                <w:color w:val="auto"/>
              </w:rPr>
            </w:pPr>
            <w:r>
              <w:rPr>
                <w:rFonts w:ascii="Arial" w:cs="Arial" w:eastAsia="Arial" w:hAnsi="Arial"/>
                <w:sz w:val="16"/>
                <w:szCs w:val="16"/>
                <w:color w:val="auto"/>
              </w:rPr>
              <w:t>222</w:t>
            </w:r>
          </w:p>
        </w:tc>
      </w:tr>
      <w:tr>
        <w:trPr>
          <w:trHeight w:val="20"/>
        </w:trPr>
        <w:tc>
          <w:tcPr>
            <w:tcW w:w="6420" w:type="dxa"/>
            <w:vAlign w:val="bottom"/>
            <w:shd w:val="clear" w:color="auto" w:fill="0171B9"/>
          </w:tcPr>
          <w:p>
            <w:pPr>
              <w:spacing w:after="0" w:line="20" w:lineRule="exact"/>
              <w:rPr>
                <w:sz w:val="1"/>
                <w:szCs w:val="1"/>
                <w:color w:val="auto"/>
              </w:rPr>
            </w:pPr>
          </w:p>
        </w:tc>
        <w:tc>
          <w:tcPr>
            <w:tcW w:w="1100" w:type="dxa"/>
            <w:vAlign w:val="bottom"/>
            <w:shd w:val="clear" w:color="auto" w:fill="0171B9"/>
          </w:tcPr>
          <w:p>
            <w:pPr>
              <w:spacing w:after="0" w:line="20" w:lineRule="exact"/>
              <w:rPr>
                <w:sz w:val="1"/>
                <w:szCs w:val="1"/>
                <w:color w:val="auto"/>
              </w:rPr>
            </w:pPr>
          </w:p>
        </w:tc>
        <w:tc>
          <w:tcPr>
            <w:tcW w:w="1320" w:type="dxa"/>
            <w:vAlign w:val="bottom"/>
            <w:shd w:val="clear" w:color="auto" w:fill="0171B9"/>
          </w:tcPr>
          <w:p>
            <w:pPr>
              <w:spacing w:after="0" w:line="20" w:lineRule="exact"/>
              <w:rPr>
                <w:sz w:val="1"/>
                <w:szCs w:val="1"/>
                <w:color w:val="auto"/>
              </w:rPr>
            </w:pPr>
          </w:p>
        </w:tc>
        <w:tc>
          <w:tcPr>
            <w:tcW w:w="1740" w:type="dxa"/>
            <w:vAlign w:val="bottom"/>
            <w:shd w:val="clear" w:color="auto" w:fill="0171B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-624840</wp:posOffset>
            </wp:positionV>
            <wp:extent cx="671195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71195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-830580</wp:posOffset>
            </wp:positionV>
            <wp:extent cx="246062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106" w:lineRule="exact"/>
        <w:rPr>
          <w:sz w:val="20"/>
          <w:szCs w:val="20"/>
          <w:color w:val="auto"/>
        </w:rPr>
      </w:pPr>
    </w:p>
    <w:p>
      <w:pPr>
        <w:jc w:val="both"/>
        <w:ind w:left="540" w:right="20"/>
        <w:spacing w:after="0" w:line="253" w:lineRule="auto"/>
        <w:rPr>
          <w:sz w:val="20"/>
          <w:szCs w:val="20"/>
          <w:color w:val="auto"/>
        </w:rPr>
      </w:pPr>
      <w:r>
        <w:rPr>
          <w:rFonts w:ascii="Arial" w:cs="Arial" w:eastAsia="Arial" w:hAnsi="Arial"/>
          <w:sz w:val="14"/>
          <w:szCs w:val="14"/>
          <w:color w:val="auto"/>
        </w:rPr>
        <w:t>The grant date fair values per unit for these awards were $230.92, $248.36, and $292.39 for May 2, 2022, August 9, 2022, and November 8, 2022, respectively. Such grant dates occurred on the third business day after release of our applicable quarterly earnings in accordance with the terms of our Director Equity Incentive Program.</w:t>
      </w:r>
    </w:p>
    <w:p>
      <w:pPr>
        <w:sectPr>
          <w:pgSz w:w="11900" w:h="16838" w:orient="portrait"/>
          <w:cols w:equalWidth="0" w:num="1">
            <w:col w:w="11140"/>
          </w:cols>
          <w:pgMar w:left="320" w:top="486" w:right="439" w:bottom="1440" w:gutter="0" w:footer="0" w:header="0"/>
          <w:type w:val="continuous"/>
        </w:sectPr>
      </w:pPr>
    </w:p>
    <w:p>
      <w:pPr>
        <w:spacing w:after="0" w:line="273" w:lineRule="exact"/>
        <w:rPr>
          <w:sz w:val="20"/>
          <w:szCs w:val="20"/>
          <w:color w:val="auto"/>
        </w:r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205740</wp:posOffset>
            </wp:positionV>
            <wp:extent cx="1645920" cy="21463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645920" cy="214630"/>
                    </a:xfrm>
                    <a:prstGeom prst="rect">
                      <a:avLst/>
                    </a:prstGeom>
                    <a:noFill/>
                  </pic:spPr>
                </pic:pic>
              </a:graphicData>
            </a:graphic>
          </wp:anchor>
        </w:drawing>
      </w:r>
    </w:p>
    <w:p>
      <w:pPr>
        <w:spacing w:after="0" w:line="312" w:lineRule="exact"/>
        <w:rPr>
          <w:sz w:val="20"/>
          <w:szCs w:val="20"/>
          <w:color w:val="auto"/>
        </w:rPr>
      </w:pPr>
    </w:p>
    <w:p>
      <w:pPr>
        <w:ind w:left="8680"/>
        <w:spacing w:after="0"/>
        <w:rPr>
          <w:sz w:val="20"/>
          <w:szCs w:val="20"/>
          <w:color w:val="auto"/>
        </w:rPr>
      </w:pPr>
      <w:r>
        <w:rPr>
          <w:rFonts w:ascii="Arial" w:cs="Arial" w:eastAsia="Arial" w:hAnsi="Arial"/>
          <w:sz w:val="22"/>
          <w:szCs w:val="22"/>
          <w:b w:val="1"/>
          <w:bCs w:val="1"/>
          <w:color w:val="FFFFFF"/>
        </w:rPr>
        <w:t>Director Compensation</w:t>
      </w:r>
    </w:p>
    <w:p>
      <w:pPr>
        <w:spacing w:after="0" w:line="378" w:lineRule="exact"/>
        <w:rPr>
          <w:sz w:val="20"/>
          <w:szCs w:val="20"/>
          <w:color w:val="auto"/>
        </w:rPr>
      </w:pPr>
    </w:p>
    <w:p>
      <w:pPr>
        <w:jc w:val="both"/>
        <w:ind w:left="540" w:right="20" w:hanging="424"/>
        <w:spacing w:after="0" w:line="219" w:lineRule="auto"/>
        <w:tabs>
          <w:tab w:leader="none" w:pos="540" w:val="left"/>
        </w:tabs>
        <w:numPr>
          <w:ilvl w:val="0"/>
          <w:numId w:val="133"/>
        </w:numPr>
        <w:rPr>
          <w:rFonts w:ascii="Arial" w:cs="Arial" w:eastAsia="Arial" w:hAnsi="Arial"/>
          <w:sz w:val="22"/>
          <w:szCs w:val="22"/>
          <w:color w:val="auto"/>
          <w:vertAlign w:val="superscript"/>
        </w:rPr>
      </w:pPr>
      <w:r>
        <w:rPr>
          <w:rFonts w:ascii="Arial" w:cs="Arial" w:eastAsia="Arial" w:hAnsi="Arial"/>
          <w:sz w:val="14"/>
          <w:szCs w:val="14"/>
          <w:color w:val="auto"/>
        </w:rPr>
        <w:t>Directors may elect to defer issuance of shares until a later date, which would result in a deferral of taxable income to the director until the lapse of such deferral. Upon the lapse of any applicable deferral period, the vested/deferred RSUs are paid in shares of our Common Stock on a one-for-one basis. The table below shows the aggregate number of deferred stock awards (deferred RSUs and dividend equivalents) outstanding for each non-employee director as of December 31, 2022. Deferred stock awards consist of vested RSUs for which receipt of the underlying shares of our Common Stock has been deferred (vested/deferred RSUs) and dividends on vested/deferred RSUs are deemed automatically reinvested to acquire additional vested/deferred RSUs.</w:t>
      </w:r>
    </w:p>
    <w:p>
      <w:pPr>
        <w:spacing w:after="0" w:line="230"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7160" w:type="dxa"/>
            <w:vAlign w:val="bottom"/>
            <w:shd w:val="clear" w:color="auto" w:fill="0171B9"/>
          </w:tcPr>
          <w:p>
            <w:pPr>
              <w:spacing w:after="0"/>
              <w:rPr>
                <w:sz w:val="20"/>
                <w:szCs w:val="20"/>
                <w:color w:val="auto"/>
              </w:rPr>
            </w:pPr>
          </w:p>
        </w:tc>
        <w:tc>
          <w:tcPr>
            <w:tcW w:w="3420" w:type="dxa"/>
            <w:vAlign w:val="bottom"/>
            <w:shd w:val="clear" w:color="auto" w:fill="0171B9"/>
          </w:tcPr>
          <w:p>
            <w:pPr>
              <w:jc w:val="right"/>
              <w:ind w:right="159"/>
              <w:spacing w:after="0"/>
              <w:rPr>
                <w:sz w:val="20"/>
                <w:szCs w:val="20"/>
                <w:color w:val="auto"/>
              </w:rPr>
            </w:pPr>
            <w:r>
              <w:rPr>
                <w:rFonts w:ascii="Arial" w:cs="Arial" w:eastAsia="Arial" w:hAnsi="Arial"/>
                <w:sz w:val="16"/>
                <w:szCs w:val="16"/>
                <w:b w:val="1"/>
                <w:bCs w:val="1"/>
                <w:color w:val="FFFFFF"/>
              </w:rPr>
              <w:t>Deferred Restricted Stock Units and</w:t>
            </w:r>
          </w:p>
        </w:tc>
      </w:tr>
      <w:tr>
        <w:trPr>
          <w:trHeight w:val="189"/>
        </w:trPr>
        <w:tc>
          <w:tcPr>
            <w:tcW w:w="7160" w:type="dxa"/>
            <w:vAlign w:val="bottom"/>
            <w:shd w:val="clear" w:color="auto" w:fill="0171B9"/>
          </w:tcPr>
          <w:p>
            <w:pPr>
              <w:spacing w:after="0"/>
              <w:rPr>
                <w:sz w:val="16"/>
                <w:szCs w:val="16"/>
                <w:color w:val="auto"/>
              </w:rPr>
            </w:pPr>
          </w:p>
        </w:tc>
        <w:tc>
          <w:tcPr>
            <w:tcW w:w="3420" w:type="dxa"/>
            <w:vAlign w:val="bottom"/>
            <w:shd w:val="clear" w:color="auto" w:fill="0171B9"/>
          </w:tcPr>
          <w:p>
            <w:pPr>
              <w:jc w:val="right"/>
              <w:ind w:right="159"/>
              <w:spacing w:after="0"/>
              <w:rPr>
                <w:sz w:val="20"/>
                <w:szCs w:val="20"/>
                <w:color w:val="auto"/>
              </w:rPr>
            </w:pPr>
            <w:r>
              <w:rPr>
                <w:rFonts w:ascii="Arial" w:cs="Arial" w:eastAsia="Arial" w:hAnsi="Arial"/>
                <w:sz w:val="16"/>
                <w:szCs w:val="16"/>
                <w:b w:val="1"/>
                <w:bCs w:val="1"/>
                <w:color w:val="FFFFFF"/>
              </w:rPr>
              <w:t>Dividend Equivalents</w:t>
            </w:r>
          </w:p>
        </w:tc>
      </w:tr>
      <w:tr>
        <w:trPr>
          <w:trHeight w:val="275"/>
        </w:trPr>
        <w:tc>
          <w:tcPr>
            <w:tcW w:w="7160" w:type="dxa"/>
            <w:vAlign w:val="bottom"/>
            <w:shd w:val="clear" w:color="auto" w:fill="0171B9"/>
          </w:tcPr>
          <w:p>
            <w:pPr>
              <w:ind w:left="100"/>
              <w:spacing w:after="0"/>
              <w:rPr>
                <w:sz w:val="20"/>
                <w:szCs w:val="20"/>
                <w:color w:val="auto"/>
              </w:rPr>
            </w:pPr>
            <w:r>
              <w:rPr>
                <w:rFonts w:ascii="Arial" w:cs="Arial" w:eastAsia="Arial" w:hAnsi="Arial"/>
                <w:sz w:val="16"/>
                <w:szCs w:val="16"/>
                <w:b w:val="1"/>
                <w:bCs w:val="1"/>
                <w:color w:val="FFFFFF"/>
              </w:rPr>
              <w:t>Non-Employee Director</w:t>
            </w:r>
          </w:p>
        </w:tc>
        <w:tc>
          <w:tcPr>
            <w:tcW w:w="3420" w:type="dxa"/>
            <w:vAlign w:val="bottom"/>
            <w:shd w:val="clear" w:color="auto" w:fill="0171B9"/>
          </w:tcPr>
          <w:p>
            <w:pPr>
              <w:jc w:val="right"/>
              <w:ind w:right="159"/>
              <w:spacing w:after="0" w:line="274" w:lineRule="exact"/>
              <w:rPr>
                <w:sz w:val="20"/>
                <w:szCs w:val="20"/>
                <w:color w:val="auto"/>
              </w:rPr>
            </w:pPr>
            <w:r>
              <w:rPr>
                <w:rFonts w:ascii="Arial" w:cs="Arial" w:eastAsia="Arial" w:hAnsi="Arial"/>
                <w:sz w:val="16"/>
                <w:szCs w:val="16"/>
                <w:b w:val="1"/>
                <w:bCs w:val="1"/>
                <w:color w:val="FFFFFF"/>
              </w:rPr>
              <w:t>as of December 31, 2022</w:t>
            </w:r>
            <w:r>
              <w:rPr>
                <w:rFonts w:ascii="Arial" w:cs="Arial" w:eastAsia="Arial" w:hAnsi="Arial"/>
                <w:sz w:val="24"/>
                <w:szCs w:val="24"/>
                <w:b w:val="1"/>
                <w:bCs w:val="1"/>
                <w:color w:val="FFFFFF"/>
                <w:vertAlign w:val="superscript"/>
              </w:rPr>
              <w:t>(a)</w:t>
            </w:r>
          </w:p>
        </w:tc>
      </w:tr>
      <w:tr>
        <w:trPr>
          <w:trHeight w:val="304"/>
        </w:trPr>
        <w:tc>
          <w:tcPr>
            <w:tcW w:w="716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Wanda M. Austin</w:t>
            </w:r>
          </w:p>
        </w:tc>
        <w:tc>
          <w:tcPr>
            <w:tcW w:w="3420" w:type="dxa"/>
            <w:vAlign w:val="bottom"/>
            <w:tcBorders>
              <w:bottom w:val="single" w:sz="8" w:color="CCE2F1"/>
            </w:tcBorders>
            <w:shd w:val="clear" w:color="auto" w:fill="CCE2F1"/>
          </w:tcPr>
          <w:p>
            <w:pPr>
              <w:jc w:val="right"/>
              <w:ind w:right="159"/>
              <w:spacing w:after="0"/>
              <w:rPr>
                <w:sz w:val="20"/>
                <w:szCs w:val="20"/>
                <w:color w:val="auto"/>
              </w:rPr>
            </w:pPr>
            <w:r>
              <w:rPr>
                <w:rFonts w:ascii="Arial" w:cs="Arial" w:eastAsia="Arial" w:hAnsi="Arial"/>
                <w:sz w:val="16"/>
                <w:szCs w:val="16"/>
                <w:color w:val="auto"/>
              </w:rPr>
              <w:t>0</w:t>
            </w:r>
          </w:p>
        </w:tc>
      </w:tr>
      <w:tr>
        <w:trPr>
          <w:trHeight w:val="264"/>
        </w:trPr>
        <w:tc>
          <w:tcPr>
            <w:tcW w:w="7160" w:type="dxa"/>
            <w:vAlign w:val="bottom"/>
          </w:tcPr>
          <w:p>
            <w:pPr>
              <w:ind w:left="100"/>
              <w:spacing w:after="0"/>
              <w:rPr>
                <w:sz w:val="20"/>
                <w:szCs w:val="20"/>
                <w:color w:val="auto"/>
              </w:rPr>
            </w:pPr>
            <w:r>
              <w:rPr>
                <w:rFonts w:ascii="Arial" w:cs="Arial" w:eastAsia="Arial" w:hAnsi="Arial"/>
                <w:sz w:val="16"/>
                <w:szCs w:val="16"/>
                <w:color w:val="auto"/>
              </w:rPr>
              <w:t>Michael V. Drake</w:t>
            </w:r>
          </w:p>
        </w:tc>
        <w:tc>
          <w:tcPr>
            <w:tcW w:w="3420" w:type="dxa"/>
            <w:vAlign w:val="bottom"/>
          </w:tcPr>
          <w:p>
            <w:pPr>
              <w:jc w:val="right"/>
              <w:ind w:right="159"/>
              <w:spacing w:after="0"/>
              <w:rPr>
                <w:sz w:val="20"/>
                <w:szCs w:val="20"/>
                <w:color w:val="auto"/>
              </w:rPr>
            </w:pPr>
            <w:r>
              <w:rPr>
                <w:rFonts w:ascii="Arial" w:cs="Arial" w:eastAsia="Arial" w:hAnsi="Arial"/>
                <w:sz w:val="16"/>
                <w:szCs w:val="16"/>
                <w:color w:val="auto"/>
              </w:rPr>
              <w:t>815</w:t>
            </w:r>
          </w:p>
        </w:tc>
      </w:tr>
      <w:tr>
        <w:trPr>
          <w:trHeight w:val="60"/>
        </w:trPr>
        <w:tc>
          <w:tcPr>
            <w:tcW w:w="7160" w:type="dxa"/>
            <w:vAlign w:val="bottom"/>
          </w:tcPr>
          <w:p>
            <w:pPr>
              <w:spacing w:after="0"/>
              <w:rPr>
                <w:sz w:val="5"/>
                <w:szCs w:val="5"/>
                <w:color w:val="auto"/>
              </w:rPr>
            </w:pPr>
          </w:p>
        </w:tc>
        <w:tc>
          <w:tcPr>
            <w:tcW w:w="3420" w:type="dxa"/>
            <w:vAlign w:val="bottom"/>
          </w:tcPr>
          <w:p>
            <w:pPr>
              <w:spacing w:after="0"/>
              <w:rPr>
                <w:sz w:val="5"/>
                <w:szCs w:val="5"/>
                <w:color w:val="auto"/>
              </w:rPr>
            </w:pPr>
          </w:p>
        </w:tc>
      </w:tr>
      <w:tr>
        <w:trPr>
          <w:trHeight w:val="304"/>
        </w:trPr>
        <w:tc>
          <w:tcPr>
            <w:tcW w:w="716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Brian J. Druker</w:t>
            </w:r>
          </w:p>
        </w:tc>
        <w:tc>
          <w:tcPr>
            <w:tcW w:w="3420" w:type="dxa"/>
            <w:vAlign w:val="bottom"/>
            <w:tcBorders>
              <w:bottom w:val="single" w:sz="8" w:color="CCE2F1"/>
            </w:tcBorders>
            <w:shd w:val="clear" w:color="auto" w:fill="CCE2F1"/>
          </w:tcPr>
          <w:p>
            <w:pPr>
              <w:jc w:val="right"/>
              <w:ind w:right="159"/>
              <w:spacing w:after="0"/>
              <w:rPr>
                <w:sz w:val="20"/>
                <w:szCs w:val="20"/>
                <w:color w:val="auto"/>
              </w:rPr>
            </w:pPr>
            <w:r>
              <w:rPr>
                <w:rFonts w:ascii="Arial" w:cs="Arial" w:eastAsia="Arial" w:hAnsi="Arial"/>
                <w:sz w:val="16"/>
                <w:szCs w:val="16"/>
                <w:color w:val="auto"/>
              </w:rPr>
              <w:t>4,705</w:t>
            </w:r>
          </w:p>
        </w:tc>
      </w:tr>
      <w:tr>
        <w:trPr>
          <w:trHeight w:val="264"/>
        </w:trPr>
        <w:tc>
          <w:tcPr>
            <w:tcW w:w="7160" w:type="dxa"/>
            <w:vAlign w:val="bottom"/>
          </w:tcPr>
          <w:p>
            <w:pPr>
              <w:ind w:left="100"/>
              <w:spacing w:after="0"/>
              <w:rPr>
                <w:sz w:val="20"/>
                <w:szCs w:val="20"/>
                <w:color w:val="auto"/>
              </w:rPr>
            </w:pPr>
            <w:r>
              <w:rPr>
                <w:rFonts w:ascii="Arial" w:cs="Arial" w:eastAsia="Arial" w:hAnsi="Arial"/>
                <w:sz w:val="16"/>
                <w:szCs w:val="16"/>
                <w:color w:val="auto"/>
              </w:rPr>
              <w:t>Robert A. Eckert</w:t>
            </w:r>
          </w:p>
        </w:tc>
        <w:tc>
          <w:tcPr>
            <w:tcW w:w="3420" w:type="dxa"/>
            <w:vAlign w:val="bottom"/>
          </w:tcPr>
          <w:p>
            <w:pPr>
              <w:jc w:val="right"/>
              <w:ind w:right="159"/>
              <w:spacing w:after="0"/>
              <w:rPr>
                <w:sz w:val="20"/>
                <w:szCs w:val="20"/>
                <w:color w:val="auto"/>
              </w:rPr>
            </w:pPr>
            <w:r>
              <w:rPr>
                <w:rFonts w:ascii="Arial" w:cs="Arial" w:eastAsia="Arial" w:hAnsi="Arial"/>
                <w:sz w:val="16"/>
                <w:szCs w:val="16"/>
                <w:color w:val="auto"/>
              </w:rPr>
              <w:t>14,348</w:t>
            </w:r>
          </w:p>
        </w:tc>
      </w:tr>
      <w:tr>
        <w:trPr>
          <w:trHeight w:val="60"/>
        </w:trPr>
        <w:tc>
          <w:tcPr>
            <w:tcW w:w="7160" w:type="dxa"/>
            <w:vAlign w:val="bottom"/>
          </w:tcPr>
          <w:p>
            <w:pPr>
              <w:spacing w:after="0"/>
              <w:rPr>
                <w:sz w:val="5"/>
                <w:szCs w:val="5"/>
                <w:color w:val="auto"/>
              </w:rPr>
            </w:pPr>
          </w:p>
        </w:tc>
        <w:tc>
          <w:tcPr>
            <w:tcW w:w="3420" w:type="dxa"/>
            <w:vAlign w:val="bottom"/>
          </w:tcPr>
          <w:p>
            <w:pPr>
              <w:spacing w:after="0"/>
              <w:rPr>
                <w:sz w:val="5"/>
                <w:szCs w:val="5"/>
                <w:color w:val="auto"/>
              </w:rPr>
            </w:pPr>
          </w:p>
        </w:tc>
      </w:tr>
      <w:tr>
        <w:trPr>
          <w:trHeight w:val="304"/>
        </w:trPr>
        <w:tc>
          <w:tcPr>
            <w:tcW w:w="716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Greg C. Garland</w:t>
            </w:r>
          </w:p>
        </w:tc>
        <w:tc>
          <w:tcPr>
            <w:tcW w:w="3420" w:type="dxa"/>
            <w:vAlign w:val="bottom"/>
            <w:tcBorders>
              <w:bottom w:val="single" w:sz="8" w:color="CCE2F1"/>
            </w:tcBorders>
            <w:shd w:val="clear" w:color="auto" w:fill="CCE2F1"/>
          </w:tcPr>
          <w:p>
            <w:pPr>
              <w:jc w:val="right"/>
              <w:ind w:right="159"/>
              <w:spacing w:after="0"/>
              <w:rPr>
                <w:sz w:val="20"/>
                <w:szCs w:val="20"/>
                <w:color w:val="auto"/>
              </w:rPr>
            </w:pPr>
            <w:r>
              <w:rPr>
                <w:rFonts w:ascii="Arial" w:cs="Arial" w:eastAsia="Arial" w:hAnsi="Arial"/>
                <w:sz w:val="16"/>
                <w:szCs w:val="16"/>
                <w:color w:val="auto"/>
              </w:rPr>
              <w:t>0</w:t>
            </w:r>
          </w:p>
        </w:tc>
      </w:tr>
      <w:tr>
        <w:trPr>
          <w:trHeight w:val="264"/>
        </w:trPr>
        <w:tc>
          <w:tcPr>
            <w:tcW w:w="7160" w:type="dxa"/>
            <w:vAlign w:val="bottom"/>
          </w:tcPr>
          <w:p>
            <w:pPr>
              <w:ind w:left="100"/>
              <w:spacing w:after="0"/>
              <w:rPr>
                <w:sz w:val="20"/>
                <w:szCs w:val="20"/>
                <w:color w:val="auto"/>
              </w:rPr>
            </w:pPr>
            <w:r>
              <w:rPr>
                <w:rFonts w:ascii="Arial" w:cs="Arial" w:eastAsia="Arial" w:hAnsi="Arial"/>
                <w:sz w:val="16"/>
                <w:szCs w:val="16"/>
                <w:color w:val="auto"/>
              </w:rPr>
              <w:t>Charles M. Holley, Jr.</w:t>
            </w:r>
          </w:p>
        </w:tc>
        <w:tc>
          <w:tcPr>
            <w:tcW w:w="3420" w:type="dxa"/>
            <w:vAlign w:val="bottom"/>
          </w:tcPr>
          <w:p>
            <w:pPr>
              <w:jc w:val="right"/>
              <w:ind w:right="159"/>
              <w:spacing w:after="0"/>
              <w:rPr>
                <w:sz w:val="20"/>
                <w:szCs w:val="20"/>
                <w:color w:val="auto"/>
              </w:rPr>
            </w:pPr>
            <w:r>
              <w:rPr>
                <w:rFonts w:ascii="Arial" w:cs="Arial" w:eastAsia="Arial" w:hAnsi="Arial"/>
                <w:sz w:val="16"/>
                <w:szCs w:val="16"/>
                <w:color w:val="auto"/>
              </w:rPr>
              <w:t>6,805</w:t>
            </w:r>
          </w:p>
        </w:tc>
      </w:tr>
      <w:tr>
        <w:trPr>
          <w:trHeight w:val="60"/>
        </w:trPr>
        <w:tc>
          <w:tcPr>
            <w:tcW w:w="7160" w:type="dxa"/>
            <w:vAlign w:val="bottom"/>
          </w:tcPr>
          <w:p>
            <w:pPr>
              <w:spacing w:after="0"/>
              <w:rPr>
                <w:sz w:val="5"/>
                <w:szCs w:val="5"/>
                <w:color w:val="auto"/>
              </w:rPr>
            </w:pPr>
          </w:p>
        </w:tc>
        <w:tc>
          <w:tcPr>
            <w:tcW w:w="3420" w:type="dxa"/>
            <w:vAlign w:val="bottom"/>
          </w:tcPr>
          <w:p>
            <w:pPr>
              <w:spacing w:after="0"/>
              <w:rPr>
                <w:sz w:val="5"/>
                <w:szCs w:val="5"/>
                <w:color w:val="auto"/>
              </w:rPr>
            </w:pPr>
          </w:p>
        </w:tc>
      </w:tr>
      <w:tr>
        <w:trPr>
          <w:trHeight w:val="304"/>
        </w:trPr>
        <w:tc>
          <w:tcPr>
            <w:tcW w:w="716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S. Omar Ishrak</w:t>
            </w:r>
          </w:p>
        </w:tc>
        <w:tc>
          <w:tcPr>
            <w:tcW w:w="3420" w:type="dxa"/>
            <w:vAlign w:val="bottom"/>
            <w:tcBorders>
              <w:bottom w:val="single" w:sz="8" w:color="CCE2F1"/>
            </w:tcBorders>
            <w:shd w:val="clear" w:color="auto" w:fill="CCE2F1"/>
          </w:tcPr>
          <w:p>
            <w:pPr>
              <w:jc w:val="right"/>
              <w:ind w:right="159"/>
              <w:spacing w:after="0"/>
              <w:rPr>
                <w:sz w:val="20"/>
                <w:szCs w:val="20"/>
                <w:color w:val="auto"/>
              </w:rPr>
            </w:pPr>
            <w:r>
              <w:rPr>
                <w:rFonts w:ascii="Arial" w:cs="Arial" w:eastAsia="Arial" w:hAnsi="Arial"/>
                <w:sz w:val="16"/>
                <w:szCs w:val="16"/>
                <w:color w:val="auto"/>
              </w:rPr>
              <w:t>1,375</w:t>
            </w:r>
          </w:p>
        </w:tc>
      </w:tr>
      <w:tr>
        <w:trPr>
          <w:trHeight w:val="264"/>
        </w:trPr>
        <w:tc>
          <w:tcPr>
            <w:tcW w:w="7160" w:type="dxa"/>
            <w:vAlign w:val="bottom"/>
          </w:tcPr>
          <w:p>
            <w:pPr>
              <w:ind w:left="80"/>
              <w:spacing w:after="0"/>
              <w:rPr>
                <w:sz w:val="20"/>
                <w:szCs w:val="20"/>
                <w:color w:val="auto"/>
              </w:rPr>
            </w:pPr>
            <w:r>
              <w:rPr>
                <w:rFonts w:ascii="Arial" w:cs="Arial" w:eastAsia="Arial" w:hAnsi="Arial"/>
                <w:sz w:val="16"/>
                <w:szCs w:val="16"/>
                <w:color w:val="auto"/>
              </w:rPr>
              <w:t>Tyler Jacks</w:t>
            </w:r>
          </w:p>
        </w:tc>
        <w:tc>
          <w:tcPr>
            <w:tcW w:w="3420" w:type="dxa"/>
            <w:vAlign w:val="bottom"/>
          </w:tcPr>
          <w:p>
            <w:pPr>
              <w:jc w:val="right"/>
              <w:ind w:right="159"/>
              <w:spacing w:after="0"/>
              <w:rPr>
                <w:sz w:val="20"/>
                <w:szCs w:val="20"/>
                <w:color w:val="auto"/>
              </w:rPr>
            </w:pPr>
            <w:r>
              <w:rPr>
                <w:rFonts w:ascii="Arial" w:cs="Arial" w:eastAsia="Arial" w:hAnsi="Arial"/>
                <w:sz w:val="16"/>
                <w:szCs w:val="16"/>
                <w:color w:val="auto"/>
              </w:rPr>
              <w:t>11,099</w:t>
            </w:r>
          </w:p>
        </w:tc>
      </w:tr>
      <w:tr>
        <w:trPr>
          <w:trHeight w:val="60"/>
        </w:trPr>
        <w:tc>
          <w:tcPr>
            <w:tcW w:w="7160" w:type="dxa"/>
            <w:vAlign w:val="bottom"/>
          </w:tcPr>
          <w:p>
            <w:pPr>
              <w:spacing w:after="0"/>
              <w:rPr>
                <w:sz w:val="5"/>
                <w:szCs w:val="5"/>
                <w:color w:val="auto"/>
              </w:rPr>
            </w:pPr>
          </w:p>
        </w:tc>
        <w:tc>
          <w:tcPr>
            <w:tcW w:w="3420" w:type="dxa"/>
            <w:vAlign w:val="bottom"/>
          </w:tcPr>
          <w:p>
            <w:pPr>
              <w:spacing w:after="0"/>
              <w:rPr>
                <w:sz w:val="5"/>
                <w:szCs w:val="5"/>
                <w:color w:val="auto"/>
              </w:rPr>
            </w:pPr>
          </w:p>
        </w:tc>
      </w:tr>
      <w:tr>
        <w:trPr>
          <w:trHeight w:val="304"/>
        </w:trPr>
        <w:tc>
          <w:tcPr>
            <w:tcW w:w="716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Ellen J. Kullman</w:t>
            </w:r>
          </w:p>
        </w:tc>
        <w:tc>
          <w:tcPr>
            <w:tcW w:w="3420" w:type="dxa"/>
            <w:vAlign w:val="bottom"/>
            <w:tcBorders>
              <w:bottom w:val="single" w:sz="8" w:color="CCE2F1"/>
            </w:tcBorders>
            <w:shd w:val="clear" w:color="auto" w:fill="CCE2F1"/>
          </w:tcPr>
          <w:p>
            <w:pPr>
              <w:jc w:val="right"/>
              <w:ind w:right="159"/>
              <w:spacing w:after="0"/>
              <w:rPr>
                <w:sz w:val="20"/>
                <w:szCs w:val="20"/>
                <w:color w:val="auto"/>
              </w:rPr>
            </w:pPr>
            <w:r>
              <w:rPr>
                <w:rFonts w:ascii="Arial" w:cs="Arial" w:eastAsia="Arial" w:hAnsi="Arial"/>
                <w:sz w:val="16"/>
                <w:szCs w:val="16"/>
                <w:color w:val="auto"/>
              </w:rPr>
              <w:t>9,764</w:t>
            </w:r>
          </w:p>
        </w:tc>
      </w:tr>
      <w:tr>
        <w:trPr>
          <w:trHeight w:val="264"/>
        </w:trPr>
        <w:tc>
          <w:tcPr>
            <w:tcW w:w="7160" w:type="dxa"/>
            <w:vAlign w:val="bottom"/>
          </w:tcPr>
          <w:p>
            <w:pPr>
              <w:ind w:left="80"/>
              <w:spacing w:after="0"/>
              <w:rPr>
                <w:sz w:val="20"/>
                <w:szCs w:val="20"/>
                <w:color w:val="auto"/>
              </w:rPr>
            </w:pPr>
            <w:r>
              <w:rPr>
                <w:rFonts w:ascii="Arial" w:cs="Arial" w:eastAsia="Arial" w:hAnsi="Arial"/>
                <w:sz w:val="16"/>
                <w:szCs w:val="16"/>
                <w:color w:val="auto"/>
              </w:rPr>
              <w:t>Amy E. Miles</w:t>
            </w:r>
          </w:p>
        </w:tc>
        <w:tc>
          <w:tcPr>
            <w:tcW w:w="3420" w:type="dxa"/>
            <w:vAlign w:val="bottom"/>
          </w:tcPr>
          <w:p>
            <w:pPr>
              <w:jc w:val="right"/>
              <w:ind w:right="159"/>
              <w:spacing w:after="0"/>
              <w:rPr>
                <w:sz w:val="20"/>
                <w:szCs w:val="20"/>
                <w:color w:val="auto"/>
              </w:rPr>
            </w:pPr>
            <w:r>
              <w:rPr>
                <w:rFonts w:ascii="Arial" w:cs="Arial" w:eastAsia="Arial" w:hAnsi="Arial"/>
                <w:sz w:val="16"/>
                <w:szCs w:val="16"/>
                <w:color w:val="auto"/>
              </w:rPr>
              <w:t>1,751</w:t>
            </w:r>
          </w:p>
        </w:tc>
      </w:tr>
      <w:tr>
        <w:trPr>
          <w:trHeight w:val="60"/>
        </w:trPr>
        <w:tc>
          <w:tcPr>
            <w:tcW w:w="7160" w:type="dxa"/>
            <w:vAlign w:val="bottom"/>
          </w:tcPr>
          <w:p>
            <w:pPr>
              <w:spacing w:after="0"/>
              <w:rPr>
                <w:sz w:val="5"/>
                <w:szCs w:val="5"/>
                <w:color w:val="auto"/>
              </w:rPr>
            </w:pPr>
          </w:p>
        </w:tc>
        <w:tc>
          <w:tcPr>
            <w:tcW w:w="3420" w:type="dxa"/>
            <w:vAlign w:val="bottom"/>
          </w:tcPr>
          <w:p>
            <w:pPr>
              <w:spacing w:after="0"/>
              <w:rPr>
                <w:sz w:val="5"/>
                <w:szCs w:val="5"/>
                <w:color w:val="auto"/>
              </w:rPr>
            </w:pPr>
          </w:p>
        </w:tc>
      </w:tr>
      <w:tr>
        <w:trPr>
          <w:trHeight w:val="264"/>
        </w:trPr>
        <w:tc>
          <w:tcPr>
            <w:tcW w:w="7160" w:type="dxa"/>
            <w:vAlign w:val="bottom"/>
            <w:shd w:val="clear" w:color="auto" w:fill="CCE2F1"/>
          </w:tcPr>
          <w:p>
            <w:pPr>
              <w:ind w:left="100"/>
              <w:spacing w:after="0"/>
              <w:rPr>
                <w:sz w:val="20"/>
                <w:szCs w:val="20"/>
                <w:color w:val="auto"/>
              </w:rPr>
            </w:pPr>
            <w:r>
              <w:rPr>
                <w:rFonts w:ascii="Arial" w:cs="Arial" w:eastAsia="Arial" w:hAnsi="Arial"/>
                <w:sz w:val="16"/>
                <w:szCs w:val="16"/>
                <w:color w:val="auto"/>
              </w:rPr>
              <w:t>Ronald D. Sugar</w:t>
            </w:r>
          </w:p>
        </w:tc>
        <w:tc>
          <w:tcPr>
            <w:tcW w:w="3420" w:type="dxa"/>
            <w:vAlign w:val="bottom"/>
            <w:shd w:val="clear" w:color="auto" w:fill="CCE2F1"/>
          </w:tcPr>
          <w:p>
            <w:pPr>
              <w:jc w:val="right"/>
              <w:ind w:right="159"/>
              <w:spacing w:after="0"/>
              <w:rPr>
                <w:sz w:val="20"/>
                <w:szCs w:val="20"/>
                <w:color w:val="auto"/>
              </w:rPr>
            </w:pPr>
            <w:r>
              <w:rPr>
                <w:rFonts w:ascii="Arial" w:cs="Arial" w:eastAsia="Arial" w:hAnsi="Arial"/>
                <w:sz w:val="16"/>
                <w:szCs w:val="16"/>
                <w:color w:val="auto"/>
              </w:rPr>
              <w:t>18,570</w:t>
            </w:r>
          </w:p>
        </w:tc>
      </w:tr>
      <w:tr>
        <w:trPr>
          <w:trHeight w:val="60"/>
        </w:trPr>
        <w:tc>
          <w:tcPr>
            <w:tcW w:w="7160" w:type="dxa"/>
            <w:vAlign w:val="bottom"/>
            <w:shd w:val="clear" w:color="auto" w:fill="CCE2F1"/>
          </w:tcPr>
          <w:p>
            <w:pPr>
              <w:spacing w:after="0"/>
              <w:rPr>
                <w:sz w:val="5"/>
                <w:szCs w:val="5"/>
                <w:color w:val="auto"/>
              </w:rPr>
            </w:pPr>
          </w:p>
        </w:tc>
        <w:tc>
          <w:tcPr>
            <w:tcW w:w="3420" w:type="dxa"/>
            <w:vAlign w:val="bottom"/>
            <w:shd w:val="clear" w:color="auto" w:fill="CCE2F1"/>
          </w:tcPr>
          <w:p>
            <w:pPr>
              <w:spacing w:after="0"/>
              <w:rPr>
                <w:sz w:val="5"/>
                <w:szCs w:val="5"/>
                <w:color w:val="auto"/>
              </w:rPr>
            </w:pPr>
          </w:p>
        </w:tc>
      </w:tr>
      <w:tr>
        <w:trPr>
          <w:trHeight w:val="264"/>
        </w:trPr>
        <w:tc>
          <w:tcPr>
            <w:tcW w:w="7160" w:type="dxa"/>
            <w:vAlign w:val="bottom"/>
          </w:tcPr>
          <w:p>
            <w:pPr>
              <w:ind w:left="100"/>
              <w:spacing w:after="0"/>
              <w:rPr>
                <w:sz w:val="20"/>
                <w:szCs w:val="20"/>
                <w:color w:val="auto"/>
              </w:rPr>
            </w:pPr>
            <w:r>
              <w:rPr>
                <w:rFonts w:ascii="Arial" w:cs="Arial" w:eastAsia="Arial" w:hAnsi="Arial"/>
                <w:sz w:val="16"/>
                <w:szCs w:val="16"/>
                <w:color w:val="auto"/>
              </w:rPr>
              <w:t>R. Sanders Williams</w:t>
            </w:r>
          </w:p>
        </w:tc>
        <w:tc>
          <w:tcPr>
            <w:tcW w:w="3420" w:type="dxa"/>
            <w:vAlign w:val="bottom"/>
          </w:tcPr>
          <w:p>
            <w:pPr>
              <w:jc w:val="right"/>
              <w:ind w:right="159"/>
              <w:spacing w:after="0"/>
              <w:rPr>
                <w:sz w:val="20"/>
                <w:szCs w:val="20"/>
                <w:color w:val="auto"/>
              </w:rPr>
            </w:pPr>
            <w:r>
              <w:rPr>
                <w:rFonts w:ascii="Arial" w:cs="Arial" w:eastAsia="Arial" w:hAnsi="Arial"/>
                <w:sz w:val="16"/>
                <w:szCs w:val="16"/>
                <w:color w:val="auto"/>
              </w:rPr>
              <w:t>0</w:t>
            </w:r>
          </w:p>
        </w:tc>
      </w:tr>
      <w:tr>
        <w:trPr>
          <w:trHeight w:val="60"/>
        </w:trPr>
        <w:tc>
          <w:tcPr>
            <w:tcW w:w="7160" w:type="dxa"/>
            <w:vAlign w:val="bottom"/>
            <w:tcBorders>
              <w:bottom w:val="single" w:sz="8" w:color="0171B9"/>
            </w:tcBorders>
          </w:tcPr>
          <w:p>
            <w:pPr>
              <w:spacing w:after="0"/>
              <w:rPr>
                <w:sz w:val="5"/>
                <w:szCs w:val="5"/>
                <w:color w:val="auto"/>
              </w:rPr>
            </w:pPr>
          </w:p>
        </w:tc>
        <w:tc>
          <w:tcPr>
            <w:tcW w:w="3420" w:type="dxa"/>
            <w:vAlign w:val="bottom"/>
            <w:tcBorders>
              <w:bottom w:val="single" w:sz="8" w:color="0171B9"/>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-2476500</wp:posOffset>
            </wp:positionV>
            <wp:extent cx="671195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106" w:lineRule="exact"/>
        <w:rPr>
          <w:sz w:val="20"/>
          <w:szCs w:val="20"/>
          <w:color w:val="auto"/>
        </w:rPr>
      </w:pPr>
    </w:p>
    <w:p>
      <w:pPr>
        <w:ind w:left="880" w:right="440" w:hanging="332"/>
        <w:spacing w:after="0" w:line="193" w:lineRule="auto"/>
        <w:tabs>
          <w:tab w:leader="none" w:pos="880" w:val="left"/>
        </w:tabs>
        <w:numPr>
          <w:ilvl w:val="1"/>
          <w:numId w:val="134"/>
        </w:numPr>
        <w:rPr>
          <w:rFonts w:ascii="Arial" w:cs="Arial" w:eastAsia="Arial" w:hAnsi="Arial"/>
          <w:sz w:val="22"/>
          <w:szCs w:val="22"/>
          <w:color w:val="auto"/>
          <w:vertAlign w:val="superscript"/>
        </w:rPr>
      </w:pPr>
      <w:r>
        <w:rPr>
          <w:rFonts w:ascii="Arial" w:cs="Arial" w:eastAsia="Arial" w:hAnsi="Arial"/>
          <w:sz w:val="14"/>
          <w:szCs w:val="14"/>
          <w:color w:val="auto"/>
        </w:rPr>
        <w:t>Restricted stock units and related dividend equivalents are all vested, but receipt has been deferred. Restricted stock units and related dividend equivalents earned on these amounts are rounded down to the nearest whole number of shares. Fractional shares are paid in cash.</w:t>
      </w:r>
    </w:p>
    <w:p>
      <w:pPr>
        <w:spacing w:after="0" w:line="31" w:lineRule="exact"/>
        <w:rPr>
          <w:rFonts w:ascii="Arial" w:cs="Arial" w:eastAsia="Arial" w:hAnsi="Arial"/>
          <w:sz w:val="22"/>
          <w:szCs w:val="22"/>
          <w:color w:val="auto"/>
          <w:vertAlign w:val="superscript"/>
        </w:rPr>
      </w:pPr>
    </w:p>
    <w:p>
      <w:pPr>
        <w:ind w:left="540" w:hanging="424"/>
        <w:spacing w:after="0"/>
        <w:tabs>
          <w:tab w:leader="none" w:pos="540" w:val="left"/>
        </w:tabs>
        <w:numPr>
          <w:ilvl w:val="0"/>
          <w:numId w:val="135"/>
        </w:numPr>
        <w:rPr>
          <w:rFonts w:ascii="Arial" w:cs="Arial" w:eastAsia="Arial" w:hAnsi="Arial"/>
          <w:sz w:val="22"/>
          <w:szCs w:val="22"/>
          <w:color w:val="auto"/>
          <w:vertAlign w:val="superscript"/>
        </w:rPr>
      </w:pPr>
      <w:r>
        <w:rPr>
          <w:rFonts w:ascii="Arial" w:cs="Arial" w:eastAsia="Arial" w:hAnsi="Arial"/>
          <w:sz w:val="14"/>
          <w:szCs w:val="14"/>
          <w:color w:val="auto"/>
        </w:rPr>
        <w:t>The table below provides a summary of amounts paid by the Company for perquisites and other special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144780</wp:posOffset>
            </wp:positionV>
            <wp:extent cx="6711950" cy="78867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711950" cy="788670"/>
                    </a:xfrm>
                    <a:prstGeom prst="rect">
                      <a:avLst/>
                    </a:prstGeom>
                    <a:noFill/>
                  </pic:spPr>
                </pic:pic>
              </a:graphicData>
            </a:graphic>
          </wp:anchor>
        </w:drawing>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3680" w:type="dxa"/>
            <w:vAlign w:val="bottom"/>
            <w:shd w:val="clear" w:color="auto" w:fill="0171B9"/>
          </w:tcPr>
          <w:p>
            <w:pPr>
              <w:spacing w:after="0"/>
              <w:rPr>
                <w:sz w:val="16"/>
                <w:szCs w:val="16"/>
                <w:color w:val="auto"/>
              </w:rPr>
            </w:pPr>
          </w:p>
        </w:tc>
        <w:tc>
          <w:tcPr>
            <w:tcW w:w="1360" w:type="dxa"/>
            <w:vAlign w:val="bottom"/>
            <w:shd w:val="clear" w:color="auto" w:fill="0171B9"/>
          </w:tcPr>
          <w:p>
            <w:pPr>
              <w:spacing w:after="0"/>
              <w:rPr>
                <w:sz w:val="16"/>
                <w:szCs w:val="16"/>
                <w:color w:val="auto"/>
              </w:rPr>
            </w:pPr>
          </w:p>
        </w:tc>
        <w:tc>
          <w:tcPr>
            <w:tcW w:w="1280" w:type="dxa"/>
            <w:vAlign w:val="bottom"/>
            <w:shd w:val="clear" w:color="auto" w:fill="0171B9"/>
          </w:tcPr>
          <w:p>
            <w:pPr>
              <w:spacing w:after="0"/>
              <w:rPr>
                <w:sz w:val="16"/>
                <w:szCs w:val="16"/>
                <w:color w:val="auto"/>
              </w:rPr>
            </w:pPr>
          </w:p>
        </w:tc>
        <w:tc>
          <w:tcPr>
            <w:tcW w:w="1120" w:type="dxa"/>
            <w:vAlign w:val="bottom"/>
            <w:shd w:val="clear" w:color="auto" w:fill="0171B9"/>
          </w:tcPr>
          <w:p>
            <w:pPr>
              <w:spacing w:after="0"/>
              <w:rPr>
                <w:sz w:val="16"/>
                <w:szCs w:val="16"/>
                <w:color w:val="auto"/>
              </w:rPr>
            </w:pPr>
          </w:p>
        </w:tc>
        <w:tc>
          <w:tcPr>
            <w:tcW w:w="2120" w:type="dxa"/>
            <w:vAlign w:val="bottom"/>
            <w:gridSpan w:val="2"/>
            <w:shd w:val="clear" w:color="auto" w:fill="0171B9"/>
          </w:tcPr>
          <w:p>
            <w:pPr>
              <w:jc w:val="center"/>
              <w:spacing w:after="0"/>
              <w:rPr>
                <w:sz w:val="20"/>
                <w:szCs w:val="20"/>
                <w:color w:val="auto"/>
              </w:rPr>
            </w:pPr>
            <w:r>
              <w:rPr>
                <w:rFonts w:ascii="Arial" w:cs="Arial" w:eastAsia="Arial" w:hAnsi="Arial"/>
                <w:sz w:val="16"/>
                <w:szCs w:val="16"/>
                <w:b w:val="1"/>
                <w:bCs w:val="1"/>
                <w:color w:val="FFFFFF"/>
              </w:rPr>
              <w:t>Personal Expenses</w:t>
            </w:r>
          </w:p>
        </w:tc>
        <w:tc>
          <w:tcPr>
            <w:tcW w:w="1020" w:type="dxa"/>
            <w:vAlign w:val="bottom"/>
            <w:shd w:val="clear" w:color="auto" w:fill="0171B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0171B9"/>
          </w:tcPr>
          <w:p>
            <w:pPr>
              <w:spacing w:after="0"/>
              <w:rPr>
                <w:sz w:val="16"/>
                <w:szCs w:val="16"/>
                <w:color w:val="auto"/>
              </w:rPr>
            </w:pPr>
          </w:p>
        </w:tc>
        <w:tc>
          <w:tcPr>
            <w:tcW w:w="1360" w:type="dxa"/>
            <w:vAlign w:val="bottom"/>
            <w:shd w:val="clear" w:color="auto" w:fill="0171B9"/>
          </w:tcPr>
          <w:p>
            <w:pPr>
              <w:spacing w:after="0"/>
              <w:rPr>
                <w:sz w:val="16"/>
                <w:szCs w:val="16"/>
                <w:color w:val="auto"/>
              </w:rPr>
            </w:pPr>
          </w:p>
        </w:tc>
        <w:tc>
          <w:tcPr>
            <w:tcW w:w="2400" w:type="dxa"/>
            <w:vAlign w:val="bottom"/>
            <w:gridSpan w:val="2"/>
            <w:shd w:val="clear" w:color="auto" w:fill="0171B9"/>
          </w:tcPr>
          <w:p>
            <w:pPr>
              <w:jc w:val="right"/>
              <w:ind w:right="499"/>
              <w:spacing w:after="0"/>
              <w:rPr>
                <w:sz w:val="20"/>
                <w:szCs w:val="20"/>
                <w:color w:val="auto"/>
              </w:rPr>
            </w:pPr>
            <w:r>
              <w:rPr>
                <w:rFonts w:ascii="Arial" w:cs="Arial" w:eastAsia="Arial" w:hAnsi="Arial"/>
                <w:sz w:val="16"/>
                <w:szCs w:val="16"/>
                <w:b w:val="1"/>
                <w:bCs w:val="1"/>
                <w:color w:val="FFFFFF"/>
              </w:rPr>
              <w:t>Personal Use of</w:t>
            </w:r>
          </w:p>
        </w:tc>
        <w:tc>
          <w:tcPr>
            <w:tcW w:w="2120" w:type="dxa"/>
            <w:vAlign w:val="bottom"/>
            <w:gridSpan w:val="2"/>
            <w:shd w:val="clear" w:color="auto" w:fill="0171B9"/>
          </w:tcPr>
          <w:p>
            <w:pPr>
              <w:jc w:val="center"/>
              <w:spacing w:after="0"/>
              <w:rPr>
                <w:sz w:val="20"/>
                <w:szCs w:val="20"/>
                <w:color w:val="auto"/>
              </w:rPr>
            </w:pPr>
            <w:r>
              <w:rPr>
                <w:rFonts w:ascii="Arial" w:cs="Arial" w:eastAsia="Arial" w:hAnsi="Arial"/>
                <w:sz w:val="16"/>
                <w:szCs w:val="16"/>
                <w:b w:val="1"/>
                <w:bCs w:val="1"/>
                <w:color w:val="FFFFFF"/>
              </w:rPr>
              <w:t>While on Business</w:t>
            </w:r>
          </w:p>
        </w:tc>
        <w:tc>
          <w:tcPr>
            <w:tcW w:w="1020" w:type="dxa"/>
            <w:vAlign w:val="bottom"/>
            <w:shd w:val="clear" w:color="auto" w:fill="0171B9"/>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680" w:type="dxa"/>
            <w:vAlign w:val="bottom"/>
            <w:shd w:val="clear" w:color="auto" w:fill="0171B9"/>
          </w:tcPr>
          <w:p>
            <w:pPr>
              <w:spacing w:after="0"/>
              <w:rPr>
                <w:sz w:val="21"/>
                <w:szCs w:val="21"/>
                <w:color w:val="auto"/>
              </w:rPr>
            </w:pPr>
          </w:p>
        </w:tc>
        <w:tc>
          <w:tcPr>
            <w:tcW w:w="136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Matching of</w:t>
            </w:r>
          </w:p>
        </w:tc>
        <w:tc>
          <w:tcPr>
            <w:tcW w:w="2400" w:type="dxa"/>
            <w:vAlign w:val="bottom"/>
            <w:gridSpan w:val="2"/>
            <w:shd w:val="clear" w:color="auto" w:fill="0171B9"/>
          </w:tcPr>
          <w:p>
            <w:pPr>
              <w:jc w:val="right"/>
              <w:ind w:right="719"/>
              <w:spacing w:after="0"/>
              <w:rPr>
                <w:sz w:val="20"/>
                <w:szCs w:val="20"/>
                <w:color w:val="auto"/>
              </w:rPr>
            </w:pPr>
            <w:r>
              <w:rPr>
                <w:rFonts w:ascii="Arial" w:cs="Arial" w:eastAsia="Arial" w:hAnsi="Arial"/>
                <w:sz w:val="16"/>
                <w:szCs w:val="16"/>
                <w:b w:val="1"/>
                <w:bCs w:val="1"/>
                <w:color w:val="FFFFFF"/>
              </w:rPr>
              <w:t>Aircraft(b)</w:t>
            </w:r>
          </w:p>
        </w:tc>
        <w:tc>
          <w:tcPr>
            <w:tcW w:w="1420" w:type="dxa"/>
            <w:vAlign w:val="bottom"/>
            <w:shd w:val="clear" w:color="auto" w:fill="0171B9"/>
          </w:tcPr>
          <w:p>
            <w:pPr>
              <w:jc w:val="center"/>
              <w:ind w:left="619"/>
              <w:spacing w:after="0"/>
              <w:rPr>
                <w:sz w:val="20"/>
                <w:szCs w:val="20"/>
                <w:color w:val="auto"/>
              </w:rPr>
            </w:pPr>
            <w:r>
              <w:rPr>
                <w:rFonts w:ascii="Arial" w:cs="Arial" w:eastAsia="Arial" w:hAnsi="Arial"/>
                <w:sz w:val="16"/>
                <w:szCs w:val="16"/>
                <w:b w:val="1"/>
                <w:bCs w:val="1"/>
                <w:color w:val="FFFFFF"/>
              </w:rPr>
              <w:t>Travel(c)</w:t>
            </w:r>
          </w:p>
        </w:tc>
        <w:tc>
          <w:tcPr>
            <w:tcW w:w="700" w:type="dxa"/>
            <w:vAlign w:val="bottom"/>
            <w:vMerge w:val="restart"/>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Tax</w:t>
            </w:r>
          </w:p>
        </w:tc>
        <w:tc>
          <w:tcPr>
            <w:tcW w:w="1020" w:type="dxa"/>
            <w:vAlign w:val="bottom"/>
            <w:shd w:val="clear" w:color="auto" w:fill="0171B9"/>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680" w:type="dxa"/>
            <w:vAlign w:val="bottom"/>
            <w:shd w:val="clear" w:color="auto" w:fill="0171B9"/>
          </w:tcPr>
          <w:p>
            <w:pPr>
              <w:spacing w:after="0"/>
              <w:rPr>
                <w:sz w:val="16"/>
                <w:szCs w:val="16"/>
                <w:color w:val="auto"/>
              </w:rPr>
            </w:pPr>
          </w:p>
        </w:tc>
        <w:tc>
          <w:tcPr>
            <w:tcW w:w="136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Charitable</w:t>
            </w:r>
          </w:p>
        </w:tc>
        <w:tc>
          <w:tcPr>
            <w:tcW w:w="128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Aggregate</w:t>
            </w:r>
          </w:p>
        </w:tc>
        <w:tc>
          <w:tcPr>
            <w:tcW w:w="1120" w:type="dxa"/>
            <w:vAlign w:val="bottom"/>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Tax</w:t>
            </w:r>
          </w:p>
        </w:tc>
        <w:tc>
          <w:tcPr>
            <w:tcW w:w="1420" w:type="dxa"/>
            <w:vAlign w:val="bottom"/>
            <w:shd w:val="clear" w:color="auto" w:fill="0171B9"/>
          </w:tcPr>
          <w:p>
            <w:pPr>
              <w:jc w:val="right"/>
              <w:ind w:right="279"/>
              <w:spacing w:after="0"/>
              <w:rPr>
                <w:sz w:val="20"/>
                <w:szCs w:val="20"/>
                <w:color w:val="auto"/>
              </w:rPr>
            </w:pPr>
            <w:r>
              <w:rPr>
                <w:rFonts w:ascii="Arial" w:cs="Arial" w:eastAsia="Arial" w:hAnsi="Arial"/>
                <w:sz w:val="16"/>
                <w:szCs w:val="16"/>
                <w:b w:val="1"/>
                <w:bCs w:val="1"/>
                <w:color w:val="FFFFFF"/>
              </w:rPr>
              <w:t>Aggregate</w:t>
            </w:r>
          </w:p>
        </w:tc>
        <w:tc>
          <w:tcPr>
            <w:tcW w:w="700" w:type="dxa"/>
            <w:vAlign w:val="bottom"/>
            <w:vMerge w:val="continue"/>
            <w:shd w:val="clear" w:color="auto" w:fill="0171B9"/>
          </w:tcPr>
          <w:p>
            <w:pPr>
              <w:spacing w:after="0"/>
              <w:rPr>
                <w:sz w:val="16"/>
                <w:szCs w:val="16"/>
                <w:color w:val="auto"/>
              </w:rPr>
            </w:pPr>
          </w:p>
        </w:tc>
        <w:tc>
          <w:tcPr>
            <w:tcW w:w="1020" w:type="dxa"/>
            <w:vAlign w:val="bottom"/>
            <w:shd w:val="clear" w:color="auto" w:fill="0171B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0171B9"/>
          </w:tcPr>
          <w:p>
            <w:pPr>
              <w:spacing w:after="0"/>
              <w:rPr>
                <w:sz w:val="16"/>
                <w:szCs w:val="16"/>
                <w:color w:val="auto"/>
              </w:rPr>
            </w:pPr>
          </w:p>
        </w:tc>
        <w:tc>
          <w:tcPr>
            <w:tcW w:w="136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Contributions</w:t>
            </w:r>
          </w:p>
        </w:tc>
        <w:tc>
          <w:tcPr>
            <w:tcW w:w="128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Incremental</w:t>
            </w:r>
          </w:p>
        </w:tc>
        <w:tc>
          <w:tcPr>
            <w:tcW w:w="1120" w:type="dxa"/>
            <w:vAlign w:val="bottom"/>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Gross-Up</w:t>
            </w:r>
          </w:p>
        </w:tc>
        <w:tc>
          <w:tcPr>
            <w:tcW w:w="1420" w:type="dxa"/>
            <w:vAlign w:val="bottom"/>
            <w:shd w:val="clear" w:color="auto" w:fill="0171B9"/>
          </w:tcPr>
          <w:p>
            <w:pPr>
              <w:jc w:val="right"/>
              <w:ind w:right="279"/>
              <w:spacing w:after="0"/>
              <w:rPr>
                <w:sz w:val="20"/>
                <w:szCs w:val="20"/>
                <w:color w:val="auto"/>
              </w:rPr>
            </w:pPr>
            <w:r>
              <w:rPr>
                <w:rFonts w:ascii="Arial" w:cs="Arial" w:eastAsia="Arial" w:hAnsi="Arial"/>
                <w:sz w:val="16"/>
                <w:szCs w:val="16"/>
                <w:b w:val="1"/>
                <w:bCs w:val="1"/>
                <w:color w:val="FFFFFF"/>
              </w:rPr>
              <w:t>Incremental</w:t>
            </w:r>
          </w:p>
        </w:tc>
        <w:tc>
          <w:tcPr>
            <w:tcW w:w="700" w:type="dxa"/>
            <w:vAlign w:val="bottom"/>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Gross-</w:t>
            </w:r>
          </w:p>
        </w:tc>
        <w:tc>
          <w:tcPr>
            <w:tcW w:w="1020" w:type="dxa"/>
            <w:vAlign w:val="bottom"/>
            <w:shd w:val="clear" w:color="auto" w:fill="0171B9"/>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680" w:type="dxa"/>
            <w:vAlign w:val="bottom"/>
            <w:shd w:val="clear" w:color="auto" w:fill="0171B9"/>
          </w:tcPr>
          <w:p>
            <w:pPr>
              <w:ind w:left="100"/>
              <w:spacing w:after="0"/>
              <w:rPr>
                <w:sz w:val="20"/>
                <w:szCs w:val="20"/>
                <w:color w:val="auto"/>
              </w:rPr>
            </w:pPr>
            <w:r>
              <w:rPr>
                <w:rFonts w:ascii="Arial" w:cs="Arial" w:eastAsia="Arial" w:hAnsi="Arial"/>
                <w:sz w:val="16"/>
                <w:szCs w:val="16"/>
                <w:b w:val="1"/>
                <w:bCs w:val="1"/>
                <w:color w:val="FFFFFF"/>
              </w:rPr>
              <w:t>Non-Employee Directors</w:t>
            </w:r>
          </w:p>
        </w:tc>
        <w:tc>
          <w:tcPr>
            <w:tcW w:w="136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($)(a)</w:t>
            </w:r>
          </w:p>
        </w:tc>
        <w:tc>
          <w:tcPr>
            <w:tcW w:w="1280" w:type="dxa"/>
            <w:vAlign w:val="bottom"/>
            <w:shd w:val="clear" w:color="auto" w:fill="0171B9"/>
          </w:tcPr>
          <w:p>
            <w:pPr>
              <w:jc w:val="right"/>
              <w:ind w:right="139"/>
              <w:spacing w:after="0"/>
              <w:rPr>
                <w:sz w:val="20"/>
                <w:szCs w:val="20"/>
                <w:color w:val="auto"/>
              </w:rPr>
            </w:pPr>
            <w:r>
              <w:rPr>
                <w:rFonts w:ascii="Arial" w:cs="Arial" w:eastAsia="Arial" w:hAnsi="Arial"/>
                <w:sz w:val="16"/>
                <w:szCs w:val="16"/>
                <w:b w:val="1"/>
                <w:bCs w:val="1"/>
                <w:color w:val="FFFFFF"/>
              </w:rPr>
              <w:t>Amounts($)</w:t>
            </w:r>
          </w:p>
        </w:tc>
        <w:tc>
          <w:tcPr>
            <w:tcW w:w="1120" w:type="dxa"/>
            <w:vAlign w:val="bottom"/>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w:t>
            </w:r>
          </w:p>
        </w:tc>
        <w:tc>
          <w:tcPr>
            <w:tcW w:w="1420" w:type="dxa"/>
            <w:vAlign w:val="bottom"/>
            <w:shd w:val="clear" w:color="auto" w:fill="0171B9"/>
          </w:tcPr>
          <w:p>
            <w:pPr>
              <w:jc w:val="right"/>
              <w:ind w:right="279"/>
              <w:spacing w:after="0"/>
              <w:rPr>
                <w:sz w:val="20"/>
                <w:szCs w:val="20"/>
                <w:color w:val="auto"/>
              </w:rPr>
            </w:pPr>
            <w:r>
              <w:rPr>
                <w:rFonts w:ascii="Arial" w:cs="Arial" w:eastAsia="Arial" w:hAnsi="Arial"/>
                <w:sz w:val="16"/>
                <w:szCs w:val="16"/>
                <w:b w:val="1"/>
                <w:bCs w:val="1"/>
                <w:color w:val="FFFFFF"/>
              </w:rPr>
              <w:t>Amounts($)</w:t>
            </w:r>
          </w:p>
        </w:tc>
        <w:tc>
          <w:tcPr>
            <w:tcW w:w="700" w:type="dxa"/>
            <w:vAlign w:val="bottom"/>
            <w:shd w:val="clear" w:color="auto" w:fill="0171B9"/>
          </w:tcPr>
          <w:p>
            <w:pPr>
              <w:jc w:val="right"/>
              <w:ind w:right="59"/>
              <w:spacing w:after="0"/>
              <w:rPr>
                <w:sz w:val="20"/>
                <w:szCs w:val="20"/>
                <w:color w:val="auto"/>
              </w:rPr>
            </w:pPr>
            <w:r>
              <w:rPr>
                <w:rFonts w:ascii="Arial" w:cs="Arial" w:eastAsia="Arial" w:hAnsi="Arial"/>
                <w:sz w:val="16"/>
                <w:szCs w:val="16"/>
                <w:b w:val="1"/>
                <w:bCs w:val="1"/>
                <w:color w:val="FFFFFF"/>
              </w:rPr>
              <w:t>Up($)</w:t>
            </w:r>
          </w:p>
        </w:tc>
        <w:tc>
          <w:tcPr>
            <w:tcW w:w="102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304"/>
        </w:trPr>
        <w:tc>
          <w:tcPr>
            <w:tcW w:w="368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Wanda M. Austin</w:t>
            </w:r>
          </w:p>
        </w:tc>
        <w:tc>
          <w:tcPr>
            <w:tcW w:w="136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20,000</w:t>
            </w:r>
          </w:p>
        </w:tc>
        <w:tc>
          <w:tcPr>
            <w:tcW w:w="128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0</w:t>
            </w:r>
          </w:p>
        </w:tc>
        <w:tc>
          <w:tcPr>
            <w:tcW w:w="1420" w:type="dxa"/>
            <w:vAlign w:val="bottom"/>
            <w:tcBorders>
              <w:bottom w:val="single" w:sz="8" w:color="CCE2F1"/>
            </w:tcBorders>
            <w:shd w:val="clear" w:color="auto" w:fill="CCE2F1"/>
          </w:tcPr>
          <w:p>
            <w:pPr>
              <w:jc w:val="right"/>
              <w:ind w:right="279"/>
              <w:spacing w:after="0"/>
              <w:rPr>
                <w:sz w:val="20"/>
                <w:szCs w:val="20"/>
                <w:color w:val="auto"/>
              </w:rPr>
            </w:pPr>
            <w:r>
              <w:rPr>
                <w:rFonts w:ascii="Arial" w:cs="Arial" w:eastAsia="Arial" w:hAnsi="Arial"/>
                <w:sz w:val="16"/>
                <w:szCs w:val="16"/>
                <w:color w:val="auto"/>
              </w:rPr>
              <w:t>0</w:t>
            </w:r>
          </w:p>
        </w:tc>
        <w:tc>
          <w:tcPr>
            <w:tcW w:w="70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64"/>
        </w:trPr>
        <w:tc>
          <w:tcPr>
            <w:tcW w:w="3680" w:type="dxa"/>
            <w:vAlign w:val="bottom"/>
          </w:tcPr>
          <w:p>
            <w:pPr>
              <w:ind w:left="100"/>
              <w:spacing w:after="0"/>
              <w:rPr>
                <w:sz w:val="20"/>
                <w:szCs w:val="20"/>
                <w:color w:val="auto"/>
              </w:rPr>
            </w:pPr>
            <w:r>
              <w:rPr>
                <w:rFonts w:ascii="Arial" w:cs="Arial" w:eastAsia="Arial" w:hAnsi="Arial"/>
                <w:sz w:val="16"/>
                <w:szCs w:val="16"/>
                <w:color w:val="auto"/>
              </w:rPr>
              <w:t>Michael V. Drake</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1420" w:type="dxa"/>
            <w:vAlign w:val="bottom"/>
          </w:tcPr>
          <w:p>
            <w:pPr>
              <w:jc w:val="right"/>
              <w:ind w:right="279"/>
              <w:spacing w:after="0"/>
              <w:rPr>
                <w:sz w:val="20"/>
                <w:szCs w:val="20"/>
                <w:color w:val="auto"/>
              </w:rPr>
            </w:pPr>
            <w:r>
              <w:rPr>
                <w:rFonts w:ascii="Arial" w:cs="Arial" w:eastAsia="Arial" w:hAnsi="Arial"/>
                <w:sz w:val="16"/>
                <w:szCs w:val="16"/>
                <w:color w:val="auto"/>
              </w:rPr>
              <w:t>0</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47</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60"/>
        </w:trPr>
        <w:tc>
          <w:tcPr>
            <w:tcW w:w="36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Brian J. Druker</w:t>
            </w:r>
          </w:p>
        </w:tc>
        <w:tc>
          <w:tcPr>
            <w:tcW w:w="136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20,000</w:t>
            </w:r>
          </w:p>
        </w:tc>
        <w:tc>
          <w:tcPr>
            <w:tcW w:w="128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0</w:t>
            </w:r>
          </w:p>
        </w:tc>
        <w:tc>
          <w:tcPr>
            <w:tcW w:w="1420" w:type="dxa"/>
            <w:vAlign w:val="bottom"/>
            <w:tcBorders>
              <w:bottom w:val="single" w:sz="8" w:color="CCE2F1"/>
            </w:tcBorders>
            <w:shd w:val="clear" w:color="auto" w:fill="CCE2F1"/>
          </w:tcPr>
          <w:p>
            <w:pPr>
              <w:jc w:val="right"/>
              <w:ind w:right="279"/>
              <w:spacing w:after="0"/>
              <w:rPr>
                <w:sz w:val="20"/>
                <w:szCs w:val="20"/>
                <w:color w:val="auto"/>
              </w:rPr>
            </w:pPr>
            <w:r>
              <w:rPr>
                <w:rFonts w:ascii="Arial" w:cs="Arial" w:eastAsia="Arial" w:hAnsi="Arial"/>
                <w:sz w:val="16"/>
                <w:szCs w:val="16"/>
                <w:color w:val="auto"/>
              </w:rPr>
              <w:t>0</w:t>
            </w:r>
          </w:p>
        </w:tc>
        <w:tc>
          <w:tcPr>
            <w:tcW w:w="70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64"/>
        </w:trPr>
        <w:tc>
          <w:tcPr>
            <w:tcW w:w="3680" w:type="dxa"/>
            <w:vAlign w:val="bottom"/>
          </w:tcPr>
          <w:p>
            <w:pPr>
              <w:ind w:left="100"/>
              <w:spacing w:after="0"/>
              <w:rPr>
                <w:sz w:val="20"/>
                <w:szCs w:val="20"/>
                <w:color w:val="auto"/>
              </w:rPr>
            </w:pPr>
            <w:r>
              <w:rPr>
                <w:rFonts w:ascii="Arial" w:cs="Arial" w:eastAsia="Arial" w:hAnsi="Arial"/>
                <w:sz w:val="16"/>
                <w:szCs w:val="16"/>
                <w:color w:val="auto"/>
              </w:rPr>
              <w:t>Robert A. Eckert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20,000</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1420" w:type="dxa"/>
            <w:vAlign w:val="bottom"/>
          </w:tcPr>
          <w:p>
            <w:pPr>
              <w:jc w:val="right"/>
              <w:ind w:right="279"/>
              <w:spacing w:after="0"/>
              <w:rPr>
                <w:sz w:val="20"/>
                <w:szCs w:val="20"/>
                <w:color w:val="auto"/>
              </w:rPr>
            </w:pPr>
            <w:r>
              <w:rPr>
                <w:rFonts w:ascii="Arial" w:cs="Arial" w:eastAsia="Arial" w:hAnsi="Arial"/>
                <w:sz w:val="16"/>
                <w:szCs w:val="16"/>
                <w:color w:val="auto"/>
              </w:rPr>
              <w:t>0</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60"/>
        </w:trPr>
        <w:tc>
          <w:tcPr>
            <w:tcW w:w="36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Greg C. Garland</w:t>
            </w:r>
          </w:p>
        </w:tc>
        <w:tc>
          <w:tcPr>
            <w:tcW w:w="136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20,000</w:t>
            </w:r>
          </w:p>
        </w:tc>
        <w:tc>
          <w:tcPr>
            <w:tcW w:w="128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0</w:t>
            </w:r>
          </w:p>
        </w:tc>
        <w:tc>
          <w:tcPr>
            <w:tcW w:w="1420" w:type="dxa"/>
            <w:vAlign w:val="bottom"/>
            <w:tcBorders>
              <w:bottom w:val="single" w:sz="8" w:color="CCE2F1"/>
            </w:tcBorders>
            <w:shd w:val="clear" w:color="auto" w:fill="CCE2F1"/>
          </w:tcPr>
          <w:p>
            <w:pPr>
              <w:jc w:val="right"/>
              <w:ind w:right="279"/>
              <w:spacing w:after="0"/>
              <w:rPr>
                <w:sz w:val="20"/>
                <w:szCs w:val="20"/>
                <w:color w:val="auto"/>
              </w:rPr>
            </w:pPr>
            <w:r>
              <w:rPr>
                <w:rFonts w:ascii="Arial" w:cs="Arial" w:eastAsia="Arial" w:hAnsi="Arial"/>
                <w:sz w:val="16"/>
                <w:szCs w:val="16"/>
                <w:color w:val="auto"/>
              </w:rPr>
              <w:t>0</w:t>
            </w:r>
          </w:p>
        </w:tc>
        <w:tc>
          <w:tcPr>
            <w:tcW w:w="70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64"/>
        </w:trPr>
        <w:tc>
          <w:tcPr>
            <w:tcW w:w="3680" w:type="dxa"/>
            <w:vAlign w:val="bottom"/>
          </w:tcPr>
          <w:p>
            <w:pPr>
              <w:ind w:left="100"/>
              <w:spacing w:after="0"/>
              <w:rPr>
                <w:sz w:val="20"/>
                <w:szCs w:val="20"/>
                <w:color w:val="auto"/>
              </w:rPr>
            </w:pPr>
            <w:r>
              <w:rPr>
                <w:rFonts w:ascii="Arial" w:cs="Arial" w:eastAsia="Arial" w:hAnsi="Arial"/>
                <w:sz w:val="16"/>
                <w:szCs w:val="16"/>
                <w:color w:val="auto"/>
              </w:rPr>
              <w:t>Charles M. Holley, Jr.</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1420" w:type="dxa"/>
            <w:vAlign w:val="bottom"/>
          </w:tcPr>
          <w:p>
            <w:pPr>
              <w:jc w:val="right"/>
              <w:ind w:right="279"/>
              <w:spacing w:after="0"/>
              <w:rPr>
                <w:sz w:val="20"/>
                <w:szCs w:val="20"/>
                <w:color w:val="auto"/>
              </w:rPr>
            </w:pPr>
            <w:r>
              <w:rPr>
                <w:rFonts w:ascii="Arial" w:cs="Arial" w:eastAsia="Arial" w:hAnsi="Arial"/>
                <w:sz w:val="16"/>
                <w:szCs w:val="16"/>
                <w:color w:val="auto"/>
              </w:rPr>
              <w:t>0</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60"/>
        </w:trPr>
        <w:tc>
          <w:tcPr>
            <w:tcW w:w="36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S. Omar Ishrak</w:t>
            </w:r>
          </w:p>
        </w:tc>
        <w:tc>
          <w:tcPr>
            <w:tcW w:w="136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20,000</w:t>
            </w:r>
          </w:p>
        </w:tc>
        <w:tc>
          <w:tcPr>
            <w:tcW w:w="128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0</w:t>
            </w:r>
          </w:p>
        </w:tc>
        <w:tc>
          <w:tcPr>
            <w:tcW w:w="1420" w:type="dxa"/>
            <w:vAlign w:val="bottom"/>
            <w:tcBorders>
              <w:bottom w:val="single" w:sz="8" w:color="CCE2F1"/>
            </w:tcBorders>
            <w:shd w:val="clear" w:color="auto" w:fill="CCE2F1"/>
          </w:tcPr>
          <w:p>
            <w:pPr>
              <w:jc w:val="right"/>
              <w:ind w:right="279"/>
              <w:spacing w:after="0"/>
              <w:rPr>
                <w:sz w:val="20"/>
                <w:szCs w:val="20"/>
                <w:color w:val="auto"/>
              </w:rPr>
            </w:pPr>
            <w:r>
              <w:rPr>
                <w:rFonts w:ascii="Arial" w:cs="Arial" w:eastAsia="Arial" w:hAnsi="Arial"/>
                <w:sz w:val="16"/>
                <w:szCs w:val="16"/>
                <w:color w:val="auto"/>
              </w:rPr>
              <w:t>0</w:t>
            </w:r>
          </w:p>
        </w:tc>
        <w:tc>
          <w:tcPr>
            <w:tcW w:w="70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116</w:t>
            </w:r>
          </w:p>
        </w:tc>
        <w:tc>
          <w:tcPr>
            <w:tcW w:w="102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20,116</w:t>
            </w:r>
          </w:p>
        </w:tc>
        <w:tc>
          <w:tcPr>
            <w:tcW w:w="0" w:type="dxa"/>
            <w:vAlign w:val="bottom"/>
          </w:tcPr>
          <w:p>
            <w:pPr>
              <w:spacing w:after="0"/>
              <w:rPr>
                <w:sz w:val="1"/>
                <w:szCs w:val="1"/>
                <w:color w:val="auto"/>
              </w:rPr>
            </w:pPr>
          </w:p>
        </w:tc>
      </w:tr>
      <w:tr>
        <w:trPr>
          <w:trHeight w:val="264"/>
        </w:trPr>
        <w:tc>
          <w:tcPr>
            <w:tcW w:w="3680" w:type="dxa"/>
            <w:vAlign w:val="bottom"/>
          </w:tcPr>
          <w:p>
            <w:pPr>
              <w:ind w:left="80"/>
              <w:spacing w:after="0"/>
              <w:rPr>
                <w:sz w:val="20"/>
                <w:szCs w:val="20"/>
                <w:color w:val="auto"/>
              </w:rPr>
            </w:pPr>
            <w:r>
              <w:rPr>
                <w:rFonts w:ascii="Arial" w:cs="Arial" w:eastAsia="Arial" w:hAnsi="Arial"/>
                <w:sz w:val="16"/>
                <w:szCs w:val="16"/>
                <w:color w:val="auto"/>
              </w:rPr>
              <w:t>Tyler Jacks</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20,000</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1420" w:type="dxa"/>
            <w:vAlign w:val="bottom"/>
          </w:tcPr>
          <w:p>
            <w:pPr>
              <w:jc w:val="right"/>
              <w:ind w:right="279"/>
              <w:spacing w:after="0"/>
              <w:rPr>
                <w:sz w:val="20"/>
                <w:szCs w:val="20"/>
                <w:color w:val="auto"/>
              </w:rPr>
            </w:pPr>
            <w:r>
              <w:rPr>
                <w:rFonts w:ascii="Arial" w:cs="Arial" w:eastAsia="Arial" w:hAnsi="Arial"/>
                <w:sz w:val="16"/>
                <w:szCs w:val="16"/>
                <w:color w:val="auto"/>
              </w:rPr>
              <w:t>0</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60"/>
        </w:trPr>
        <w:tc>
          <w:tcPr>
            <w:tcW w:w="36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Ellen J. Kullman</w:t>
            </w:r>
          </w:p>
        </w:tc>
        <w:tc>
          <w:tcPr>
            <w:tcW w:w="136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20,000</w:t>
            </w:r>
          </w:p>
        </w:tc>
        <w:tc>
          <w:tcPr>
            <w:tcW w:w="128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11</w:t>
            </w:r>
          </w:p>
        </w:tc>
        <w:tc>
          <w:tcPr>
            <w:tcW w:w="1420" w:type="dxa"/>
            <w:vAlign w:val="bottom"/>
            <w:tcBorders>
              <w:bottom w:val="single" w:sz="8" w:color="CCE2F1"/>
            </w:tcBorders>
            <w:shd w:val="clear" w:color="auto" w:fill="CCE2F1"/>
          </w:tcPr>
          <w:p>
            <w:pPr>
              <w:jc w:val="right"/>
              <w:ind w:right="279"/>
              <w:spacing w:after="0"/>
              <w:rPr>
                <w:sz w:val="20"/>
                <w:szCs w:val="20"/>
                <w:color w:val="auto"/>
              </w:rPr>
            </w:pPr>
            <w:r>
              <w:rPr>
                <w:rFonts w:ascii="Arial" w:cs="Arial" w:eastAsia="Arial" w:hAnsi="Arial"/>
                <w:sz w:val="16"/>
                <w:szCs w:val="16"/>
                <w:color w:val="auto"/>
              </w:rPr>
              <w:t>0</w:t>
            </w:r>
          </w:p>
        </w:tc>
        <w:tc>
          <w:tcPr>
            <w:tcW w:w="70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127</w:t>
            </w:r>
          </w:p>
        </w:tc>
        <w:tc>
          <w:tcPr>
            <w:tcW w:w="102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20,138</w:t>
            </w:r>
          </w:p>
        </w:tc>
        <w:tc>
          <w:tcPr>
            <w:tcW w:w="0" w:type="dxa"/>
            <w:vAlign w:val="bottom"/>
          </w:tcPr>
          <w:p>
            <w:pPr>
              <w:spacing w:after="0"/>
              <w:rPr>
                <w:sz w:val="1"/>
                <w:szCs w:val="1"/>
                <w:color w:val="auto"/>
              </w:rPr>
            </w:pPr>
          </w:p>
        </w:tc>
      </w:tr>
      <w:tr>
        <w:trPr>
          <w:trHeight w:val="264"/>
        </w:trPr>
        <w:tc>
          <w:tcPr>
            <w:tcW w:w="3680" w:type="dxa"/>
            <w:vAlign w:val="bottom"/>
          </w:tcPr>
          <w:p>
            <w:pPr>
              <w:ind w:left="80"/>
              <w:spacing w:after="0"/>
              <w:rPr>
                <w:sz w:val="20"/>
                <w:szCs w:val="20"/>
                <w:color w:val="auto"/>
              </w:rPr>
            </w:pPr>
            <w:r>
              <w:rPr>
                <w:rFonts w:ascii="Arial" w:cs="Arial" w:eastAsia="Arial" w:hAnsi="Arial"/>
                <w:sz w:val="16"/>
                <w:szCs w:val="16"/>
                <w:color w:val="auto"/>
              </w:rPr>
              <w:t>Amy E. Miles</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20,000</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1420" w:type="dxa"/>
            <w:vAlign w:val="bottom"/>
          </w:tcPr>
          <w:p>
            <w:pPr>
              <w:jc w:val="right"/>
              <w:ind w:right="279"/>
              <w:spacing w:after="0"/>
              <w:rPr>
                <w:sz w:val="20"/>
                <w:szCs w:val="20"/>
                <w:color w:val="auto"/>
              </w:rPr>
            </w:pPr>
            <w:r>
              <w:rPr>
                <w:rFonts w:ascii="Arial" w:cs="Arial" w:eastAsia="Arial" w:hAnsi="Arial"/>
                <w:sz w:val="16"/>
                <w:szCs w:val="16"/>
                <w:color w:val="auto"/>
              </w:rPr>
              <w:t>0</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39</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20,039</w:t>
            </w:r>
          </w:p>
        </w:tc>
        <w:tc>
          <w:tcPr>
            <w:tcW w:w="0" w:type="dxa"/>
            <w:vAlign w:val="bottom"/>
          </w:tcPr>
          <w:p>
            <w:pPr>
              <w:spacing w:after="0"/>
              <w:rPr>
                <w:sz w:val="1"/>
                <w:szCs w:val="1"/>
                <w:color w:val="auto"/>
              </w:rPr>
            </w:pPr>
          </w:p>
        </w:tc>
      </w:tr>
      <w:tr>
        <w:trPr>
          <w:trHeight w:val="60"/>
        </w:trPr>
        <w:tc>
          <w:tcPr>
            <w:tcW w:w="36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Ronald D. Sugar</w:t>
            </w:r>
          </w:p>
        </w:tc>
        <w:tc>
          <w:tcPr>
            <w:tcW w:w="136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20,000</w:t>
            </w:r>
          </w:p>
        </w:tc>
        <w:tc>
          <w:tcPr>
            <w:tcW w:w="1280" w:type="dxa"/>
            <w:vAlign w:val="bottom"/>
            <w:tcBorders>
              <w:bottom w:val="single" w:sz="8" w:color="CCE2F1"/>
            </w:tcBorders>
            <w:shd w:val="clear" w:color="auto" w:fill="CCE2F1"/>
          </w:tcPr>
          <w:p>
            <w:pPr>
              <w:jc w:val="right"/>
              <w:ind w:right="139"/>
              <w:spacing w:after="0"/>
              <w:rPr>
                <w:sz w:val="20"/>
                <w:szCs w:val="20"/>
                <w:color w:val="auto"/>
              </w:rPr>
            </w:pPr>
            <w:r>
              <w:rPr>
                <w:rFonts w:ascii="Arial" w:cs="Arial" w:eastAsia="Arial" w:hAnsi="Arial"/>
                <w:sz w:val="16"/>
                <w:szCs w:val="16"/>
                <w:color w:val="auto"/>
              </w:rPr>
              <w:t>294</w:t>
            </w:r>
          </w:p>
        </w:tc>
        <w:tc>
          <w:tcPr>
            <w:tcW w:w="112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750</w:t>
            </w:r>
          </w:p>
        </w:tc>
        <w:tc>
          <w:tcPr>
            <w:tcW w:w="1420" w:type="dxa"/>
            <w:vAlign w:val="bottom"/>
            <w:tcBorders>
              <w:bottom w:val="single" w:sz="8" w:color="CCE2F1"/>
            </w:tcBorders>
            <w:shd w:val="clear" w:color="auto" w:fill="CCE2F1"/>
          </w:tcPr>
          <w:p>
            <w:pPr>
              <w:jc w:val="right"/>
              <w:ind w:right="279"/>
              <w:spacing w:after="0"/>
              <w:rPr>
                <w:sz w:val="20"/>
                <w:szCs w:val="20"/>
                <w:color w:val="auto"/>
              </w:rPr>
            </w:pPr>
            <w:r>
              <w:rPr>
                <w:rFonts w:ascii="Arial" w:cs="Arial" w:eastAsia="Arial" w:hAnsi="Arial"/>
                <w:sz w:val="16"/>
                <w:szCs w:val="16"/>
                <w:color w:val="auto"/>
              </w:rPr>
              <w:t>0</w:t>
            </w:r>
          </w:p>
        </w:tc>
        <w:tc>
          <w:tcPr>
            <w:tcW w:w="700" w:type="dxa"/>
            <w:vAlign w:val="bottom"/>
            <w:tcBorders>
              <w:bottom w:val="single" w:sz="8" w:color="CCE2F1"/>
            </w:tcBorders>
            <w:shd w:val="clear" w:color="auto" w:fill="CCE2F1"/>
          </w:tcPr>
          <w:p>
            <w:pPr>
              <w:jc w:val="right"/>
              <w:ind w:right="59"/>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CCE2F1"/>
            </w:tcBorders>
            <w:shd w:val="clear" w:color="auto" w:fill="CCE2F1"/>
          </w:tcPr>
          <w:p>
            <w:pPr>
              <w:jc w:val="right"/>
              <w:ind w:right="79"/>
              <w:spacing w:after="0"/>
              <w:rPr>
                <w:sz w:val="20"/>
                <w:szCs w:val="20"/>
                <w:color w:val="auto"/>
              </w:rPr>
            </w:pPr>
            <w:r>
              <w:rPr>
                <w:rFonts w:ascii="Arial" w:cs="Arial" w:eastAsia="Arial" w:hAnsi="Arial"/>
                <w:sz w:val="16"/>
                <w:szCs w:val="16"/>
                <w:color w:val="auto"/>
              </w:rPr>
              <w:t>21,044</w:t>
            </w:r>
          </w:p>
        </w:tc>
        <w:tc>
          <w:tcPr>
            <w:tcW w:w="0" w:type="dxa"/>
            <w:vAlign w:val="bottom"/>
          </w:tcPr>
          <w:p>
            <w:pPr>
              <w:spacing w:after="0"/>
              <w:rPr>
                <w:sz w:val="1"/>
                <w:szCs w:val="1"/>
                <w:color w:val="auto"/>
              </w:rPr>
            </w:pPr>
          </w:p>
        </w:tc>
      </w:tr>
      <w:tr>
        <w:trPr>
          <w:trHeight w:val="264"/>
        </w:trPr>
        <w:tc>
          <w:tcPr>
            <w:tcW w:w="3680" w:type="dxa"/>
            <w:vAlign w:val="bottom"/>
          </w:tcPr>
          <w:p>
            <w:pPr>
              <w:ind w:left="100"/>
              <w:spacing w:after="0"/>
              <w:rPr>
                <w:sz w:val="20"/>
                <w:szCs w:val="20"/>
                <w:color w:val="auto"/>
              </w:rPr>
            </w:pPr>
            <w:r>
              <w:rPr>
                <w:rFonts w:ascii="Arial" w:cs="Arial" w:eastAsia="Arial" w:hAnsi="Arial"/>
                <w:sz w:val="16"/>
                <w:szCs w:val="16"/>
                <w:color w:val="auto"/>
              </w:rPr>
              <w:t>R. Sanders Williams</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20,000</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1420" w:type="dxa"/>
            <w:vAlign w:val="bottom"/>
          </w:tcPr>
          <w:p>
            <w:pPr>
              <w:jc w:val="right"/>
              <w:ind w:right="279"/>
              <w:spacing w:after="0"/>
              <w:rPr>
                <w:sz w:val="20"/>
                <w:szCs w:val="20"/>
                <w:color w:val="auto"/>
              </w:rPr>
            </w:pPr>
            <w:r>
              <w:rPr>
                <w:rFonts w:ascii="Arial" w:cs="Arial" w:eastAsia="Arial" w:hAnsi="Arial"/>
                <w:sz w:val="16"/>
                <w:szCs w:val="16"/>
                <w:color w:val="auto"/>
              </w:rPr>
              <w:t>0</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164</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20,164</w:t>
            </w:r>
          </w:p>
        </w:tc>
        <w:tc>
          <w:tcPr>
            <w:tcW w:w="0" w:type="dxa"/>
            <w:vAlign w:val="bottom"/>
          </w:tcPr>
          <w:p>
            <w:pPr>
              <w:spacing w:after="0"/>
              <w:rPr>
                <w:sz w:val="1"/>
                <w:szCs w:val="1"/>
                <w:color w:val="auto"/>
              </w:rPr>
            </w:pPr>
          </w:p>
        </w:tc>
      </w:tr>
      <w:tr>
        <w:trPr>
          <w:trHeight w:val="60"/>
        </w:trPr>
        <w:tc>
          <w:tcPr>
            <w:tcW w:w="3680" w:type="dxa"/>
            <w:vAlign w:val="bottom"/>
            <w:tcBorders>
              <w:bottom w:val="single" w:sz="8" w:color="0171B9"/>
            </w:tcBorders>
          </w:tcPr>
          <w:p>
            <w:pPr>
              <w:spacing w:after="0"/>
              <w:rPr>
                <w:sz w:val="5"/>
                <w:szCs w:val="5"/>
                <w:color w:val="auto"/>
              </w:rPr>
            </w:pPr>
          </w:p>
        </w:tc>
        <w:tc>
          <w:tcPr>
            <w:tcW w:w="1360" w:type="dxa"/>
            <w:vAlign w:val="bottom"/>
            <w:tcBorders>
              <w:bottom w:val="single" w:sz="8" w:color="0171B9"/>
            </w:tcBorders>
          </w:tcPr>
          <w:p>
            <w:pPr>
              <w:spacing w:after="0"/>
              <w:rPr>
                <w:sz w:val="5"/>
                <w:szCs w:val="5"/>
                <w:color w:val="auto"/>
              </w:rPr>
            </w:pPr>
          </w:p>
        </w:tc>
        <w:tc>
          <w:tcPr>
            <w:tcW w:w="1280" w:type="dxa"/>
            <w:vAlign w:val="bottom"/>
            <w:tcBorders>
              <w:bottom w:val="single" w:sz="8" w:color="0171B9"/>
            </w:tcBorders>
          </w:tcPr>
          <w:p>
            <w:pPr>
              <w:spacing w:after="0"/>
              <w:rPr>
                <w:sz w:val="5"/>
                <w:szCs w:val="5"/>
                <w:color w:val="auto"/>
              </w:rPr>
            </w:pPr>
          </w:p>
        </w:tc>
        <w:tc>
          <w:tcPr>
            <w:tcW w:w="1120" w:type="dxa"/>
            <w:vAlign w:val="bottom"/>
            <w:tcBorders>
              <w:bottom w:val="single" w:sz="8" w:color="0171B9"/>
            </w:tcBorders>
          </w:tcPr>
          <w:p>
            <w:pPr>
              <w:spacing w:after="0"/>
              <w:rPr>
                <w:sz w:val="5"/>
                <w:szCs w:val="5"/>
                <w:color w:val="auto"/>
              </w:rPr>
            </w:pPr>
          </w:p>
        </w:tc>
        <w:tc>
          <w:tcPr>
            <w:tcW w:w="1420" w:type="dxa"/>
            <w:vAlign w:val="bottom"/>
            <w:tcBorders>
              <w:bottom w:val="single" w:sz="8" w:color="0171B9"/>
            </w:tcBorders>
          </w:tcPr>
          <w:p>
            <w:pPr>
              <w:spacing w:after="0"/>
              <w:rPr>
                <w:sz w:val="5"/>
                <w:szCs w:val="5"/>
                <w:color w:val="auto"/>
              </w:rPr>
            </w:pPr>
          </w:p>
        </w:tc>
        <w:tc>
          <w:tcPr>
            <w:tcW w:w="700" w:type="dxa"/>
            <w:vAlign w:val="bottom"/>
            <w:tcBorders>
              <w:bottom w:val="single" w:sz="8" w:color="0171B9"/>
            </w:tcBorders>
          </w:tcPr>
          <w:p>
            <w:pPr>
              <w:spacing w:after="0"/>
              <w:rPr>
                <w:sz w:val="5"/>
                <w:szCs w:val="5"/>
                <w:color w:val="auto"/>
              </w:rPr>
            </w:pPr>
          </w:p>
        </w:tc>
        <w:tc>
          <w:tcPr>
            <w:tcW w:w="1020" w:type="dxa"/>
            <w:vAlign w:val="bottom"/>
            <w:tcBorders>
              <w:bottom w:val="single" w:sz="8" w:color="0171B9"/>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880" w:hanging="332"/>
        <w:spacing w:after="0"/>
        <w:tabs>
          <w:tab w:leader="none" w:pos="880" w:val="left"/>
        </w:tabs>
        <w:numPr>
          <w:ilvl w:val="0"/>
          <w:numId w:val="136"/>
        </w:numPr>
        <w:rPr>
          <w:rFonts w:ascii="Arial" w:cs="Arial" w:eastAsia="Arial" w:hAnsi="Arial"/>
          <w:sz w:val="22"/>
          <w:szCs w:val="22"/>
          <w:color w:val="auto"/>
          <w:vertAlign w:val="superscript"/>
        </w:rPr>
      </w:pPr>
      <w:r>
        <w:rPr>
          <w:rFonts w:ascii="Arial" w:cs="Arial" w:eastAsia="Arial" w:hAnsi="Arial"/>
          <w:sz w:val="14"/>
          <w:szCs w:val="14"/>
          <w:color w:val="auto"/>
        </w:rPr>
        <w:t>These are charitable contributions of The Amgen Foundation, Inc. that matched the directors’ charitable contributions made in 2022.</w:t>
      </w:r>
    </w:p>
    <w:p>
      <w:pPr>
        <w:jc w:val="both"/>
        <w:ind w:left="880" w:right="440" w:hanging="332"/>
        <w:spacing w:after="0"/>
        <w:tabs>
          <w:tab w:leader="none" w:pos="880" w:val="left"/>
        </w:tabs>
        <w:numPr>
          <w:ilvl w:val="0"/>
          <w:numId w:val="136"/>
        </w:numPr>
        <w:rPr>
          <w:rFonts w:ascii="Arial" w:cs="Arial" w:eastAsia="Arial" w:hAnsi="Arial"/>
          <w:sz w:val="22"/>
          <w:szCs w:val="22"/>
          <w:color w:val="auto"/>
          <w:vertAlign w:val="superscript"/>
        </w:rPr>
      </w:pPr>
      <w:r>
        <w:rPr>
          <w:rFonts w:ascii="Arial" w:cs="Arial" w:eastAsia="Arial" w:hAnsi="Arial"/>
          <w:sz w:val="14"/>
          <w:szCs w:val="14"/>
          <w:color w:val="auto"/>
        </w:rPr>
        <w:t>Where guests accompany directors on our aircraft or where the director, for nonbusiness purposes, accompanies executives using our aircraft for business purposes, we typically incur de minimis incremental costs for transporting that person, but we are required to impute income to the director for his or her income tax purposes. We reimburse the director for the additional income taxes imposed on the director in these circumstances. The aggregate incremental cost of use of our aircraft is calculated based on our variable operating costs, which include crew travel expenses, on-board catering, landing fees, trip-related hangar/parking costs, fuel, maintenance, and other smaller variable costs. In determining the incremental cost relating to fuel and trip related maintenance,</w:t>
      </w:r>
    </w:p>
    <w:p>
      <w:pPr>
        <w:sectPr>
          <w:pgSz w:w="11900" w:h="16838" w:orient="portrait"/>
          <w:cols w:equalWidth="0" w:num="1">
            <w:col w:w="11140"/>
          </w:cols>
          <w:pgMar w:left="320" w:top="486" w:right="439" w:bottom="1440" w:gutter="0" w:footer="0" w:header="0"/>
        </w:sectPr>
      </w:pPr>
    </w:p>
    <w:p>
      <w:pPr>
        <w:spacing w:after="0" w:line="202"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94</w:t>
      </w:r>
      <w:r>
        <w:rPr>
          <w:sz w:val="20"/>
          <w:szCs w:val="20"/>
          <w:color w:val="auto"/>
        </w:rPr>
        <w:tab/>
      </w:r>
      <w:r>
        <w:rPr>
          <w:sz w:val="1"/>
          <w:szCs w:val="1"/>
          <w:color w:val="auto"/>
        </w:rPr>
        <w:drawing>
          <wp:inline distT="0" distB="0" distL="0" distR="0">
            <wp:extent cx="582930" cy="137160"/>
            <wp:effectExtent l="0" t="0" r="0" b="0"/>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205740</wp:posOffset>
            </wp:positionV>
            <wp:extent cx="1645920" cy="21463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645920" cy="214630"/>
                    </a:xfrm>
                    <a:prstGeom prst="rect">
                      <a:avLst/>
                    </a:prstGeom>
                    <a:noFill/>
                  </pic:spPr>
                </pic:pic>
              </a:graphicData>
            </a:graphic>
          </wp:anchor>
        </w:drawing>
      </w:r>
    </w:p>
    <w:p>
      <w:pPr>
        <w:spacing w:after="0" w:line="312" w:lineRule="exact"/>
        <w:rPr>
          <w:sz w:val="20"/>
          <w:szCs w:val="20"/>
          <w:color w:val="auto"/>
        </w:rPr>
      </w:pPr>
    </w:p>
    <w:p>
      <w:pPr>
        <w:ind w:left="8680"/>
        <w:spacing w:after="0"/>
        <w:rPr>
          <w:sz w:val="20"/>
          <w:szCs w:val="20"/>
          <w:color w:val="auto"/>
        </w:rPr>
      </w:pPr>
      <w:r>
        <w:rPr>
          <w:rFonts w:ascii="Arial" w:cs="Arial" w:eastAsia="Arial" w:hAnsi="Arial"/>
          <w:sz w:val="22"/>
          <w:szCs w:val="22"/>
          <w:b w:val="1"/>
          <w:bCs w:val="1"/>
          <w:color w:val="FFFFFF"/>
        </w:rPr>
        <w:t>Director Compensation</w:t>
      </w:r>
    </w:p>
    <w:p>
      <w:pPr>
        <w:spacing w:after="0" w:line="378" w:lineRule="exact"/>
        <w:rPr>
          <w:sz w:val="20"/>
          <w:szCs w:val="20"/>
          <w:color w:val="auto"/>
        </w:rPr>
      </w:pPr>
    </w:p>
    <w:p>
      <w:pPr>
        <w:jc w:val="both"/>
        <w:ind w:left="880" w:right="460"/>
        <w:spacing w:after="0" w:line="237" w:lineRule="auto"/>
        <w:rPr>
          <w:sz w:val="20"/>
          <w:szCs w:val="20"/>
          <w:color w:val="auto"/>
        </w:rPr>
      </w:pPr>
      <w:r>
        <w:rPr>
          <w:rFonts w:ascii="Arial" w:cs="Arial" w:eastAsia="Arial" w:hAnsi="Arial"/>
          <w:sz w:val="14"/>
          <w:szCs w:val="14"/>
          <w:color w:val="auto"/>
        </w:rPr>
        <w:t>we applied an estimate derived from our average costs. We believe that the use of this methodology is a reasonably accurate method for calculating fuel and trip-related maintenance costs. Because our aircraft are used primarily for business travel, we do not include the fixed costs that do not change based on usage, such as pilots’ salaries, our aircraft purchase costs, and the cost of maintenance not related to trips.</w:t>
      </w:r>
    </w:p>
    <w:p>
      <w:pPr>
        <w:spacing w:after="0" w:line="9" w:lineRule="exact"/>
        <w:rPr>
          <w:sz w:val="20"/>
          <w:szCs w:val="20"/>
          <w:color w:val="auto"/>
        </w:rPr>
      </w:pPr>
    </w:p>
    <w:p>
      <w:pPr>
        <w:ind w:left="880" w:right="440" w:hanging="332"/>
        <w:spacing w:after="0" w:line="193" w:lineRule="auto"/>
        <w:tabs>
          <w:tab w:leader="none" w:pos="880" w:val="left"/>
        </w:tabs>
        <w:numPr>
          <w:ilvl w:val="0"/>
          <w:numId w:val="137"/>
        </w:numPr>
        <w:rPr>
          <w:rFonts w:ascii="Arial" w:cs="Arial" w:eastAsia="Arial" w:hAnsi="Arial"/>
          <w:sz w:val="22"/>
          <w:szCs w:val="22"/>
          <w:color w:val="auto"/>
          <w:vertAlign w:val="superscript"/>
        </w:rPr>
      </w:pPr>
      <w:r>
        <w:rPr>
          <w:rFonts w:ascii="Arial" w:cs="Arial" w:eastAsia="Arial" w:hAnsi="Arial"/>
          <w:sz w:val="14"/>
          <w:szCs w:val="14"/>
          <w:color w:val="auto"/>
        </w:rPr>
        <w:t>These amounts reflect the incremental costs of personal expenses of directors while on business travel and related imputed income to the director for his or her income tax purposes. We reimburse the director for the additional income taxes imposed on the director in these circumstances.</w:t>
      </w:r>
    </w:p>
    <w:p>
      <w:pPr>
        <w:spacing w:after="0" w:line="118"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205740</wp:posOffset>
            </wp:positionV>
            <wp:extent cx="3745865" cy="21463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745865" cy="214630"/>
                    </a:xfrm>
                    <a:prstGeom prst="rect">
                      <a:avLst/>
                    </a:prstGeom>
                    <a:noFill/>
                  </pic:spPr>
                </pic:pic>
              </a:graphicData>
            </a:graphic>
          </wp:anchor>
        </w:drawing>
      </w:r>
    </w:p>
    <w:p>
      <w:pPr>
        <w:spacing w:after="0" w:line="312" w:lineRule="exact"/>
        <w:rPr>
          <w:sz w:val="20"/>
          <w:szCs w:val="20"/>
          <w:color w:val="auto"/>
        </w:rPr>
      </w:pPr>
    </w:p>
    <w:p>
      <w:pPr>
        <w:ind w:left="5380"/>
        <w:spacing w:after="0"/>
        <w:rPr>
          <w:sz w:val="20"/>
          <w:szCs w:val="20"/>
          <w:color w:val="auto"/>
        </w:rPr>
      </w:pPr>
      <w:r>
        <w:rPr>
          <w:rFonts w:ascii="Arial" w:cs="Arial" w:eastAsia="Arial" w:hAnsi="Arial"/>
          <w:sz w:val="21"/>
          <w:szCs w:val="21"/>
          <w:b w:val="1"/>
          <w:bCs w:val="1"/>
          <w:color w:val="FFFFFF"/>
        </w:rPr>
        <w:t>Security Ownership of Directors and Executive Officers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Security Ownership of Directors and Executive Officers</w:t>
      </w:r>
    </w:p>
    <w:p>
      <w:pPr>
        <w:spacing w:after="0" w:line="253"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7"/>
          <w:szCs w:val="17"/>
          <w:color w:val="auto"/>
        </w:rPr>
        <w:t>The following table sets forth certain information regarding the beneficial ownership of our Common Stock as of March 20, 2023 by: (i) each current director and nominee; (ii) our Named Executive Officers, or NEOs (as specified on page 42); and (iii) all of our current directors and executive officers as a group. There were 534,215,408 shares of our Common Stock outstanding as of March 20, 2023. None of our directors, nominees, NEOs, or executive officers, individually or as a group, beneficially owns greater than 1% of our outstanding shares of Common Stock.</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4840" w:type="dxa"/>
            <w:vAlign w:val="bottom"/>
            <w:shd w:val="clear" w:color="auto" w:fill="0171B9"/>
          </w:tcPr>
          <w:p>
            <w:pPr>
              <w:spacing w:after="0"/>
              <w:rPr>
                <w:sz w:val="18"/>
                <w:szCs w:val="18"/>
                <w:color w:val="auto"/>
              </w:rPr>
            </w:pPr>
          </w:p>
        </w:tc>
        <w:tc>
          <w:tcPr>
            <w:tcW w:w="2140" w:type="dxa"/>
            <w:vAlign w:val="bottom"/>
            <w:shd w:val="clear" w:color="auto" w:fill="0171B9"/>
          </w:tcPr>
          <w:p>
            <w:pPr>
              <w:spacing w:after="0"/>
              <w:rPr>
                <w:sz w:val="18"/>
                <w:szCs w:val="18"/>
                <w:color w:val="auto"/>
              </w:rPr>
            </w:pPr>
          </w:p>
        </w:tc>
        <w:tc>
          <w:tcPr>
            <w:tcW w:w="2700" w:type="dxa"/>
            <w:vAlign w:val="bottom"/>
            <w:shd w:val="clear" w:color="auto" w:fill="0171B9"/>
          </w:tcPr>
          <w:p>
            <w:pPr>
              <w:jc w:val="right"/>
              <w:ind w:right="1155"/>
              <w:spacing w:after="0"/>
              <w:rPr>
                <w:sz w:val="20"/>
                <w:szCs w:val="20"/>
                <w:color w:val="auto"/>
              </w:rPr>
            </w:pPr>
            <w:r>
              <w:rPr>
                <w:rFonts w:ascii="Arial" w:cs="Arial" w:eastAsia="Arial" w:hAnsi="Arial"/>
                <w:sz w:val="16"/>
                <w:szCs w:val="16"/>
                <w:b w:val="1"/>
                <w:bCs w:val="1"/>
                <w:color w:val="FFFFFF"/>
              </w:rPr>
              <w:t>Amgen Inc.</w:t>
            </w:r>
          </w:p>
        </w:tc>
        <w:tc>
          <w:tcPr>
            <w:tcW w:w="1340" w:type="dxa"/>
            <w:vAlign w:val="bottom"/>
            <w:shd w:val="clear" w:color="auto" w:fill="0171B9"/>
          </w:tcPr>
          <w:p>
            <w:pPr>
              <w:spacing w:after="0"/>
              <w:rPr>
                <w:sz w:val="18"/>
                <w:szCs w:val="18"/>
                <w:color w:val="auto"/>
              </w:rPr>
            </w:pPr>
          </w:p>
        </w:tc>
      </w:tr>
      <w:tr>
        <w:trPr>
          <w:trHeight w:val="261"/>
        </w:trPr>
        <w:tc>
          <w:tcPr>
            <w:tcW w:w="4840" w:type="dxa"/>
            <w:vAlign w:val="bottom"/>
            <w:shd w:val="clear" w:color="auto" w:fill="0171B9"/>
          </w:tcPr>
          <w:p>
            <w:pPr>
              <w:spacing w:after="0"/>
              <w:rPr>
                <w:sz w:val="22"/>
                <w:szCs w:val="22"/>
                <w:color w:val="auto"/>
              </w:rPr>
            </w:pPr>
          </w:p>
        </w:tc>
        <w:tc>
          <w:tcPr>
            <w:tcW w:w="2140" w:type="dxa"/>
            <w:vAlign w:val="bottom"/>
            <w:shd w:val="clear" w:color="auto" w:fill="0171B9"/>
          </w:tcPr>
          <w:p>
            <w:pPr>
              <w:spacing w:after="0"/>
              <w:rPr>
                <w:sz w:val="22"/>
                <w:szCs w:val="22"/>
                <w:color w:val="auto"/>
              </w:rPr>
            </w:pPr>
          </w:p>
        </w:tc>
        <w:tc>
          <w:tcPr>
            <w:tcW w:w="2700" w:type="dxa"/>
            <w:vAlign w:val="bottom"/>
            <w:shd w:val="clear" w:color="auto" w:fill="0171B9"/>
          </w:tcPr>
          <w:p>
            <w:pPr>
              <w:jc w:val="right"/>
              <w:ind w:right="835"/>
              <w:spacing w:after="0" w:line="262" w:lineRule="exact"/>
              <w:rPr>
                <w:sz w:val="20"/>
                <w:szCs w:val="20"/>
                <w:color w:val="auto"/>
              </w:rPr>
            </w:pPr>
            <w:r>
              <w:rPr>
                <w:rFonts w:ascii="Arial" w:cs="Arial" w:eastAsia="Arial" w:hAnsi="Arial"/>
                <w:sz w:val="16"/>
                <w:szCs w:val="16"/>
                <w:b w:val="1"/>
                <w:bCs w:val="1"/>
                <w:color w:val="FFFFFF"/>
              </w:rPr>
              <w:t>Common Stock</w:t>
            </w:r>
            <w:r>
              <w:rPr>
                <w:rFonts w:ascii="Arial" w:cs="Arial" w:eastAsia="Arial" w:hAnsi="Arial"/>
                <w:sz w:val="24"/>
                <w:szCs w:val="24"/>
                <w:b w:val="1"/>
                <w:bCs w:val="1"/>
                <w:color w:val="FFFFFF"/>
                <w:vertAlign w:val="superscript"/>
              </w:rPr>
              <w:t>(1)(2)</w:t>
            </w:r>
          </w:p>
        </w:tc>
        <w:tc>
          <w:tcPr>
            <w:tcW w:w="1340" w:type="dxa"/>
            <w:vAlign w:val="bottom"/>
            <w:shd w:val="clear" w:color="auto" w:fill="0171B9"/>
          </w:tcPr>
          <w:p>
            <w:pPr>
              <w:spacing w:after="0"/>
              <w:rPr>
                <w:sz w:val="22"/>
                <w:szCs w:val="22"/>
                <w:color w:val="auto"/>
              </w:rPr>
            </w:pPr>
          </w:p>
        </w:tc>
      </w:tr>
      <w:tr>
        <w:trPr>
          <w:trHeight w:val="225"/>
        </w:trPr>
        <w:tc>
          <w:tcPr>
            <w:tcW w:w="4840" w:type="dxa"/>
            <w:vAlign w:val="bottom"/>
            <w:shd w:val="clear" w:color="auto" w:fill="0171B9"/>
          </w:tcPr>
          <w:p>
            <w:pPr>
              <w:spacing w:after="0"/>
              <w:rPr>
                <w:sz w:val="19"/>
                <w:szCs w:val="19"/>
                <w:color w:val="auto"/>
              </w:rPr>
            </w:pPr>
          </w:p>
        </w:tc>
        <w:tc>
          <w:tcPr>
            <w:tcW w:w="2140" w:type="dxa"/>
            <w:vAlign w:val="bottom"/>
            <w:shd w:val="clear" w:color="auto" w:fill="0171B9"/>
          </w:tcPr>
          <w:p>
            <w:pPr>
              <w:jc w:val="right"/>
              <w:ind w:right="215"/>
              <w:spacing w:after="0"/>
              <w:rPr>
                <w:sz w:val="20"/>
                <w:szCs w:val="20"/>
                <w:color w:val="auto"/>
              </w:rPr>
            </w:pPr>
            <w:r>
              <w:rPr>
                <w:rFonts w:ascii="Arial" w:cs="Arial" w:eastAsia="Arial" w:hAnsi="Arial"/>
                <w:sz w:val="16"/>
                <w:szCs w:val="16"/>
                <w:b w:val="1"/>
                <w:bCs w:val="1"/>
                <w:color w:val="FFFFFF"/>
              </w:rPr>
              <w:t>Total Common Stock</w:t>
            </w:r>
          </w:p>
        </w:tc>
        <w:tc>
          <w:tcPr>
            <w:tcW w:w="2700" w:type="dxa"/>
            <w:vAlign w:val="bottom"/>
            <w:shd w:val="clear" w:color="auto" w:fill="0171B9"/>
          </w:tcPr>
          <w:p>
            <w:pPr>
              <w:jc w:val="right"/>
              <w:ind w:right="515"/>
              <w:spacing w:after="0"/>
              <w:rPr>
                <w:sz w:val="20"/>
                <w:szCs w:val="20"/>
                <w:color w:val="auto"/>
              </w:rPr>
            </w:pPr>
            <w:r>
              <w:rPr>
                <w:rFonts w:ascii="Arial" w:cs="Arial" w:eastAsia="Arial" w:hAnsi="Arial"/>
                <w:sz w:val="16"/>
                <w:szCs w:val="16"/>
                <w:b w:val="1"/>
                <w:bCs w:val="1"/>
                <w:color w:val="FFFFFF"/>
              </w:rPr>
              <w:t>Shares Acquirable</w:t>
            </w:r>
          </w:p>
        </w:tc>
        <w:tc>
          <w:tcPr>
            <w:tcW w:w="1340" w:type="dxa"/>
            <w:vAlign w:val="bottom"/>
            <w:shd w:val="clear" w:color="auto" w:fill="0171B9"/>
          </w:tcPr>
          <w:p>
            <w:pPr>
              <w:jc w:val="right"/>
              <w:ind w:right="75"/>
              <w:spacing w:after="0"/>
              <w:rPr>
                <w:sz w:val="20"/>
                <w:szCs w:val="20"/>
                <w:color w:val="auto"/>
              </w:rPr>
            </w:pPr>
            <w:r>
              <w:rPr>
                <w:rFonts w:ascii="Arial" w:cs="Arial" w:eastAsia="Arial" w:hAnsi="Arial"/>
                <w:sz w:val="16"/>
                <w:szCs w:val="16"/>
                <w:b w:val="1"/>
                <w:bCs w:val="1"/>
                <w:color w:val="FFFFFF"/>
              </w:rPr>
              <w:t>Percent</w:t>
            </w:r>
          </w:p>
        </w:tc>
      </w:tr>
      <w:tr>
        <w:trPr>
          <w:trHeight w:val="234"/>
        </w:trPr>
        <w:tc>
          <w:tcPr>
            <w:tcW w:w="4840" w:type="dxa"/>
            <w:vAlign w:val="bottom"/>
            <w:shd w:val="clear" w:color="auto" w:fill="0171B9"/>
          </w:tcPr>
          <w:p>
            <w:pPr>
              <w:ind w:left="80"/>
              <w:spacing w:after="0"/>
              <w:rPr>
                <w:sz w:val="20"/>
                <w:szCs w:val="20"/>
                <w:color w:val="auto"/>
              </w:rPr>
            </w:pPr>
            <w:r>
              <w:rPr>
                <w:rFonts w:ascii="Arial" w:cs="Arial" w:eastAsia="Arial" w:hAnsi="Arial"/>
                <w:sz w:val="16"/>
                <w:szCs w:val="16"/>
                <w:b w:val="1"/>
                <w:bCs w:val="1"/>
                <w:color w:val="FFFFFF"/>
              </w:rPr>
              <w:t>Beneficial Owner</w:t>
            </w:r>
          </w:p>
        </w:tc>
        <w:tc>
          <w:tcPr>
            <w:tcW w:w="2140" w:type="dxa"/>
            <w:vAlign w:val="bottom"/>
            <w:shd w:val="clear" w:color="auto" w:fill="0171B9"/>
          </w:tcPr>
          <w:p>
            <w:pPr>
              <w:jc w:val="right"/>
              <w:ind w:right="215"/>
              <w:spacing w:after="0"/>
              <w:rPr>
                <w:sz w:val="20"/>
                <w:szCs w:val="20"/>
                <w:color w:val="auto"/>
              </w:rPr>
            </w:pPr>
            <w:r>
              <w:rPr>
                <w:rFonts w:ascii="Arial" w:cs="Arial" w:eastAsia="Arial" w:hAnsi="Arial"/>
                <w:sz w:val="16"/>
                <w:szCs w:val="16"/>
                <w:b w:val="1"/>
                <w:bCs w:val="1"/>
                <w:color w:val="FFFFFF"/>
              </w:rPr>
              <w:t>Beneficially Owned</w:t>
            </w:r>
          </w:p>
        </w:tc>
        <w:tc>
          <w:tcPr>
            <w:tcW w:w="2700" w:type="dxa"/>
            <w:vAlign w:val="bottom"/>
            <w:shd w:val="clear" w:color="auto" w:fill="0171B9"/>
          </w:tcPr>
          <w:p>
            <w:pPr>
              <w:jc w:val="right"/>
              <w:ind w:right="515"/>
              <w:spacing w:after="0"/>
              <w:rPr>
                <w:sz w:val="20"/>
                <w:szCs w:val="20"/>
                <w:color w:val="auto"/>
              </w:rPr>
            </w:pPr>
            <w:r>
              <w:rPr>
                <w:rFonts w:ascii="Arial" w:cs="Arial" w:eastAsia="Arial" w:hAnsi="Arial"/>
                <w:sz w:val="16"/>
                <w:szCs w:val="16"/>
                <w:b w:val="1"/>
                <w:bCs w:val="1"/>
                <w:color w:val="FFFFFF"/>
              </w:rPr>
              <w:t>Within 60 Days</w:t>
            </w:r>
          </w:p>
        </w:tc>
        <w:tc>
          <w:tcPr>
            <w:tcW w:w="1340" w:type="dxa"/>
            <w:vAlign w:val="bottom"/>
            <w:shd w:val="clear" w:color="auto" w:fill="0171B9"/>
          </w:tcPr>
          <w:p>
            <w:pPr>
              <w:jc w:val="right"/>
              <w:ind w:right="75"/>
              <w:spacing w:after="0"/>
              <w:rPr>
                <w:sz w:val="20"/>
                <w:szCs w:val="20"/>
                <w:color w:val="auto"/>
              </w:rPr>
            </w:pPr>
            <w:r>
              <w:rPr>
                <w:rFonts w:ascii="Arial" w:cs="Arial" w:eastAsia="Arial" w:hAnsi="Arial"/>
                <w:sz w:val="16"/>
                <w:szCs w:val="16"/>
                <w:b w:val="1"/>
                <w:bCs w:val="1"/>
                <w:color w:val="FFFFFF"/>
              </w:rPr>
              <w:t>of Total</w:t>
            </w:r>
          </w:p>
        </w:tc>
      </w:tr>
      <w:tr>
        <w:trPr>
          <w:trHeight w:val="290"/>
        </w:trPr>
        <w:tc>
          <w:tcPr>
            <w:tcW w:w="484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7"/>
                <w:szCs w:val="17"/>
                <w:b w:val="1"/>
                <w:bCs w:val="1"/>
                <w:color w:val="auto"/>
              </w:rPr>
              <w:t>Non-Employee Directors and Nominees</w:t>
            </w:r>
          </w:p>
        </w:tc>
        <w:tc>
          <w:tcPr>
            <w:tcW w:w="2140" w:type="dxa"/>
            <w:vAlign w:val="bottom"/>
            <w:tcBorders>
              <w:bottom w:val="single" w:sz="8" w:color="CCE2F1"/>
            </w:tcBorders>
            <w:shd w:val="clear" w:color="auto" w:fill="CCE2F1"/>
          </w:tcPr>
          <w:p>
            <w:pPr>
              <w:spacing w:after="0"/>
              <w:rPr>
                <w:sz w:val="24"/>
                <w:szCs w:val="24"/>
                <w:color w:val="auto"/>
              </w:rPr>
            </w:pPr>
          </w:p>
        </w:tc>
        <w:tc>
          <w:tcPr>
            <w:tcW w:w="2700" w:type="dxa"/>
            <w:vAlign w:val="bottom"/>
            <w:tcBorders>
              <w:bottom w:val="single" w:sz="8" w:color="CCE2F1"/>
            </w:tcBorders>
            <w:shd w:val="clear" w:color="auto" w:fill="CCE2F1"/>
          </w:tcPr>
          <w:p>
            <w:pPr>
              <w:spacing w:after="0"/>
              <w:rPr>
                <w:sz w:val="24"/>
                <w:szCs w:val="24"/>
                <w:color w:val="auto"/>
              </w:rPr>
            </w:pPr>
          </w:p>
        </w:tc>
        <w:tc>
          <w:tcPr>
            <w:tcW w:w="1340" w:type="dxa"/>
            <w:vAlign w:val="bottom"/>
            <w:tcBorders>
              <w:bottom w:val="single" w:sz="8" w:color="CCE2F1"/>
            </w:tcBorders>
            <w:shd w:val="clear" w:color="auto" w:fill="CCE2F1"/>
          </w:tcPr>
          <w:p>
            <w:pPr>
              <w:spacing w:after="0"/>
              <w:rPr>
                <w:sz w:val="24"/>
                <w:szCs w:val="24"/>
                <w:color w:val="auto"/>
              </w:rPr>
            </w:pPr>
          </w:p>
        </w:tc>
      </w:tr>
      <w:tr>
        <w:trPr>
          <w:trHeight w:val="266"/>
        </w:trPr>
        <w:tc>
          <w:tcPr>
            <w:tcW w:w="4840" w:type="dxa"/>
            <w:vAlign w:val="bottom"/>
          </w:tcPr>
          <w:p>
            <w:pPr>
              <w:ind w:left="100"/>
              <w:spacing w:after="0"/>
              <w:rPr>
                <w:sz w:val="20"/>
                <w:szCs w:val="20"/>
                <w:color w:val="auto"/>
              </w:rPr>
            </w:pPr>
            <w:r>
              <w:rPr>
                <w:rFonts w:ascii="Arial" w:cs="Arial" w:eastAsia="Arial" w:hAnsi="Arial"/>
                <w:sz w:val="17"/>
                <w:szCs w:val="17"/>
                <w:color w:val="auto"/>
              </w:rPr>
              <w:t>Wanda M. Austin</w:t>
            </w:r>
          </w:p>
        </w:tc>
        <w:tc>
          <w:tcPr>
            <w:tcW w:w="2140" w:type="dxa"/>
            <w:vAlign w:val="bottom"/>
          </w:tcPr>
          <w:p>
            <w:pPr>
              <w:jc w:val="right"/>
              <w:ind w:right="215"/>
              <w:spacing w:after="0"/>
              <w:rPr>
                <w:sz w:val="20"/>
                <w:szCs w:val="20"/>
                <w:color w:val="auto"/>
              </w:rPr>
            </w:pPr>
            <w:r>
              <w:rPr>
                <w:rFonts w:ascii="Arial" w:cs="Arial" w:eastAsia="Arial" w:hAnsi="Arial"/>
                <w:sz w:val="17"/>
                <w:szCs w:val="17"/>
                <w:color w:val="auto"/>
              </w:rPr>
              <w:t>4,886</w:t>
            </w:r>
          </w:p>
        </w:tc>
        <w:tc>
          <w:tcPr>
            <w:tcW w:w="2700" w:type="dxa"/>
            <w:vAlign w:val="bottom"/>
          </w:tcPr>
          <w:p>
            <w:pPr>
              <w:jc w:val="right"/>
              <w:ind w:right="515"/>
              <w:spacing w:after="0"/>
              <w:rPr>
                <w:sz w:val="20"/>
                <w:szCs w:val="20"/>
                <w:color w:val="auto"/>
              </w:rPr>
            </w:pPr>
            <w:r>
              <w:rPr>
                <w:rFonts w:ascii="Arial" w:cs="Arial" w:eastAsia="Arial" w:hAnsi="Arial"/>
                <w:sz w:val="17"/>
                <w:szCs w:val="17"/>
                <w:color w:val="auto"/>
              </w:rPr>
              <w:t>0</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44"/>
        </w:trPr>
        <w:tc>
          <w:tcPr>
            <w:tcW w:w="48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1"/>
        </w:trPr>
        <w:tc>
          <w:tcPr>
            <w:tcW w:w="484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7"/>
                <w:szCs w:val="17"/>
                <w:color w:val="auto"/>
              </w:rPr>
              <w:t>Michael V. Drake</w:t>
            </w:r>
            <w:r>
              <w:rPr>
                <w:rFonts w:ascii="Arial" w:cs="Arial" w:eastAsia="Arial" w:hAnsi="Arial"/>
                <w:sz w:val="12"/>
                <w:szCs w:val="12"/>
                <w:color w:val="auto"/>
              </w:rPr>
              <w:t>(3)</w:t>
            </w:r>
          </w:p>
        </w:tc>
        <w:tc>
          <w:tcPr>
            <w:tcW w:w="2140" w:type="dxa"/>
            <w:vAlign w:val="bottom"/>
            <w:tcBorders>
              <w:bottom w:val="single" w:sz="8" w:color="CCE2F1"/>
            </w:tcBorders>
            <w:shd w:val="clear" w:color="auto" w:fill="CCE2F1"/>
          </w:tcPr>
          <w:p>
            <w:pPr>
              <w:jc w:val="right"/>
              <w:ind w:right="215"/>
              <w:spacing w:after="0"/>
              <w:rPr>
                <w:sz w:val="20"/>
                <w:szCs w:val="20"/>
                <w:color w:val="auto"/>
              </w:rPr>
            </w:pPr>
            <w:r>
              <w:rPr>
                <w:rFonts w:ascii="Arial" w:cs="Arial" w:eastAsia="Arial" w:hAnsi="Arial"/>
                <w:sz w:val="17"/>
                <w:szCs w:val="17"/>
                <w:color w:val="auto"/>
              </w:rPr>
              <w:t>0</w:t>
            </w:r>
          </w:p>
        </w:tc>
        <w:tc>
          <w:tcPr>
            <w:tcW w:w="2700" w:type="dxa"/>
            <w:vAlign w:val="bottom"/>
            <w:tcBorders>
              <w:bottom w:val="single" w:sz="8" w:color="CCE2F1"/>
            </w:tcBorders>
            <w:shd w:val="clear" w:color="auto" w:fill="CCE2F1"/>
          </w:tcPr>
          <w:p>
            <w:pPr>
              <w:jc w:val="right"/>
              <w:ind w:right="515"/>
              <w:spacing w:after="0"/>
              <w:rPr>
                <w:sz w:val="20"/>
                <w:szCs w:val="20"/>
                <w:color w:val="auto"/>
              </w:rPr>
            </w:pPr>
            <w:r>
              <w:rPr>
                <w:rFonts w:ascii="Arial" w:cs="Arial" w:eastAsia="Arial" w:hAnsi="Arial"/>
                <w:sz w:val="17"/>
                <w:szCs w:val="17"/>
                <w:color w:val="auto"/>
              </w:rPr>
              <w:t>0</w:t>
            </w:r>
          </w:p>
        </w:tc>
        <w:tc>
          <w:tcPr>
            <w:tcW w:w="1340" w:type="dxa"/>
            <w:vAlign w:val="bottom"/>
            <w:tcBorders>
              <w:bottom w:val="single" w:sz="8" w:color="CCE2F1"/>
            </w:tcBorders>
            <w:shd w:val="clear" w:color="auto" w:fill="CCE2F1"/>
          </w:tcPr>
          <w:p>
            <w:pPr>
              <w:jc w:val="right"/>
              <w:ind w:right="75"/>
              <w:spacing w:after="0"/>
              <w:rPr>
                <w:sz w:val="20"/>
                <w:szCs w:val="20"/>
                <w:color w:val="auto"/>
              </w:rPr>
            </w:pPr>
            <w:r>
              <w:rPr>
                <w:rFonts w:ascii="Arial" w:cs="Arial" w:eastAsia="Arial" w:hAnsi="Arial"/>
                <w:sz w:val="17"/>
                <w:szCs w:val="17"/>
                <w:color w:val="auto"/>
              </w:rPr>
              <w:t>*</w:t>
            </w:r>
          </w:p>
        </w:tc>
      </w:tr>
      <w:tr>
        <w:trPr>
          <w:trHeight w:val="266"/>
        </w:trPr>
        <w:tc>
          <w:tcPr>
            <w:tcW w:w="4840" w:type="dxa"/>
            <w:vAlign w:val="bottom"/>
          </w:tcPr>
          <w:p>
            <w:pPr>
              <w:ind w:left="100"/>
              <w:spacing w:after="0"/>
              <w:rPr>
                <w:sz w:val="20"/>
                <w:szCs w:val="20"/>
                <w:color w:val="auto"/>
              </w:rPr>
            </w:pPr>
            <w:r>
              <w:rPr>
                <w:rFonts w:ascii="Arial" w:cs="Arial" w:eastAsia="Arial" w:hAnsi="Arial"/>
                <w:sz w:val="17"/>
                <w:szCs w:val="17"/>
                <w:color w:val="auto"/>
              </w:rPr>
              <w:t>Brian J. Druker</w:t>
            </w:r>
            <w:r>
              <w:rPr>
                <w:rFonts w:ascii="Arial" w:cs="Arial" w:eastAsia="Arial" w:hAnsi="Arial"/>
                <w:sz w:val="12"/>
                <w:szCs w:val="12"/>
                <w:color w:val="auto"/>
              </w:rPr>
              <w:t>(3)</w:t>
            </w:r>
          </w:p>
        </w:tc>
        <w:tc>
          <w:tcPr>
            <w:tcW w:w="214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2700" w:type="dxa"/>
            <w:vAlign w:val="bottom"/>
          </w:tcPr>
          <w:p>
            <w:pPr>
              <w:jc w:val="right"/>
              <w:ind w:right="515"/>
              <w:spacing w:after="0"/>
              <w:rPr>
                <w:sz w:val="20"/>
                <w:szCs w:val="20"/>
                <w:color w:val="auto"/>
              </w:rPr>
            </w:pPr>
            <w:r>
              <w:rPr>
                <w:rFonts w:ascii="Arial" w:cs="Arial" w:eastAsia="Arial" w:hAnsi="Arial"/>
                <w:sz w:val="17"/>
                <w:szCs w:val="17"/>
                <w:color w:val="auto"/>
              </w:rPr>
              <w:t>0</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44"/>
        </w:trPr>
        <w:tc>
          <w:tcPr>
            <w:tcW w:w="48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1"/>
        </w:trPr>
        <w:tc>
          <w:tcPr>
            <w:tcW w:w="484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7"/>
                <w:szCs w:val="17"/>
                <w:color w:val="auto"/>
              </w:rPr>
              <w:t>Robert A. Eckert</w:t>
            </w:r>
            <w:r>
              <w:rPr>
                <w:rFonts w:ascii="Arial" w:cs="Arial" w:eastAsia="Arial" w:hAnsi="Arial"/>
                <w:sz w:val="12"/>
                <w:szCs w:val="12"/>
                <w:color w:val="auto"/>
              </w:rPr>
              <w:t>(3)</w:t>
            </w:r>
          </w:p>
        </w:tc>
        <w:tc>
          <w:tcPr>
            <w:tcW w:w="2140" w:type="dxa"/>
            <w:vAlign w:val="bottom"/>
            <w:tcBorders>
              <w:bottom w:val="single" w:sz="8" w:color="CCE2F1"/>
            </w:tcBorders>
            <w:shd w:val="clear" w:color="auto" w:fill="CCE2F1"/>
          </w:tcPr>
          <w:p>
            <w:pPr>
              <w:jc w:val="right"/>
              <w:ind w:right="215"/>
              <w:spacing w:after="0"/>
              <w:rPr>
                <w:sz w:val="20"/>
                <w:szCs w:val="20"/>
                <w:color w:val="auto"/>
              </w:rPr>
            </w:pPr>
            <w:r>
              <w:rPr>
                <w:rFonts w:ascii="Arial" w:cs="Arial" w:eastAsia="Arial" w:hAnsi="Arial"/>
                <w:sz w:val="17"/>
                <w:szCs w:val="17"/>
                <w:color w:val="auto"/>
              </w:rPr>
              <w:t>7,044</w:t>
            </w:r>
          </w:p>
        </w:tc>
        <w:tc>
          <w:tcPr>
            <w:tcW w:w="2700" w:type="dxa"/>
            <w:vAlign w:val="bottom"/>
            <w:tcBorders>
              <w:bottom w:val="single" w:sz="8" w:color="CCE2F1"/>
            </w:tcBorders>
            <w:shd w:val="clear" w:color="auto" w:fill="CCE2F1"/>
          </w:tcPr>
          <w:p>
            <w:pPr>
              <w:jc w:val="right"/>
              <w:ind w:right="515"/>
              <w:spacing w:after="0"/>
              <w:rPr>
                <w:sz w:val="20"/>
                <w:szCs w:val="20"/>
                <w:color w:val="auto"/>
              </w:rPr>
            </w:pPr>
            <w:r>
              <w:rPr>
                <w:rFonts w:ascii="Arial" w:cs="Arial" w:eastAsia="Arial" w:hAnsi="Arial"/>
                <w:sz w:val="17"/>
                <w:szCs w:val="17"/>
                <w:color w:val="auto"/>
              </w:rPr>
              <w:t>0</w:t>
            </w:r>
          </w:p>
        </w:tc>
        <w:tc>
          <w:tcPr>
            <w:tcW w:w="1340" w:type="dxa"/>
            <w:vAlign w:val="bottom"/>
            <w:tcBorders>
              <w:bottom w:val="single" w:sz="8" w:color="CCE2F1"/>
            </w:tcBorders>
            <w:shd w:val="clear" w:color="auto" w:fill="CCE2F1"/>
          </w:tcPr>
          <w:p>
            <w:pPr>
              <w:jc w:val="right"/>
              <w:ind w:right="75"/>
              <w:spacing w:after="0"/>
              <w:rPr>
                <w:sz w:val="20"/>
                <w:szCs w:val="20"/>
                <w:color w:val="auto"/>
              </w:rPr>
            </w:pPr>
            <w:r>
              <w:rPr>
                <w:rFonts w:ascii="Arial" w:cs="Arial" w:eastAsia="Arial" w:hAnsi="Arial"/>
                <w:sz w:val="17"/>
                <w:szCs w:val="17"/>
                <w:color w:val="auto"/>
              </w:rPr>
              <w:t>*</w:t>
            </w:r>
          </w:p>
        </w:tc>
      </w:tr>
      <w:tr>
        <w:trPr>
          <w:trHeight w:val="266"/>
        </w:trPr>
        <w:tc>
          <w:tcPr>
            <w:tcW w:w="4840" w:type="dxa"/>
            <w:vAlign w:val="bottom"/>
          </w:tcPr>
          <w:p>
            <w:pPr>
              <w:ind w:left="100"/>
              <w:spacing w:after="0"/>
              <w:rPr>
                <w:sz w:val="20"/>
                <w:szCs w:val="20"/>
                <w:color w:val="auto"/>
              </w:rPr>
            </w:pPr>
            <w:r>
              <w:rPr>
                <w:rFonts w:ascii="Arial" w:cs="Arial" w:eastAsia="Arial" w:hAnsi="Arial"/>
                <w:sz w:val="17"/>
                <w:szCs w:val="17"/>
                <w:color w:val="auto"/>
              </w:rPr>
              <w:t>Greg C. Garland</w:t>
            </w:r>
          </w:p>
        </w:tc>
        <w:tc>
          <w:tcPr>
            <w:tcW w:w="2140" w:type="dxa"/>
            <w:vAlign w:val="bottom"/>
          </w:tcPr>
          <w:p>
            <w:pPr>
              <w:jc w:val="right"/>
              <w:ind w:right="215"/>
              <w:spacing w:after="0"/>
              <w:rPr>
                <w:sz w:val="20"/>
                <w:szCs w:val="20"/>
                <w:color w:val="auto"/>
              </w:rPr>
            </w:pPr>
            <w:r>
              <w:rPr>
                <w:rFonts w:ascii="Arial" w:cs="Arial" w:eastAsia="Arial" w:hAnsi="Arial"/>
                <w:sz w:val="17"/>
                <w:szCs w:val="17"/>
                <w:color w:val="auto"/>
              </w:rPr>
              <w:t>10,716</w:t>
            </w:r>
          </w:p>
        </w:tc>
        <w:tc>
          <w:tcPr>
            <w:tcW w:w="2700" w:type="dxa"/>
            <w:vAlign w:val="bottom"/>
          </w:tcPr>
          <w:p>
            <w:pPr>
              <w:jc w:val="right"/>
              <w:ind w:right="515"/>
              <w:spacing w:after="0"/>
              <w:rPr>
                <w:sz w:val="20"/>
                <w:szCs w:val="20"/>
                <w:color w:val="auto"/>
              </w:rPr>
            </w:pPr>
            <w:r>
              <w:rPr>
                <w:rFonts w:ascii="Arial" w:cs="Arial" w:eastAsia="Arial" w:hAnsi="Arial"/>
                <w:sz w:val="17"/>
                <w:szCs w:val="17"/>
                <w:color w:val="auto"/>
              </w:rPr>
              <w:t>0</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44"/>
        </w:trPr>
        <w:tc>
          <w:tcPr>
            <w:tcW w:w="48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1"/>
        </w:trPr>
        <w:tc>
          <w:tcPr>
            <w:tcW w:w="484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7"/>
                <w:szCs w:val="17"/>
                <w:color w:val="auto"/>
              </w:rPr>
              <w:t>Charles M. Holley, Jr.</w:t>
            </w:r>
            <w:r>
              <w:rPr>
                <w:rFonts w:ascii="Arial" w:cs="Arial" w:eastAsia="Arial" w:hAnsi="Arial"/>
                <w:sz w:val="12"/>
                <w:szCs w:val="12"/>
                <w:color w:val="auto"/>
              </w:rPr>
              <w:t>(3)(4)</w:t>
            </w:r>
          </w:p>
        </w:tc>
        <w:tc>
          <w:tcPr>
            <w:tcW w:w="2140" w:type="dxa"/>
            <w:vAlign w:val="bottom"/>
            <w:tcBorders>
              <w:bottom w:val="single" w:sz="8" w:color="CCE2F1"/>
            </w:tcBorders>
            <w:shd w:val="clear" w:color="auto" w:fill="CCE2F1"/>
          </w:tcPr>
          <w:p>
            <w:pPr>
              <w:jc w:val="right"/>
              <w:ind w:right="215"/>
              <w:spacing w:after="0"/>
              <w:rPr>
                <w:sz w:val="20"/>
                <w:szCs w:val="20"/>
                <w:color w:val="auto"/>
              </w:rPr>
            </w:pPr>
            <w:r>
              <w:rPr>
                <w:rFonts w:ascii="Arial" w:cs="Arial" w:eastAsia="Arial" w:hAnsi="Arial"/>
                <w:sz w:val="17"/>
                <w:szCs w:val="17"/>
                <w:color w:val="auto"/>
              </w:rPr>
              <w:t>1,260</w:t>
            </w:r>
          </w:p>
        </w:tc>
        <w:tc>
          <w:tcPr>
            <w:tcW w:w="2700" w:type="dxa"/>
            <w:vAlign w:val="bottom"/>
            <w:tcBorders>
              <w:bottom w:val="single" w:sz="8" w:color="CCE2F1"/>
            </w:tcBorders>
            <w:shd w:val="clear" w:color="auto" w:fill="CCE2F1"/>
          </w:tcPr>
          <w:p>
            <w:pPr>
              <w:jc w:val="right"/>
              <w:ind w:right="515"/>
              <w:spacing w:after="0"/>
              <w:rPr>
                <w:sz w:val="20"/>
                <w:szCs w:val="20"/>
                <w:color w:val="auto"/>
              </w:rPr>
            </w:pPr>
            <w:r>
              <w:rPr>
                <w:rFonts w:ascii="Arial" w:cs="Arial" w:eastAsia="Arial" w:hAnsi="Arial"/>
                <w:sz w:val="17"/>
                <w:szCs w:val="17"/>
                <w:color w:val="auto"/>
              </w:rPr>
              <w:t>0</w:t>
            </w:r>
          </w:p>
        </w:tc>
        <w:tc>
          <w:tcPr>
            <w:tcW w:w="1340" w:type="dxa"/>
            <w:vAlign w:val="bottom"/>
            <w:tcBorders>
              <w:bottom w:val="single" w:sz="8" w:color="CCE2F1"/>
            </w:tcBorders>
            <w:shd w:val="clear" w:color="auto" w:fill="CCE2F1"/>
          </w:tcPr>
          <w:p>
            <w:pPr>
              <w:jc w:val="right"/>
              <w:ind w:right="75"/>
              <w:spacing w:after="0"/>
              <w:rPr>
                <w:sz w:val="20"/>
                <w:szCs w:val="20"/>
                <w:color w:val="auto"/>
              </w:rPr>
            </w:pPr>
            <w:r>
              <w:rPr>
                <w:rFonts w:ascii="Arial" w:cs="Arial" w:eastAsia="Arial" w:hAnsi="Arial"/>
                <w:sz w:val="17"/>
                <w:szCs w:val="17"/>
                <w:color w:val="auto"/>
              </w:rPr>
              <w:t>*</w:t>
            </w:r>
          </w:p>
        </w:tc>
      </w:tr>
      <w:tr>
        <w:trPr>
          <w:trHeight w:val="266"/>
        </w:trPr>
        <w:tc>
          <w:tcPr>
            <w:tcW w:w="4840" w:type="dxa"/>
            <w:vAlign w:val="bottom"/>
          </w:tcPr>
          <w:p>
            <w:pPr>
              <w:ind w:left="100"/>
              <w:spacing w:after="0"/>
              <w:rPr>
                <w:sz w:val="20"/>
                <w:szCs w:val="20"/>
                <w:color w:val="auto"/>
              </w:rPr>
            </w:pPr>
            <w:r>
              <w:rPr>
                <w:rFonts w:ascii="Arial" w:cs="Arial" w:eastAsia="Arial" w:hAnsi="Arial"/>
                <w:sz w:val="17"/>
                <w:szCs w:val="17"/>
                <w:color w:val="auto"/>
              </w:rPr>
              <w:t>S. Omar Ishrak</w:t>
            </w:r>
            <w:r>
              <w:rPr>
                <w:rFonts w:ascii="Arial" w:cs="Arial" w:eastAsia="Arial" w:hAnsi="Arial"/>
                <w:sz w:val="12"/>
                <w:szCs w:val="12"/>
                <w:color w:val="auto"/>
              </w:rPr>
              <w:t>(3)</w:t>
            </w:r>
          </w:p>
        </w:tc>
        <w:tc>
          <w:tcPr>
            <w:tcW w:w="2140" w:type="dxa"/>
            <w:vAlign w:val="bottom"/>
          </w:tcPr>
          <w:p>
            <w:pPr>
              <w:jc w:val="right"/>
              <w:ind w:right="215"/>
              <w:spacing w:after="0"/>
              <w:rPr>
                <w:sz w:val="20"/>
                <w:szCs w:val="20"/>
                <w:color w:val="auto"/>
              </w:rPr>
            </w:pPr>
            <w:r>
              <w:rPr>
                <w:rFonts w:ascii="Arial" w:cs="Arial" w:eastAsia="Arial" w:hAnsi="Arial"/>
                <w:sz w:val="17"/>
                <w:szCs w:val="17"/>
                <w:color w:val="auto"/>
              </w:rPr>
              <w:t>935</w:t>
            </w:r>
          </w:p>
        </w:tc>
        <w:tc>
          <w:tcPr>
            <w:tcW w:w="2700" w:type="dxa"/>
            <w:vAlign w:val="bottom"/>
          </w:tcPr>
          <w:p>
            <w:pPr>
              <w:jc w:val="right"/>
              <w:ind w:right="515"/>
              <w:spacing w:after="0"/>
              <w:rPr>
                <w:sz w:val="20"/>
                <w:szCs w:val="20"/>
                <w:color w:val="auto"/>
              </w:rPr>
            </w:pPr>
            <w:r>
              <w:rPr>
                <w:rFonts w:ascii="Arial" w:cs="Arial" w:eastAsia="Arial" w:hAnsi="Arial"/>
                <w:sz w:val="17"/>
                <w:szCs w:val="17"/>
                <w:color w:val="auto"/>
              </w:rPr>
              <w:t>0</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45"/>
        </w:trPr>
        <w:tc>
          <w:tcPr>
            <w:tcW w:w="48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0"/>
        </w:trPr>
        <w:tc>
          <w:tcPr>
            <w:tcW w:w="484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7"/>
                <w:szCs w:val="17"/>
                <w:color w:val="auto"/>
              </w:rPr>
              <w:t>Tyler Jacks</w:t>
            </w:r>
            <w:r>
              <w:rPr>
                <w:rFonts w:ascii="Arial" w:cs="Arial" w:eastAsia="Arial" w:hAnsi="Arial"/>
                <w:sz w:val="12"/>
                <w:szCs w:val="12"/>
                <w:color w:val="auto"/>
              </w:rPr>
              <w:t>(3)</w:t>
            </w:r>
          </w:p>
        </w:tc>
        <w:tc>
          <w:tcPr>
            <w:tcW w:w="2140" w:type="dxa"/>
            <w:vAlign w:val="bottom"/>
            <w:tcBorders>
              <w:bottom w:val="single" w:sz="8" w:color="CCE2F1"/>
            </w:tcBorders>
            <w:shd w:val="clear" w:color="auto" w:fill="CCE2F1"/>
          </w:tcPr>
          <w:p>
            <w:pPr>
              <w:jc w:val="right"/>
              <w:ind w:right="215"/>
              <w:spacing w:after="0"/>
              <w:rPr>
                <w:sz w:val="20"/>
                <w:szCs w:val="20"/>
                <w:color w:val="auto"/>
              </w:rPr>
            </w:pPr>
            <w:r>
              <w:rPr>
                <w:rFonts w:ascii="Arial" w:cs="Arial" w:eastAsia="Arial" w:hAnsi="Arial"/>
                <w:sz w:val="17"/>
                <w:szCs w:val="17"/>
                <w:color w:val="auto"/>
              </w:rPr>
              <w:t>2,727</w:t>
            </w:r>
          </w:p>
        </w:tc>
        <w:tc>
          <w:tcPr>
            <w:tcW w:w="2700" w:type="dxa"/>
            <w:vAlign w:val="bottom"/>
            <w:tcBorders>
              <w:bottom w:val="single" w:sz="8" w:color="CCE2F1"/>
            </w:tcBorders>
            <w:shd w:val="clear" w:color="auto" w:fill="CCE2F1"/>
          </w:tcPr>
          <w:p>
            <w:pPr>
              <w:jc w:val="right"/>
              <w:ind w:right="515"/>
              <w:spacing w:after="0"/>
              <w:rPr>
                <w:sz w:val="20"/>
                <w:szCs w:val="20"/>
                <w:color w:val="auto"/>
              </w:rPr>
            </w:pPr>
            <w:r>
              <w:rPr>
                <w:rFonts w:ascii="Arial" w:cs="Arial" w:eastAsia="Arial" w:hAnsi="Arial"/>
                <w:sz w:val="17"/>
                <w:szCs w:val="17"/>
                <w:color w:val="auto"/>
              </w:rPr>
              <w:t>0</w:t>
            </w:r>
          </w:p>
        </w:tc>
        <w:tc>
          <w:tcPr>
            <w:tcW w:w="1340" w:type="dxa"/>
            <w:vAlign w:val="bottom"/>
            <w:tcBorders>
              <w:bottom w:val="single" w:sz="8" w:color="CCE2F1"/>
            </w:tcBorders>
            <w:shd w:val="clear" w:color="auto" w:fill="CCE2F1"/>
          </w:tcPr>
          <w:p>
            <w:pPr>
              <w:jc w:val="right"/>
              <w:ind w:right="75"/>
              <w:spacing w:after="0"/>
              <w:rPr>
                <w:sz w:val="20"/>
                <w:szCs w:val="20"/>
                <w:color w:val="auto"/>
              </w:rPr>
            </w:pPr>
            <w:r>
              <w:rPr>
                <w:rFonts w:ascii="Arial" w:cs="Arial" w:eastAsia="Arial" w:hAnsi="Arial"/>
                <w:sz w:val="17"/>
                <w:szCs w:val="17"/>
                <w:color w:val="auto"/>
              </w:rPr>
              <w:t>*</w:t>
            </w:r>
          </w:p>
        </w:tc>
      </w:tr>
      <w:tr>
        <w:trPr>
          <w:trHeight w:val="266"/>
        </w:trPr>
        <w:tc>
          <w:tcPr>
            <w:tcW w:w="4840" w:type="dxa"/>
            <w:vAlign w:val="bottom"/>
          </w:tcPr>
          <w:p>
            <w:pPr>
              <w:ind w:left="100"/>
              <w:spacing w:after="0"/>
              <w:rPr>
                <w:sz w:val="20"/>
                <w:szCs w:val="20"/>
                <w:color w:val="auto"/>
              </w:rPr>
            </w:pPr>
            <w:r>
              <w:rPr>
                <w:rFonts w:ascii="Arial" w:cs="Arial" w:eastAsia="Arial" w:hAnsi="Arial"/>
                <w:sz w:val="17"/>
                <w:szCs w:val="17"/>
                <w:color w:val="auto"/>
              </w:rPr>
              <w:t>Ellen J. Kullman</w:t>
            </w:r>
            <w:r>
              <w:rPr>
                <w:rFonts w:ascii="Arial" w:cs="Arial" w:eastAsia="Arial" w:hAnsi="Arial"/>
                <w:sz w:val="12"/>
                <w:szCs w:val="12"/>
                <w:color w:val="auto"/>
              </w:rPr>
              <w:t>(3)</w:t>
            </w:r>
          </w:p>
        </w:tc>
        <w:tc>
          <w:tcPr>
            <w:tcW w:w="2140" w:type="dxa"/>
            <w:vAlign w:val="bottom"/>
          </w:tcPr>
          <w:p>
            <w:pPr>
              <w:jc w:val="right"/>
              <w:ind w:right="215"/>
              <w:spacing w:after="0"/>
              <w:rPr>
                <w:sz w:val="20"/>
                <w:szCs w:val="20"/>
                <w:color w:val="auto"/>
              </w:rPr>
            </w:pPr>
            <w:r>
              <w:rPr>
                <w:rFonts w:ascii="Arial" w:cs="Arial" w:eastAsia="Arial" w:hAnsi="Arial"/>
                <w:sz w:val="17"/>
                <w:szCs w:val="17"/>
                <w:color w:val="auto"/>
              </w:rPr>
              <w:t>410</w:t>
            </w:r>
          </w:p>
        </w:tc>
        <w:tc>
          <w:tcPr>
            <w:tcW w:w="2700" w:type="dxa"/>
            <w:vAlign w:val="bottom"/>
          </w:tcPr>
          <w:p>
            <w:pPr>
              <w:jc w:val="right"/>
              <w:ind w:right="515"/>
              <w:spacing w:after="0"/>
              <w:rPr>
                <w:sz w:val="20"/>
                <w:szCs w:val="20"/>
                <w:color w:val="auto"/>
              </w:rPr>
            </w:pPr>
            <w:r>
              <w:rPr>
                <w:rFonts w:ascii="Arial" w:cs="Arial" w:eastAsia="Arial" w:hAnsi="Arial"/>
                <w:sz w:val="17"/>
                <w:szCs w:val="17"/>
                <w:color w:val="auto"/>
              </w:rPr>
              <w:t>0</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45"/>
        </w:trPr>
        <w:tc>
          <w:tcPr>
            <w:tcW w:w="48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0"/>
        </w:trPr>
        <w:tc>
          <w:tcPr>
            <w:tcW w:w="484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7"/>
                <w:szCs w:val="17"/>
                <w:color w:val="auto"/>
              </w:rPr>
              <w:t>Amy E. Miles</w:t>
            </w:r>
            <w:r>
              <w:rPr>
                <w:rFonts w:ascii="Arial" w:cs="Arial" w:eastAsia="Arial" w:hAnsi="Arial"/>
                <w:sz w:val="12"/>
                <w:szCs w:val="12"/>
                <w:color w:val="auto"/>
              </w:rPr>
              <w:t>(3)</w:t>
            </w:r>
          </w:p>
        </w:tc>
        <w:tc>
          <w:tcPr>
            <w:tcW w:w="2140" w:type="dxa"/>
            <w:vAlign w:val="bottom"/>
            <w:tcBorders>
              <w:bottom w:val="single" w:sz="8" w:color="CCE2F1"/>
            </w:tcBorders>
            <w:shd w:val="clear" w:color="auto" w:fill="CCE2F1"/>
          </w:tcPr>
          <w:p>
            <w:pPr>
              <w:jc w:val="right"/>
              <w:ind w:right="215"/>
              <w:spacing w:after="0"/>
              <w:rPr>
                <w:sz w:val="20"/>
                <w:szCs w:val="20"/>
                <w:color w:val="auto"/>
              </w:rPr>
            </w:pPr>
            <w:r>
              <w:rPr>
                <w:rFonts w:ascii="Arial" w:cs="Arial" w:eastAsia="Arial" w:hAnsi="Arial"/>
                <w:sz w:val="17"/>
                <w:szCs w:val="17"/>
                <w:color w:val="auto"/>
              </w:rPr>
              <w:t>408</w:t>
            </w:r>
          </w:p>
        </w:tc>
        <w:tc>
          <w:tcPr>
            <w:tcW w:w="2700" w:type="dxa"/>
            <w:vAlign w:val="bottom"/>
            <w:tcBorders>
              <w:bottom w:val="single" w:sz="8" w:color="CCE2F1"/>
            </w:tcBorders>
            <w:shd w:val="clear" w:color="auto" w:fill="CCE2F1"/>
          </w:tcPr>
          <w:p>
            <w:pPr>
              <w:jc w:val="right"/>
              <w:ind w:right="515"/>
              <w:spacing w:after="0"/>
              <w:rPr>
                <w:sz w:val="20"/>
                <w:szCs w:val="20"/>
                <w:color w:val="auto"/>
              </w:rPr>
            </w:pPr>
            <w:r>
              <w:rPr>
                <w:rFonts w:ascii="Arial" w:cs="Arial" w:eastAsia="Arial" w:hAnsi="Arial"/>
                <w:sz w:val="17"/>
                <w:szCs w:val="17"/>
                <w:color w:val="auto"/>
              </w:rPr>
              <w:t>0</w:t>
            </w:r>
          </w:p>
        </w:tc>
        <w:tc>
          <w:tcPr>
            <w:tcW w:w="1340" w:type="dxa"/>
            <w:vAlign w:val="bottom"/>
            <w:tcBorders>
              <w:bottom w:val="single" w:sz="8" w:color="CCE2F1"/>
            </w:tcBorders>
            <w:shd w:val="clear" w:color="auto" w:fill="CCE2F1"/>
          </w:tcPr>
          <w:p>
            <w:pPr>
              <w:jc w:val="right"/>
              <w:ind w:right="75"/>
              <w:spacing w:after="0"/>
              <w:rPr>
                <w:sz w:val="20"/>
                <w:szCs w:val="20"/>
                <w:color w:val="auto"/>
              </w:rPr>
            </w:pPr>
            <w:r>
              <w:rPr>
                <w:rFonts w:ascii="Arial" w:cs="Arial" w:eastAsia="Arial" w:hAnsi="Arial"/>
                <w:sz w:val="17"/>
                <w:szCs w:val="17"/>
                <w:color w:val="auto"/>
              </w:rPr>
              <w:t>*</w:t>
            </w:r>
          </w:p>
        </w:tc>
      </w:tr>
      <w:tr>
        <w:trPr>
          <w:trHeight w:val="266"/>
        </w:trPr>
        <w:tc>
          <w:tcPr>
            <w:tcW w:w="4840" w:type="dxa"/>
            <w:vAlign w:val="bottom"/>
          </w:tcPr>
          <w:p>
            <w:pPr>
              <w:ind w:left="100"/>
              <w:spacing w:after="0"/>
              <w:rPr>
                <w:sz w:val="20"/>
                <w:szCs w:val="20"/>
                <w:color w:val="auto"/>
              </w:rPr>
            </w:pPr>
            <w:r>
              <w:rPr>
                <w:rFonts w:ascii="Arial" w:cs="Arial" w:eastAsia="Arial" w:hAnsi="Arial"/>
                <w:sz w:val="17"/>
                <w:szCs w:val="17"/>
                <w:color w:val="auto"/>
              </w:rPr>
              <w:t>Ronald D. Sugar</w:t>
            </w:r>
            <w:r>
              <w:rPr>
                <w:rFonts w:ascii="Arial" w:cs="Arial" w:eastAsia="Arial" w:hAnsi="Arial"/>
                <w:sz w:val="12"/>
                <w:szCs w:val="12"/>
                <w:color w:val="auto"/>
              </w:rPr>
              <w:t>(3)</w:t>
            </w:r>
          </w:p>
        </w:tc>
        <w:tc>
          <w:tcPr>
            <w:tcW w:w="2140" w:type="dxa"/>
            <w:vAlign w:val="bottom"/>
          </w:tcPr>
          <w:p>
            <w:pPr>
              <w:jc w:val="right"/>
              <w:ind w:right="215"/>
              <w:spacing w:after="0"/>
              <w:rPr>
                <w:sz w:val="20"/>
                <w:szCs w:val="20"/>
                <w:color w:val="auto"/>
              </w:rPr>
            </w:pPr>
            <w:r>
              <w:rPr>
                <w:rFonts w:ascii="Arial" w:cs="Arial" w:eastAsia="Arial" w:hAnsi="Arial"/>
                <w:sz w:val="17"/>
                <w:szCs w:val="17"/>
                <w:color w:val="auto"/>
              </w:rPr>
              <w:t>0</w:t>
            </w:r>
          </w:p>
        </w:tc>
        <w:tc>
          <w:tcPr>
            <w:tcW w:w="2700" w:type="dxa"/>
            <w:vAlign w:val="bottom"/>
          </w:tcPr>
          <w:p>
            <w:pPr>
              <w:jc w:val="right"/>
              <w:ind w:right="515"/>
              <w:spacing w:after="0"/>
              <w:rPr>
                <w:sz w:val="20"/>
                <w:szCs w:val="20"/>
                <w:color w:val="auto"/>
              </w:rPr>
            </w:pPr>
            <w:r>
              <w:rPr>
                <w:rFonts w:ascii="Arial" w:cs="Arial" w:eastAsia="Arial" w:hAnsi="Arial"/>
                <w:sz w:val="17"/>
                <w:szCs w:val="17"/>
                <w:color w:val="auto"/>
              </w:rPr>
              <w:t>0</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44"/>
        </w:trPr>
        <w:tc>
          <w:tcPr>
            <w:tcW w:w="48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1"/>
        </w:trPr>
        <w:tc>
          <w:tcPr>
            <w:tcW w:w="484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6"/>
                <w:szCs w:val="16"/>
                <w:color w:val="auto"/>
              </w:rPr>
              <w:t>R. Sanders Williams</w:t>
            </w:r>
          </w:p>
        </w:tc>
        <w:tc>
          <w:tcPr>
            <w:tcW w:w="2140" w:type="dxa"/>
            <w:vAlign w:val="bottom"/>
            <w:tcBorders>
              <w:bottom w:val="single" w:sz="8" w:color="CCE2F1"/>
            </w:tcBorders>
            <w:shd w:val="clear" w:color="auto" w:fill="CCE2F1"/>
          </w:tcPr>
          <w:p>
            <w:pPr>
              <w:jc w:val="right"/>
              <w:ind w:right="215"/>
              <w:spacing w:after="0"/>
              <w:rPr>
                <w:sz w:val="20"/>
                <w:szCs w:val="20"/>
                <w:color w:val="auto"/>
              </w:rPr>
            </w:pPr>
            <w:r>
              <w:rPr>
                <w:rFonts w:ascii="Arial" w:cs="Arial" w:eastAsia="Arial" w:hAnsi="Arial"/>
                <w:sz w:val="17"/>
                <w:szCs w:val="17"/>
                <w:color w:val="auto"/>
              </w:rPr>
              <w:t>5,301</w:t>
            </w:r>
          </w:p>
        </w:tc>
        <w:tc>
          <w:tcPr>
            <w:tcW w:w="2700" w:type="dxa"/>
            <w:vAlign w:val="bottom"/>
            <w:tcBorders>
              <w:bottom w:val="single" w:sz="8" w:color="CCE2F1"/>
            </w:tcBorders>
            <w:shd w:val="clear" w:color="auto" w:fill="CCE2F1"/>
          </w:tcPr>
          <w:p>
            <w:pPr>
              <w:jc w:val="right"/>
              <w:ind w:right="515"/>
              <w:spacing w:after="0"/>
              <w:rPr>
                <w:sz w:val="20"/>
                <w:szCs w:val="20"/>
                <w:color w:val="auto"/>
              </w:rPr>
            </w:pPr>
            <w:r>
              <w:rPr>
                <w:rFonts w:ascii="Arial" w:cs="Arial" w:eastAsia="Arial" w:hAnsi="Arial"/>
                <w:sz w:val="17"/>
                <w:szCs w:val="17"/>
                <w:color w:val="auto"/>
              </w:rPr>
              <w:t>0</w:t>
            </w:r>
          </w:p>
        </w:tc>
        <w:tc>
          <w:tcPr>
            <w:tcW w:w="1340" w:type="dxa"/>
            <w:vAlign w:val="bottom"/>
            <w:tcBorders>
              <w:bottom w:val="single" w:sz="8" w:color="CCE2F1"/>
            </w:tcBorders>
            <w:shd w:val="clear" w:color="auto" w:fill="CCE2F1"/>
          </w:tcPr>
          <w:p>
            <w:pPr>
              <w:jc w:val="right"/>
              <w:ind w:right="75"/>
              <w:spacing w:after="0"/>
              <w:rPr>
                <w:sz w:val="20"/>
                <w:szCs w:val="20"/>
                <w:color w:val="auto"/>
              </w:rPr>
            </w:pPr>
            <w:r>
              <w:rPr>
                <w:rFonts w:ascii="Arial" w:cs="Arial" w:eastAsia="Arial" w:hAnsi="Arial"/>
                <w:sz w:val="17"/>
                <w:szCs w:val="17"/>
                <w:color w:val="auto"/>
              </w:rPr>
              <w:t>*</w:t>
            </w:r>
          </w:p>
        </w:tc>
      </w:tr>
      <w:tr>
        <w:trPr>
          <w:trHeight w:val="256"/>
        </w:trPr>
        <w:tc>
          <w:tcPr>
            <w:tcW w:w="48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90"/>
        </w:trPr>
        <w:tc>
          <w:tcPr>
            <w:tcW w:w="4840" w:type="dxa"/>
            <w:vAlign w:val="bottom"/>
            <w:tcBorders>
              <w:bottom w:val="single" w:sz="8" w:color="CCE2F1"/>
            </w:tcBorders>
            <w:shd w:val="clear" w:color="auto" w:fill="CCE2F1"/>
          </w:tcPr>
          <w:p>
            <w:pPr>
              <w:ind w:left="80"/>
              <w:spacing w:after="0"/>
              <w:rPr>
                <w:sz w:val="20"/>
                <w:szCs w:val="20"/>
                <w:color w:val="auto"/>
              </w:rPr>
            </w:pPr>
            <w:r>
              <w:rPr>
                <w:rFonts w:ascii="Arial" w:cs="Arial" w:eastAsia="Arial" w:hAnsi="Arial"/>
                <w:sz w:val="16"/>
                <w:szCs w:val="16"/>
                <w:b w:val="1"/>
                <w:bCs w:val="1"/>
                <w:color w:val="auto"/>
              </w:rPr>
              <w:t>Named Executive Officers</w:t>
            </w:r>
          </w:p>
        </w:tc>
        <w:tc>
          <w:tcPr>
            <w:tcW w:w="2140" w:type="dxa"/>
            <w:vAlign w:val="bottom"/>
            <w:tcBorders>
              <w:bottom w:val="single" w:sz="8" w:color="CCE2F1"/>
            </w:tcBorders>
            <w:shd w:val="clear" w:color="auto" w:fill="CCE2F1"/>
          </w:tcPr>
          <w:p>
            <w:pPr>
              <w:spacing w:after="0"/>
              <w:rPr>
                <w:sz w:val="24"/>
                <w:szCs w:val="24"/>
                <w:color w:val="auto"/>
              </w:rPr>
            </w:pPr>
          </w:p>
        </w:tc>
        <w:tc>
          <w:tcPr>
            <w:tcW w:w="2700" w:type="dxa"/>
            <w:vAlign w:val="bottom"/>
            <w:tcBorders>
              <w:bottom w:val="single" w:sz="8" w:color="CCE2F1"/>
            </w:tcBorders>
            <w:shd w:val="clear" w:color="auto" w:fill="CCE2F1"/>
          </w:tcPr>
          <w:p>
            <w:pPr>
              <w:spacing w:after="0"/>
              <w:rPr>
                <w:sz w:val="24"/>
                <w:szCs w:val="24"/>
                <w:color w:val="auto"/>
              </w:rPr>
            </w:pPr>
          </w:p>
        </w:tc>
        <w:tc>
          <w:tcPr>
            <w:tcW w:w="1340" w:type="dxa"/>
            <w:vAlign w:val="bottom"/>
            <w:tcBorders>
              <w:bottom w:val="single" w:sz="8" w:color="CCE2F1"/>
            </w:tcBorders>
            <w:shd w:val="clear" w:color="auto" w:fill="CCE2F1"/>
          </w:tcPr>
          <w:p>
            <w:pPr>
              <w:spacing w:after="0"/>
              <w:rPr>
                <w:sz w:val="24"/>
                <w:szCs w:val="24"/>
                <w:color w:val="auto"/>
              </w:rPr>
            </w:pPr>
          </w:p>
        </w:tc>
      </w:tr>
      <w:tr>
        <w:trPr>
          <w:trHeight w:val="266"/>
        </w:trPr>
        <w:tc>
          <w:tcPr>
            <w:tcW w:w="4840" w:type="dxa"/>
            <w:vAlign w:val="bottom"/>
          </w:tcPr>
          <w:p>
            <w:pPr>
              <w:ind w:left="100"/>
              <w:spacing w:after="0"/>
              <w:rPr>
                <w:sz w:val="20"/>
                <w:szCs w:val="20"/>
                <w:color w:val="auto"/>
              </w:rPr>
            </w:pPr>
            <w:r>
              <w:rPr>
                <w:rFonts w:ascii="Arial" w:cs="Arial" w:eastAsia="Arial" w:hAnsi="Arial"/>
                <w:sz w:val="17"/>
                <w:szCs w:val="17"/>
                <w:color w:val="auto"/>
              </w:rPr>
              <w:t>Robert A. Bradway</w:t>
            </w:r>
          </w:p>
        </w:tc>
        <w:tc>
          <w:tcPr>
            <w:tcW w:w="2140" w:type="dxa"/>
            <w:vAlign w:val="bottom"/>
          </w:tcPr>
          <w:p>
            <w:pPr>
              <w:jc w:val="right"/>
              <w:ind w:right="215"/>
              <w:spacing w:after="0"/>
              <w:rPr>
                <w:sz w:val="20"/>
                <w:szCs w:val="20"/>
                <w:color w:val="auto"/>
              </w:rPr>
            </w:pPr>
            <w:r>
              <w:rPr>
                <w:rFonts w:ascii="Arial" w:cs="Arial" w:eastAsia="Arial" w:hAnsi="Arial"/>
                <w:sz w:val="17"/>
                <w:szCs w:val="17"/>
                <w:color w:val="auto"/>
              </w:rPr>
              <w:t>1,209,324</w:t>
            </w:r>
          </w:p>
        </w:tc>
        <w:tc>
          <w:tcPr>
            <w:tcW w:w="2700" w:type="dxa"/>
            <w:vAlign w:val="bottom"/>
          </w:tcPr>
          <w:p>
            <w:pPr>
              <w:jc w:val="right"/>
              <w:ind w:right="515"/>
              <w:spacing w:after="0"/>
              <w:rPr>
                <w:sz w:val="20"/>
                <w:szCs w:val="20"/>
                <w:color w:val="auto"/>
              </w:rPr>
            </w:pPr>
            <w:r>
              <w:rPr>
                <w:rFonts w:ascii="Arial" w:cs="Arial" w:eastAsia="Arial" w:hAnsi="Arial"/>
                <w:sz w:val="17"/>
                <w:szCs w:val="17"/>
                <w:color w:val="auto"/>
              </w:rPr>
              <w:t>617,312</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44"/>
        </w:trPr>
        <w:tc>
          <w:tcPr>
            <w:tcW w:w="48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1"/>
        </w:trPr>
        <w:tc>
          <w:tcPr>
            <w:tcW w:w="484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7"/>
                <w:szCs w:val="17"/>
                <w:color w:val="auto"/>
              </w:rPr>
              <w:t>Murdo Gordon</w:t>
            </w:r>
          </w:p>
        </w:tc>
        <w:tc>
          <w:tcPr>
            <w:tcW w:w="2140" w:type="dxa"/>
            <w:vAlign w:val="bottom"/>
            <w:tcBorders>
              <w:bottom w:val="single" w:sz="8" w:color="CCE2F1"/>
            </w:tcBorders>
            <w:shd w:val="clear" w:color="auto" w:fill="CCE2F1"/>
          </w:tcPr>
          <w:p>
            <w:pPr>
              <w:jc w:val="right"/>
              <w:ind w:right="215"/>
              <w:spacing w:after="0"/>
              <w:rPr>
                <w:sz w:val="20"/>
                <w:szCs w:val="20"/>
                <w:color w:val="auto"/>
              </w:rPr>
            </w:pPr>
            <w:r>
              <w:rPr>
                <w:rFonts w:ascii="Arial" w:cs="Arial" w:eastAsia="Arial" w:hAnsi="Arial"/>
                <w:sz w:val="17"/>
                <w:szCs w:val="17"/>
                <w:color w:val="auto"/>
              </w:rPr>
              <w:t>113,605</w:t>
            </w:r>
          </w:p>
        </w:tc>
        <w:tc>
          <w:tcPr>
            <w:tcW w:w="2700" w:type="dxa"/>
            <w:vAlign w:val="bottom"/>
            <w:tcBorders>
              <w:bottom w:val="single" w:sz="8" w:color="CCE2F1"/>
            </w:tcBorders>
            <w:shd w:val="clear" w:color="auto" w:fill="CCE2F1"/>
          </w:tcPr>
          <w:p>
            <w:pPr>
              <w:jc w:val="right"/>
              <w:ind w:right="515"/>
              <w:spacing w:after="0"/>
              <w:rPr>
                <w:sz w:val="20"/>
                <w:szCs w:val="20"/>
                <w:color w:val="auto"/>
              </w:rPr>
            </w:pPr>
            <w:r>
              <w:rPr>
                <w:rFonts w:ascii="Arial" w:cs="Arial" w:eastAsia="Arial" w:hAnsi="Arial"/>
                <w:sz w:val="17"/>
                <w:szCs w:val="17"/>
                <w:color w:val="auto"/>
              </w:rPr>
              <w:t>74,963</w:t>
            </w:r>
          </w:p>
        </w:tc>
        <w:tc>
          <w:tcPr>
            <w:tcW w:w="1340" w:type="dxa"/>
            <w:vAlign w:val="bottom"/>
            <w:tcBorders>
              <w:bottom w:val="single" w:sz="8" w:color="CCE2F1"/>
            </w:tcBorders>
            <w:shd w:val="clear" w:color="auto" w:fill="CCE2F1"/>
          </w:tcPr>
          <w:p>
            <w:pPr>
              <w:jc w:val="right"/>
              <w:ind w:right="75"/>
              <w:spacing w:after="0"/>
              <w:rPr>
                <w:sz w:val="20"/>
                <w:szCs w:val="20"/>
                <w:color w:val="auto"/>
              </w:rPr>
            </w:pPr>
            <w:r>
              <w:rPr>
                <w:rFonts w:ascii="Arial" w:cs="Arial" w:eastAsia="Arial" w:hAnsi="Arial"/>
                <w:sz w:val="17"/>
                <w:szCs w:val="17"/>
                <w:color w:val="auto"/>
              </w:rPr>
              <w:t>*</w:t>
            </w:r>
          </w:p>
        </w:tc>
      </w:tr>
      <w:tr>
        <w:trPr>
          <w:trHeight w:val="266"/>
        </w:trPr>
        <w:tc>
          <w:tcPr>
            <w:tcW w:w="4840" w:type="dxa"/>
            <w:vAlign w:val="bottom"/>
          </w:tcPr>
          <w:p>
            <w:pPr>
              <w:ind w:left="100"/>
              <w:spacing w:after="0"/>
              <w:rPr>
                <w:sz w:val="20"/>
                <w:szCs w:val="20"/>
                <w:color w:val="auto"/>
              </w:rPr>
            </w:pPr>
            <w:r>
              <w:rPr>
                <w:rFonts w:ascii="Arial" w:cs="Arial" w:eastAsia="Arial" w:hAnsi="Arial"/>
                <w:sz w:val="17"/>
                <w:szCs w:val="17"/>
                <w:color w:val="auto"/>
              </w:rPr>
              <w:t>David M. Reese</w:t>
            </w:r>
          </w:p>
        </w:tc>
        <w:tc>
          <w:tcPr>
            <w:tcW w:w="2140" w:type="dxa"/>
            <w:vAlign w:val="bottom"/>
          </w:tcPr>
          <w:p>
            <w:pPr>
              <w:jc w:val="right"/>
              <w:ind w:right="215"/>
              <w:spacing w:after="0"/>
              <w:rPr>
                <w:sz w:val="20"/>
                <w:szCs w:val="20"/>
                <w:color w:val="auto"/>
              </w:rPr>
            </w:pPr>
            <w:r>
              <w:rPr>
                <w:rFonts w:ascii="Arial" w:cs="Arial" w:eastAsia="Arial" w:hAnsi="Arial"/>
                <w:sz w:val="17"/>
                <w:szCs w:val="17"/>
                <w:color w:val="auto"/>
              </w:rPr>
              <w:t>139,464</w:t>
            </w:r>
          </w:p>
        </w:tc>
        <w:tc>
          <w:tcPr>
            <w:tcW w:w="2700" w:type="dxa"/>
            <w:vAlign w:val="bottom"/>
          </w:tcPr>
          <w:p>
            <w:pPr>
              <w:jc w:val="right"/>
              <w:ind w:right="515"/>
              <w:spacing w:after="0"/>
              <w:rPr>
                <w:sz w:val="20"/>
                <w:szCs w:val="20"/>
                <w:color w:val="auto"/>
              </w:rPr>
            </w:pPr>
            <w:r>
              <w:rPr>
                <w:rFonts w:ascii="Arial" w:cs="Arial" w:eastAsia="Arial" w:hAnsi="Arial"/>
                <w:sz w:val="17"/>
                <w:szCs w:val="17"/>
                <w:color w:val="auto"/>
              </w:rPr>
              <w:t>99,658</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45"/>
        </w:trPr>
        <w:tc>
          <w:tcPr>
            <w:tcW w:w="48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0"/>
        </w:trPr>
        <w:tc>
          <w:tcPr>
            <w:tcW w:w="484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7"/>
                <w:szCs w:val="17"/>
                <w:color w:val="auto"/>
              </w:rPr>
              <w:t>Peter H. Griffith</w:t>
            </w:r>
          </w:p>
        </w:tc>
        <w:tc>
          <w:tcPr>
            <w:tcW w:w="2140" w:type="dxa"/>
            <w:vAlign w:val="bottom"/>
            <w:tcBorders>
              <w:bottom w:val="single" w:sz="8" w:color="CCE2F1"/>
            </w:tcBorders>
            <w:shd w:val="clear" w:color="auto" w:fill="CCE2F1"/>
          </w:tcPr>
          <w:p>
            <w:pPr>
              <w:jc w:val="right"/>
              <w:ind w:right="215"/>
              <w:spacing w:after="0"/>
              <w:rPr>
                <w:sz w:val="20"/>
                <w:szCs w:val="20"/>
                <w:color w:val="auto"/>
              </w:rPr>
            </w:pPr>
            <w:r>
              <w:rPr>
                <w:rFonts w:ascii="Arial" w:cs="Arial" w:eastAsia="Arial" w:hAnsi="Arial"/>
                <w:sz w:val="17"/>
                <w:szCs w:val="17"/>
                <w:color w:val="auto"/>
              </w:rPr>
              <w:t>43,031</w:t>
            </w:r>
          </w:p>
        </w:tc>
        <w:tc>
          <w:tcPr>
            <w:tcW w:w="2700" w:type="dxa"/>
            <w:vAlign w:val="bottom"/>
            <w:tcBorders>
              <w:bottom w:val="single" w:sz="8" w:color="CCE2F1"/>
            </w:tcBorders>
            <w:shd w:val="clear" w:color="auto" w:fill="CCE2F1"/>
          </w:tcPr>
          <w:p>
            <w:pPr>
              <w:jc w:val="right"/>
              <w:ind w:right="515"/>
              <w:spacing w:after="0"/>
              <w:rPr>
                <w:sz w:val="20"/>
                <w:szCs w:val="20"/>
                <w:color w:val="auto"/>
              </w:rPr>
            </w:pPr>
            <w:r>
              <w:rPr>
                <w:rFonts w:ascii="Arial" w:cs="Arial" w:eastAsia="Arial" w:hAnsi="Arial"/>
                <w:sz w:val="17"/>
                <w:szCs w:val="17"/>
                <w:color w:val="auto"/>
              </w:rPr>
              <w:t>30,667</w:t>
            </w:r>
          </w:p>
        </w:tc>
        <w:tc>
          <w:tcPr>
            <w:tcW w:w="1340" w:type="dxa"/>
            <w:vAlign w:val="bottom"/>
            <w:tcBorders>
              <w:bottom w:val="single" w:sz="8" w:color="CCE2F1"/>
            </w:tcBorders>
            <w:shd w:val="clear" w:color="auto" w:fill="CCE2F1"/>
          </w:tcPr>
          <w:p>
            <w:pPr>
              <w:jc w:val="right"/>
              <w:ind w:right="75"/>
              <w:spacing w:after="0"/>
              <w:rPr>
                <w:sz w:val="20"/>
                <w:szCs w:val="20"/>
                <w:color w:val="auto"/>
              </w:rPr>
            </w:pPr>
            <w:r>
              <w:rPr>
                <w:rFonts w:ascii="Arial" w:cs="Arial" w:eastAsia="Arial" w:hAnsi="Arial"/>
                <w:sz w:val="17"/>
                <w:szCs w:val="17"/>
                <w:color w:val="auto"/>
              </w:rPr>
              <w:t>*</w:t>
            </w:r>
          </w:p>
        </w:tc>
      </w:tr>
      <w:tr>
        <w:trPr>
          <w:trHeight w:val="266"/>
        </w:trPr>
        <w:tc>
          <w:tcPr>
            <w:tcW w:w="4840" w:type="dxa"/>
            <w:vAlign w:val="bottom"/>
          </w:tcPr>
          <w:p>
            <w:pPr>
              <w:ind w:left="100"/>
              <w:spacing w:after="0"/>
              <w:rPr>
                <w:sz w:val="20"/>
                <w:szCs w:val="20"/>
                <w:color w:val="auto"/>
              </w:rPr>
            </w:pPr>
            <w:r>
              <w:rPr>
                <w:rFonts w:ascii="Arial" w:cs="Arial" w:eastAsia="Arial" w:hAnsi="Arial"/>
                <w:sz w:val="17"/>
                <w:szCs w:val="17"/>
                <w:color w:val="auto"/>
              </w:rPr>
              <w:t>Esteban Santos</w:t>
            </w:r>
          </w:p>
        </w:tc>
        <w:tc>
          <w:tcPr>
            <w:tcW w:w="2140" w:type="dxa"/>
            <w:vAlign w:val="bottom"/>
          </w:tcPr>
          <w:p>
            <w:pPr>
              <w:jc w:val="right"/>
              <w:ind w:right="215"/>
              <w:spacing w:after="0"/>
              <w:rPr>
                <w:sz w:val="20"/>
                <w:szCs w:val="20"/>
                <w:color w:val="auto"/>
              </w:rPr>
            </w:pPr>
            <w:r>
              <w:rPr>
                <w:rFonts w:ascii="Arial" w:cs="Arial" w:eastAsia="Arial" w:hAnsi="Arial"/>
                <w:sz w:val="17"/>
                <w:szCs w:val="17"/>
                <w:color w:val="auto"/>
              </w:rPr>
              <w:t>182,983</w:t>
            </w:r>
          </w:p>
        </w:tc>
        <w:tc>
          <w:tcPr>
            <w:tcW w:w="2700" w:type="dxa"/>
            <w:vAlign w:val="bottom"/>
          </w:tcPr>
          <w:p>
            <w:pPr>
              <w:jc w:val="right"/>
              <w:ind w:right="515"/>
              <w:spacing w:after="0"/>
              <w:rPr>
                <w:sz w:val="20"/>
                <w:szCs w:val="20"/>
                <w:color w:val="auto"/>
              </w:rPr>
            </w:pPr>
            <w:r>
              <w:rPr>
                <w:rFonts w:ascii="Arial" w:cs="Arial" w:eastAsia="Arial" w:hAnsi="Arial"/>
                <w:sz w:val="17"/>
                <w:szCs w:val="17"/>
                <w:color w:val="auto"/>
              </w:rPr>
              <w:t>132,157</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45"/>
        </w:trPr>
        <w:tc>
          <w:tcPr>
            <w:tcW w:w="48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4840" w:type="dxa"/>
            <w:vAlign w:val="bottom"/>
            <w:shd w:val="clear" w:color="auto" w:fill="CCE2F1"/>
          </w:tcPr>
          <w:p>
            <w:pPr>
              <w:ind w:left="80"/>
              <w:spacing w:after="0"/>
              <w:rPr>
                <w:sz w:val="20"/>
                <w:szCs w:val="20"/>
                <w:color w:val="auto"/>
              </w:rPr>
            </w:pPr>
            <w:r>
              <w:rPr>
                <w:rFonts w:ascii="Arial" w:cs="Arial" w:eastAsia="Arial" w:hAnsi="Arial"/>
                <w:sz w:val="17"/>
                <w:szCs w:val="17"/>
                <w:color w:val="auto"/>
              </w:rPr>
              <w:t>All current directors, NEOs and executive officers as a group</w:t>
            </w:r>
          </w:p>
        </w:tc>
        <w:tc>
          <w:tcPr>
            <w:tcW w:w="2140" w:type="dxa"/>
            <w:vAlign w:val="bottom"/>
            <w:shd w:val="clear" w:color="auto" w:fill="CCE2F1"/>
          </w:tcPr>
          <w:p>
            <w:pPr>
              <w:spacing w:after="0"/>
              <w:rPr>
                <w:sz w:val="21"/>
                <w:szCs w:val="21"/>
                <w:color w:val="auto"/>
              </w:rPr>
            </w:pPr>
          </w:p>
        </w:tc>
        <w:tc>
          <w:tcPr>
            <w:tcW w:w="2700" w:type="dxa"/>
            <w:vAlign w:val="bottom"/>
            <w:shd w:val="clear" w:color="auto" w:fill="CCE2F1"/>
          </w:tcPr>
          <w:p>
            <w:pPr>
              <w:spacing w:after="0"/>
              <w:rPr>
                <w:sz w:val="21"/>
                <w:szCs w:val="21"/>
                <w:color w:val="auto"/>
              </w:rPr>
            </w:pPr>
          </w:p>
        </w:tc>
        <w:tc>
          <w:tcPr>
            <w:tcW w:w="1340" w:type="dxa"/>
            <w:vAlign w:val="bottom"/>
            <w:shd w:val="clear" w:color="auto" w:fill="CCE2F1"/>
          </w:tcPr>
          <w:p>
            <w:pPr>
              <w:spacing w:after="0"/>
              <w:rPr>
                <w:sz w:val="21"/>
                <w:szCs w:val="21"/>
                <w:color w:val="auto"/>
              </w:rPr>
            </w:pPr>
          </w:p>
        </w:tc>
      </w:tr>
      <w:tr>
        <w:trPr>
          <w:trHeight w:val="229"/>
        </w:trPr>
        <w:tc>
          <w:tcPr>
            <w:tcW w:w="4840" w:type="dxa"/>
            <w:vAlign w:val="bottom"/>
            <w:tcBorders>
              <w:bottom w:val="single" w:sz="8" w:color="CCE2F1"/>
            </w:tcBorders>
            <w:shd w:val="clear" w:color="auto" w:fill="CCE2F1"/>
          </w:tcPr>
          <w:p>
            <w:pPr>
              <w:ind w:left="160"/>
              <w:spacing w:after="0"/>
              <w:rPr>
                <w:sz w:val="20"/>
                <w:szCs w:val="20"/>
                <w:color w:val="auto"/>
              </w:rPr>
            </w:pPr>
            <w:r>
              <w:rPr>
                <w:rFonts w:ascii="Arial" w:cs="Arial" w:eastAsia="Arial" w:hAnsi="Arial"/>
                <w:sz w:val="17"/>
                <w:szCs w:val="17"/>
                <w:color w:val="auto"/>
              </w:rPr>
              <w:t>(21 individuals)</w:t>
            </w:r>
            <w:r>
              <w:rPr>
                <w:rFonts w:ascii="Arial" w:cs="Arial" w:eastAsia="Arial" w:hAnsi="Arial"/>
                <w:sz w:val="12"/>
                <w:szCs w:val="12"/>
                <w:color w:val="auto"/>
              </w:rPr>
              <w:t>(5)</w:t>
            </w:r>
          </w:p>
        </w:tc>
        <w:tc>
          <w:tcPr>
            <w:tcW w:w="2140" w:type="dxa"/>
            <w:vAlign w:val="bottom"/>
            <w:tcBorders>
              <w:bottom w:val="single" w:sz="8" w:color="CCE2F1"/>
            </w:tcBorders>
            <w:shd w:val="clear" w:color="auto" w:fill="CCE2F1"/>
          </w:tcPr>
          <w:p>
            <w:pPr>
              <w:jc w:val="right"/>
              <w:ind w:right="215"/>
              <w:spacing w:after="0"/>
              <w:rPr>
                <w:sz w:val="20"/>
                <w:szCs w:val="20"/>
                <w:color w:val="auto"/>
              </w:rPr>
            </w:pPr>
            <w:r>
              <w:rPr>
                <w:rFonts w:ascii="Arial" w:cs="Arial" w:eastAsia="Arial" w:hAnsi="Arial"/>
                <w:sz w:val="17"/>
                <w:szCs w:val="17"/>
                <w:color w:val="auto"/>
              </w:rPr>
              <w:t>1,932,878</w:t>
            </w:r>
          </w:p>
        </w:tc>
        <w:tc>
          <w:tcPr>
            <w:tcW w:w="2700" w:type="dxa"/>
            <w:vAlign w:val="bottom"/>
            <w:tcBorders>
              <w:bottom w:val="single" w:sz="8" w:color="CCE2F1"/>
            </w:tcBorders>
            <w:shd w:val="clear" w:color="auto" w:fill="CCE2F1"/>
          </w:tcPr>
          <w:p>
            <w:pPr>
              <w:jc w:val="right"/>
              <w:ind w:right="515"/>
              <w:spacing w:after="0"/>
              <w:rPr>
                <w:sz w:val="20"/>
                <w:szCs w:val="20"/>
                <w:color w:val="auto"/>
              </w:rPr>
            </w:pPr>
            <w:r>
              <w:rPr>
                <w:rFonts w:ascii="Arial" w:cs="Arial" w:eastAsia="Arial" w:hAnsi="Arial"/>
                <w:sz w:val="17"/>
                <w:szCs w:val="17"/>
                <w:color w:val="auto"/>
              </w:rPr>
              <w:t>1,127,831</w:t>
            </w:r>
          </w:p>
        </w:tc>
        <w:tc>
          <w:tcPr>
            <w:tcW w:w="1340" w:type="dxa"/>
            <w:vAlign w:val="bottom"/>
            <w:tcBorders>
              <w:bottom w:val="single" w:sz="8" w:color="CCE2F1"/>
            </w:tcBorders>
            <w:shd w:val="clear" w:color="auto" w:fill="CCE2F1"/>
          </w:tcPr>
          <w:p>
            <w:pPr>
              <w:jc w:val="right"/>
              <w:ind w:right="75"/>
              <w:spacing w:after="0"/>
              <w:rPr>
                <w:sz w:val="20"/>
                <w:szCs w:val="20"/>
                <w:color w:val="auto"/>
              </w:rPr>
            </w:pPr>
            <w:r>
              <w:rPr>
                <w:rFonts w:ascii="Arial" w:cs="Arial" w:eastAsia="Arial" w:hAnsi="Arial"/>
                <w:sz w:val="17"/>
                <w:szCs w:val="17"/>
                <w:color w:val="auto"/>
              </w:rPr>
              <w:t>*</w:t>
            </w:r>
          </w:p>
        </w:tc>
      </w:tr>
      <w:tr>
        <w:trPr>
          <w:trHeight w:val="20"/>
        </w:trPr>
        <w:tc>
          <w:tcPr>
            <w:tcW w:w="4840" w:type="dxa"/>
            <w:vAlign w:val="bottom"/>
            <w:shd w:val="clear" w:color="auto" w:fill="0171B9"/>
          </w:tcPr>
          <w:p>
            <w:pPr>
              <w:spacing w:after="0" w:line="20" w:lineRule="exact"/>
              <w:rPr>
                <w:sz w:val="1"/>
                <w:szCs w:val="1"/>
                <w:color w:val="auto"/>
              </w:rPr>
            </w:pPr>
          </w:p>
        </w:tc>
        <w:tc>
          <w:tcPr>
            <w:tcW w:w="2140" w:type="dxa"/>
            <w:vAlign w:val="bottom"/>
            <w:shd w:val="clear" w:color="auto" w:fill="0171B9"/>
          </w:tcPr>
          <w:p>
            <w:pPr>
              <w:spacing w:after="0" w:line="20" w:lineRule="exact"/>
              <w:rPr>
                <w:sz w:val="1"/>
                <w:szCs w:val="1"/>
                <w:color w:val="auto"/>
              </w:rPr>
            </w:pPr>
          </w:p>
        </w:tc>
        <w:tc>
          <w:tcPr>
            <w:tcW w:w="2700" w:type="dxa"/>
            <w:vAlign w:val="bottom"/>
            <w:shd w:val="clear" w:color="auto" w:fill="0171B9"/>
          </w:tcPr>
          <w:p>
            <w:pPr>
              <w:spacing w:after="0" w:line="20" w:lineRule="exact"/>
              <w:rPr>
                <w:sz w:val="1"/>
                <w:szCs w:val="1"/>
                <w:color w:val="auto"/>
              </w:rPr>
            </w:pPr>
          </w:p>
        </w:tc>
        <w:tc>
          <w:tcPr>
            <w:tcW w:w="1340" w:type="dxa"/>
            <w:vAlign w:val="bottom"/>
            <w:shd w:val="clear" w:color="auto" w:fill="0171B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-4234180</wp:posOffset>
            </wp:positionV>
            <wp:extent cx="699516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-4525645</wp:posOffset>
            </wp:positionV>
            <wp:extent cx="374650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746500" cy="8255"/>
                    </a:xfrm>
                    <a:prstGeom prst="rect">
                      <a:avLst/>
                    </a:prstGeom>
                    <a:noFill/>
                  </pic:spPr>
                </pic:pic>
              </a:graphicData>
            </a:graphic>
          </wp:anchor>
        </w:drawing>
      </w:r>
    </w:p>
    <w:p>
      <w:pPr>
        <w:spacing w:after="0" w:line="99"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8" w:lineRule="exact"/>
        <w:rPr>
          <w:sz w:val="20"/>
          <w:szCs w:val="20"/>
          <w:color w:val="auto"/>
        </w:rPr>
      </w:pPr>
    </w:p>
    <w:p>
      <w:pPr>
        <w:jc w:val="both"/>
        <w:ind w:left="540" w:hanging="424"/>
        <w:spacing w:after="0" w:line="202" w:lineRule="auto"/>
        <w:tabs>
          <w:tab w:leader="none" w:pos="540" w:val="left"/>
        </w:tabs>
        <w:numPr>
          <w:ilvl w:val="0"/>
          <w:numId w:val="139"/>
        </w:numPr>
        <w:rPr>
          <w:rFonts w:ascii="Arial" w:cs="Arial" w:eastAsia="Arial" w:hAnsi="Arial"/>
          <w:sz w:val="22"/>
          <w:szCs w:val="22"/>
          <w:color w:val="auto"/>
          <w:vertAlign w:val="superscript"/>
        </w:rPr>
      </w:pPr>
      <w:r>
        <w:rPr>
          <w:rFonts w:ascii="Arial" w:cs="Arial" w:eastAsia="Arial" w:hAnsi="Arial"/>
          <w:sz w:val="14"/>
          <w:szCs w:val="14"/>
          <w:color w:val="auto"/>
        </w:rPr>
        <w:t>Information in this table is based on our records and information provided by directors, NEOs, executive officers, and in public filings. Unless otherwise indicated in the footnotes and subject to community property laws, where applicable, each of the directors and nominees, NEOs, and executive officers has sole voting and/or investment power with respect to such shares, including shares held in trust.</w:t>
      </w:r>
    </w:p>
    <w:p>
      <w:pPr>
        <w:spacing w:after="0" w:line="2" w:lineRule="exact"/>
        <w:rPr>
          <w:rFonts w:ascii="Arial" w:cs="Arial" w:eastAsia="Arial" w:hAnsi="Arial"/>
          <w:sz w:val="22"/>
          <w:szCs w:val="22"/>
          <w:color w:val="auto"/>
          <w:vertAlign w:val="superscript"/>
        </w:rPr>
      </w:pPr>
    </w:p>
    <w:p>
      <w:pPr>
        <w:jc w:val="both"/>
        <w:ind w:left="540" w:right="20" w:hanging="424"/>
        <w:spacing w:after="0" w:line="219" w:lineRule="auto"/>
        <w:tabs>
          <w:tab w:leader="none" w:pos="540" w:val="left"/>
        </w:tabs>
        <w:numPr>
          <w:ilvl w:val="0"/>
          <w:numId w:val="139"/>
        </w:numPr>
        <w:rPr>
          <w:rFonts w:ascii="Arial" w:cs="Arial" w:eastAsia="Arial" w:hAnsi="Arial"/>
          <w:sz w:val="22"/>
          <w:szCs w:val="22"/>
          <w:color w:val="auto"/>
          <w:vertAlign w:val="superscript"/>
        </w:rPr>
      </w:pPr>
      <w:r>
        <w:rPr>
          <w:rFonts w:ascii="Arial" w:cs="Arial" w:eastAsia="Arial" w:hAnsi="Arial"/>
          <w:sz w:val="14"/>
          <w:szCs w:val="14"/>
          <w:color w:val="auto"/>
        </w:rPr>
        <w:t>Includes shares which the individuals shown have the right to acquire (a) upon vesting of restricted stock units, or RSUs, and related dividend equivalents (excluding fractional shares), where the shares are issuable as of March 20, 2023, or within 60 days thereafter, and (b) upon exercise of stock options that are vested as of March 20, 2023, or within 60 days thereafter, as set forth in the table below. Such shares are deemed to be outstanding in calculating the percentage ownership of such individual (and the group), but are not deemed to be outstanding as to any other person. Dividend equivalents credited on RSUs are deemed reinvested and are paid out with the vested RSUs in shares of our Common Stock.</w:t>
      </w:r>
    </w:p>
    <w:p>
      <w:pPr>
        <w:spacing w:after="0" w:line="118"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96</w:t>
      </w:r>
      <w:r>
        <w:rPr>
          <w:sz w:val="20"/>
          <w:szCs w:val="20"/>
          <w:color w:val="auto"/>
        </w:rPr>
        <w:tab/>
      </w:r>
      <w:r>
        <w:rPr>
          <w:sz w:val="1"/>
          <w:szCs w:val="1"/>
          <w:color w:val="auto"/>
        </w:rPr>
        <w:drawing>
          <wp:inline distT="0" distB="0" distL="0" distR="0">
            <wp:extent cx="582930" cy="137160"/>
            <wp:effectExtent l="0" t="0" r="0" b="0"/>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205740</wp:posOffset>
            </wp:positionV>
            <wp:extent cx="3745865" cy="21463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745865" cy="214630"/>
                    </a:xfrm>
                    <a:prstGeom prst="rect">
                      <a:avLst/>
                    </a:prstGeom>
                    <a:noFill/>
                  </pic:spPr>
                </pic:pic>
              </a:graphicData>
            </a:graphic>
          </wp:anchor>
        </w:drawing>
      </w:r>
    </w:p>
    <w:p>
      <w:pPr>
        <w:spacing w:after="0" w:line="312" w:lineRule="exact"/>
        <w:rPr>
          <w:sz w:val="20"/>
          <w:szCs w:val="20"/>
          <w:color w:val="auto"/>
        </w:rPr>
      </w:pPr>
    </w:p>
    <w:p>
      <w:pPr>
        <w:ind w:left="5380"/>
        <w:spacing w:after="0"/>
        <w:rPr>
          <w:sz w:val="20"/>
          <w:szCs w:val="20"/>
          <w:color w:val="auto"/>
        </w:rPr>
      </w:pPr>
      <w:r>
        <w:rPr>
          <w:rFonts w:ascii="Arial" w:cs="Arial" w:eastAsia="Arial" w:hAnsi="Arial"/>
          <w:sz w:val="21"/>
          <w:szCs w:val="21"/>
          <w:b w:val="1"/>
          <w:bCs w:val="1"/>
          <w:color w:val="FFFFFF"/>
        </w:rPr>
        <w:t>Security Ownership of Directors and Executive Officers</w:t>
      </w:r>
    </w:p>
    <w:p>
      <w:pPr>
        <w:spacing w:after="0" w:line="309"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22"/>
          <w:szCs w:val="22"/>
          <w:color w:val="auto"/>
          <w:vertAlign w:val="superscript"/>
        </w:rPr>
      </w:pPr>
      <w:r>
        <w:rPr>
          <w:rFonts w:ascii="Arial" w:cs="Arial" w:eastAsia="Arial" w:hAnsi="Arial"/>
          <w:sz w:val="14"/>
          <w:szCs w:val="14"/>
          <w:color w:val="auto"/>
        </w:rPr>
        <w:t>Excludes vested RSUs, and related dividend equivalents, for which receipt has been deferred to a date later than 60 days after March 20, 2023.</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2480" w:type="dxa"/>
            <w:vAlign w:val="bottom"/>
            <w:shd w:val="clear" w:color="auto" w:fill="0171B9"/>
          </w:tcPr>
          <w:p>
            <w:pPr>
              <w:spacing w:after="0"/>
              <w:rPr>
                <w:sz w:val="16"/>
                <w:szCs w:val="16"/>
                <w:color w:val="auto"/>
              </w:rPr>
            </w:pPr>
          </w:p>
        </w:tc>
        <w:tc>
          <w:tcPr>
            <w:tcW w:w="2720" w:type="dxa"/>
            <w:vAlign w:val="bottom"/>
            <w:shd w:val="clear" w:color="auto" w:fill="0171B9"/>
          </w:tcPr>
          <w:p>
            <w:pPr>
              <w:spacing w:after="0"/>
              <w:rPr>
                <w:sz w:val="16"/>
                <w:szCs w:val="16"/>
                <w:color w:val="auto"/>
              </w:rPr>
            </w:pPr>
          </w:p>
        </w:tc>
        <w:tc>
          <w:tcPr>
            <w:tcW w:w="2600" w:type="dxa"/>
            <w:vAlign w:val="bottom"/>
            <w:shd w:val="clear" w:color="auto" w:fill="0171B9"/>
          </w:tcPr>
          <w:p>
            <w:pPr>
              <w:spacing w:after="0"/>
              <w:rPr>
                <w:sz w:val="16"/>
                <w:szCs w:val="16"/>
                <w:color w:val="auto"/>
              </w:rPr>
            </w:pPr>
          </w:p>
        </w:tc>
        <w:tc>
          <w:tcPr>
            <w:tcW w:w="2780" w:type="dxa"/>
            <w:vAlign w:val="bottom"/>
            <w:shd w:val="clear" w:color="auto" w:fill="0171B9"/>
          </w:tcPr>
          <w:p>
            <w:pPr>
              <w:jc w:val="right"/>
              <w:ind w:right="119"/>
              <w:spacing w:after="0"/>
              <w:rPr>
                <w:sz w:val="20"/>
                <w:szCs w:val="20"/>
                <w:color w:val="auto"/>
              </w:rPr>
            </w:pPr>
            <w:r>
              <w:rPr>
                <w:rFonts w:ascii="Arial" w:cs="Arial" w:eastAsia="Arial" w:hAnsi="Arial"/>
                <w:sz w:val="16"/>
                <w:szCs w:val="16"/>
                <w:b w:val="1"/>
                <w:bCs w:val="1"/>
                <w:color w:val="FFFFFF"/>
              </w:rPr>
              <w:t>RSUs and Dividend</w:t>
            </w:r>
          </w:p>
        </w:tc>
      </w:tr>
      <w:tr>
        <w:trPr>
          <w:trHeight w:val="189"/>
        </w:trPr>
        <w:tc>
          <w:tcPr>
            <w:tcW w:w="2480" w:type="dxa"/>
            <w:vAlign w:val="bottom"/>
            <w:shd w:val="clear" w:color="auto" w:fill="0171B9"/>
          </w:tcPr>
          <w:p>
            <w:pPr>
              <w:spacing w:after="0"/>
              <w:rPr>
                <w:sz w:val="16"/>
                <w:szCs w:val="16"/>
                <w:color w:val="auto"/>
              </w:rPr>
            </w:pPr>
          </w:p>
        </w:tc>
        <w:tc>
          <w:tcPr>
            <w:tcW w:w="2720" w:type="dxa"/>
            <w:vAlign w:val="bottom"/>
            <w:shd w:val="clear" w:color="auto" w:fill="0171B9"/>
          </w:tcPr>
          <w:p>
            <w:pPr>
              <w:jc w:val="right"/>
              <w:ind w:right="579"/>
              <w:spacing w:after="0"/>
              <w:rPr>
                <w:sz w:val="20"/>
                <w:szCs w:val="20"/>
                <w:color w:val="auto"/>
              </w:rPr>
            </w:pPr>
            <w:r>
              <w:rPr>
                <w:rFonts w:ascii="Arial" w:cs="Arial" w:eastAsia="Arial" w:hAnsi="Arial"/>
                <w:sz w:val="16"/>
                <w:szCs w:val="16"/>
                <w:b w:val="1"/>
                <w:bCs w:val="1"/>
                <w:color w:val="FFFFFF"/>
              </w:rPr>
              <w:t>RSUs and Dividend</w:t>
            </w:r>
          </w:p>
        </w:tc>
        <w:tc>
          <w:tcPr>
            <w:tcW w:w="2600" w:type="dxa"/>
            <w:vAlign w:val="bottom"/>
            <w:shd w:val="clear" w:color="auto" w:fill="0171B9"/>
          </w:tcPr>
          <w:p>
            <w:pPr>
              <w:jc w:val="right"/>
              <w:ind w:right="759"/>
              <w:spacing w:after="0"/>
              <w:rPr>
                <w:sz w:val="20"/>
                <w:szCs w:val="20"/>
                <w:color w:val="auto"/>
              </w:rPr>
            </w:pPr>
            <w:r>
              <w:rPr>
                <w:rFonts w:ascii="Arial" w:cs="Arial" w:eastAsia="Arial" w:hAnsi="Arial"/>
                <w:sz w:val="16"/>
                <w:szCs w:val="16"/>
                <w:b w:val="1"/>
                <w:bCs w:val="1"/>
                <w:color w:val="FFFFFF"/>
              </w:rPr>
              <w:t>Stock Options</w:t>
            </w:r>
          </w:p>
        </w:tc>
        <w:tc>
          <w:tcPr>
            <w:tcW w:w="2780" w:type="dxa"/>
            <w:vAlign w:val="bottom"/>
            <w:shd w:val="clear" w:color="auto" w:fill="0171B9"/>
          </w:tcPr>
          <w:p>
            <w:pPr>
              <w:jc w:val="right"/>
              <w:ind w:right="119"/>
              <w:spacing w:after="0"/>
              <w:rPr>
                <w:sz w:val="20"/>
                <w:szCs w:val="20"/>
                <w:color w:val="auto"/>
              </w:rPr>
            </w:pPr>
            <w:r>
              <w:rPr>
                <w:rFonts w:ascii="Arial" w:cs="Arial" w:eastAsia="Arial" w:hAnsi="Arial"/>
                <w:sz w:val="16"/>
                <w:szCs w:val="16"/>
                <w:b w:val="1"/>
                <w:bCs w:val="1"/>
                <w:color w:val="FFFFFF"/>
              </w:rPr>
              <w:t>Equivalents Excluded</w:t>
            </w:r>
          </w:p>
        </w:tc>
      </w:tr>
      <w:tr>
        <w:trPr>
          <w:trHeight w:val="234"/>
        </w:trPr>
        <w:tc>
          <w:tcPr>
            <w:tcW w:w="2480" w:type="dxa"/>
            <w:vAlign w:val="bottom"/>
            <w:shd w:val="clear" w:color="auto" w:fill="0171B9"/>
          </w:tcPr>
          <w:p>
            <w:pPr>
              <w:ind w:left="100"/>
              <w:spacing w:after="0"/>
              <w:rPr>
                <w:sz w:val="20"/>
                <w:szCs w:val="20"/>
                <w:color w:val="auto"/>
              </w:rPr>
            </w:pPr>
            <w:r>
              <w:rPr>
                <w:rFonts w:ascii="Arial" w:cs="Arial" w:eastAsia="Arial" w:hAnsi="Arial"/>
                <w:sz w:val="16"/>
                <w:szCs w:val="16"/>
                <w:b w:val="1"/>
                <w:bCs w:val="1"/>
                <w:color w:val="FFFFFF"/>
              </w:rPr>
              <w:t>Name</w:t>
            </w:r>
          </w:p>
        </w:tc>
        <w:tc>
          <w:tcPr>
            <w:tcW w:w="2720" w:type="dxa"/>
            <w:vAlign w:val="bottom"/>
            <w:shd w:val="clear" w:color="auto" w:fill="0171B9"/>
          </w:tcPr>
          <w:p>
            <w:pPr>
              <w:jc w:val="right"/>
              <w:ind w:right="579"/>
              <w:spacing w:after="0"/>
              <w:rPr>
                <w:sz w:val="20"/>
                <w:szCs w:val="20"/>
                <w:color w:val="auto"/>
              </w:rPr>
            </w:pPr>
            <w:r>
              <w:rPr>
                <w:rFonts w:ascii="Arial" w:cs="Arial" w:eastAsia="Arial" w:hAnsi="Arial"/>
                <w:sz w:val="16"/>
                <w:szCs w:val="16"/>
                <w:b w:val="1"/>
                <w:bCs w:val="1"/>
                <w:color w:val="FFFFFF"/>
              </w:rPr>
              <w:t>Equivalents Included</w:t>
            </w:r>
          </w:p>
        </w:tc>
        <w:tc>
          <w:tcPr>
            <w:tcW w:w="2600" w:type="dxa"/>
            <w:vAlign w:val="bottom"/>
            <w:shd w:val="clear" w:color="auto" w:fill="0171B9"/>
          </w:tcPr>
          <w:p>
            <w:pPr>
              <w:jc w:val="right"/>
              <w:ind w:right="759"/>
              <w:spacing w:after="0"/>
              <w:rPr>
                <w:sz w:val="20"/>
                <w:szCs w:val="20"/>
                <w:color w:val="auto"/>
              </w:rPr>
            </w:pPr>
            <w:r>
              <w:rPr>
                <w:rFonts w:ascii="Arial" w:cs="Arial" w:eastAsia="Arial" w:hAnsi="Arial"/>
                <w:sz w:val="16"/>
                <w:szCs w:val="16"/>
                <w:b w:val="1"/>
                <w:bCs w:val="1"/>
                <w:color w:val="FFFFFF"/>
              </w:rPr>
              <w:t>Included</w:t>
            </w:r>
          </w:p>
        </w:tc>
        <w:tc>
          <w:tcPr>
            <w:tcW w:w="2780" w:type="dxa"/>
            <w:vAlign w:val="bottom"/>
            <w:shd w:val="clear" w:color="auto" w:fill="0171B9"/>
          </w:tcPr>
          <w:p>
            <w:pPr>
              <w:jc w:val="right"/>
              <w:ind w:right="119"/>
              <w:spacing w:after="0" w:line="234" w:lineRule="exact"/>
              <w:rPr>
                <w:sz w:val="20"/>
                <w:szCs w:val="20"/>
                <w:color w:val="auto"/>
              </w:rPr>
            </w:pPr>
            <w:r>
              <w:rPr>
                <w:rFonts w:ascii="Arial" w:cs="Arial" w:eastAsia="Arial" w:hAnsi="Arial"/>
                <w:sz w:val="16"/>
                <w:szCs w:val="16"/>
                <w:b w:val="1"/>
                <w:bCs w:val="1"/>
                <w:color w:val="FFFFFF"/>
              </w:rPr>
              <w:t>Because of Deferrals</w:t>
            </w:r>
            <w:r>
              <w:rPr>
                <w:rFonts w:ascii="Arial" w:cs="Arial" w:eastAsia="Arial" w:hAnsi="Arial"/>
                <w:sz w:val="24"/>
                <w:szCs w:val="24"/>
                <w:b w:val="1"/>
                <w:bCs w:val="1"/>
                <w:color w:val="FFFFFF"/>
                <w:vertAlign w:val="superscript"/>
              </w:rPr>
              <w:t>(6)</w:t>
            </w:r>
          </w:p>
        </w:tc>
      </w:tr>
      <w:tr>
        <w:trPr>
          <w:trHeight w:val="291"/>
        </w:trPr>
        <w:tc>
          <w:tcPr>
            <w:tcW w:w="248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Wanda M. Austin</w:t>
            </w:r>
          </w:p>
        </w:tc>
        <w:tc>
          <w:tcPr>
            <w:tcW w:w="2720" w:type="dxa"/>
            <w:vAlign w:val="bottom"/>
            <w:tcBorders>
              <w:bottom w:val="single" w:sz="8" w:color="CCE2F1"/>
            </w:tcBorders>
            <w:shd w:val="clear" w:color="auto" w:fill="CCE2F1"/>
          </w:tcPr>
          <w:p>
            <w:pPr>
              <w:jc w:val="right"/>
              <w:ind w:right="579"/>
              <w:spacing w:after="0"/>
              <w:rPr>
                <w:sz w:val="20"/>
                <w:szCs w:val="20"/>
                <w:color w:val="auto"/>
              </w:rPr>
            </w:pPr>
            <w:r>
              <w:rPr>
                <w:rFonts w:ascii="Arial" w:cs="Arial" w:eastAsia="Arial" w:hAnsi="Arial"/>
                <w:sz w:val="16"/>
                <w:szCs w:val="16"/>
                <w:color w:val="auto"/>
              </w:rPr>
              <w:t>0</w:t>
            </w:r>
          </w:p>
        </w:tc>
        <w:tc>
          <w:tcPr>
            <w:tcW w:w="2600" w:type="dxa"/>
            <w:vAlign w:val="bottom"/>
            <w:tcBorders>
              <w:bottom w:val="single" w:sz="8" w:color="CCE2F1"/>
            </w:tcBorders>
            <w:shd w:val="clear" w:color="auto" w:fill="CCE2F1"/>
          </w:tcPr>
          <w:p>
            <w:pPr>
              <w:jc w:val="right"/>
              <w:ind w:right="759"/>
              <w:spacing w:after="0"/>
              <w:rPr>
                <w:sz w:val="20"/>
                <w:szCs w:val="20"/>
                <w:color w:val="auto"/>
              </w:rPr>
            </w:pPr>
            <w:r>
              <w:rPr>
                <w:rFonts w:ascii="Arial" w:cs="Arial" w:eastAsia="Arial" w:hAnsi="Arial"/>
                <w:sz w:val="16"/>
                <w:szCs w:val="16"/>
                <w:color w:val="auto"/>
              </w:rPr>
              <w:t>0</w:t>
            </w:r>
          </w:p>
        </w:tc>
        <w:tc>
          <w:tcPr>
            <w:tcW w:w="2780" w:type="dxa"/>
            <w:vAlign w:val="bottom"/>
            <w:tcBorders>
              <w:bottom w:val="single" w:sz="8" w:color="CCE2F1"/>
            </w:tcBorders>
            <w:shd w:val="clear" w:color="auto" w:fill="CCE2F1"/>
          </w:tcPr>
          <w:p>
            <w:pPr>
              <w:jc w:val="right"/>
              <w:ind w:right="119"/>
              <w:spacing w:after="0"/>
              <w:rPr>
                <w:sz w:val="20"/>
                <w:szCs w:val="20"/>
                <w:color w:val="auto"/>
              </w:rPr>
            </w:pPr>
            <w:r>
              <w:rPr>
                <w:rFonts w:ascii="Arial" w:cs="Arial" w:eastAsia="Arial" w:hAnsi="Arial"/>
                <w:sz w:val="16"/>
                <w:szCs w:val="16"/>
                <w:color w:val="auto"/>
              </w:rPr>
              <w:t>0</w:t>
            </w:r>
          </w:p>
        </w:tc>
      </w:tr>
      <w:tr>
        <w:trPr>
          <w:trHeight w:val="264"/>
        </w:trPr>
        <w:tc>
          <w:tcPr>
            <w:tcW w:w="2480" w:type="dxa"/>
            <w:vAlign w:val="bottom"/>
          </w:tcPr>
          <w:p>
            <w:pPr>
              <w:ind w:left="100"/>
              <w:spacing w:after="0"/>
              <w:rPr>
                <w:sz w:val="20"/>
                <w:szCs w:val="20"/>
                <w:color w:val="auto"/>
              </w:rPr>
            </w:pPr>
            <w:r>
              <w:rPr>
                <w:rFonts w:ascii="Arial" w:cs="Arial" w:eastAsia="Arial" w:hAnsi="Arial"/>
                <w:sz w:val="16"/>
                <w:szCs w:val="16"/>
                <w:color w:val="auto"/>
              </w:rPr>
              <w:t>Michael V. Drake</w:t>
            </w:r>
          </w:p>
        </w:tc>
        <w:tc>
          <w:tcPr>
            <w:tcW w:w="2720" w:type="dxa"/>
            <w:vAlign w:val="bottom"/>
          </w:tcPr>
          <w:p>
            <w:pPr>
              <w:jc w:val="right"/>
              <w:ind w:right="579"/>
              <w:spacing w:after="0"/>
              <w:rPr>
                <w:sz w:val="20"/>
                <w:szCs w:val="20"/>
                <w:color w:val="auto"/>
              </w:rPr>
            </w:pPr>
            <w:r>
              <w:rPr>
                <w:rFonts w:ascii="Arial" w:cs="Arial" w:eastAsia="Arial" w:hAnsi="Arial"/>
                <w:sz w:val="16"/>
                <w:szCs w:val="16"/>
                <w:color w:val="auto"/>
              </w:rPr>
              <w:t>0</w:t>
            </w:r>
          </w:p>
        </w:tc>
        <w:tc>
          <w:tcPr>
            <w:tcW w:w="2600" w:type="dxa"/>
            <w:vAlign w:val="bottom"/>
          </w:tcPr>
          <w:p>
            <w:pPr>
              <w:jc w:val="right"/>
              <w:ind w:right="759"/>
              <w:spacing w:after="0"/>
              <w:rPr>
                <w:sz w:val="20"/>
                <w:szCs w:val="20"/>
                <w:color w:val="auto"/>
              </w:rPr>
            </w:pPr>
            <w:r>
              <w:rPr>
                <w:rFonts w:ascii="Arial" w:cs="Arial" w:eastAsia="Arial" w:hAnsi="Arial"/>
                <w:sz w:val="16"/>
                <w:szCs w:val="16"/>
                <w:color w:val="auto"/>
              </w:rPr>
              <w:t>0</w:t>
            </w:r>
          </w:p>
        </w:tc>
        <w:tc>
          <w:tcPr>
            <w:tcW w:w="2780" w:type="dxa"/>
            <w:vAlign w:val="bottom"/>
          </w:tcPr>
          <w:p>
            <w:pPr>
              <w:jc w:val="right"/>
              <w:ind w:right="119"/>
              <w:spacing w:after="0"/>
              <w:rPr>
                <w:sz w:val="20"/>
                <w:szCs w:val="20"/>
                <w:color w:val="auto"/>
              </w:rPr>
            </w:pPr>
            <w:r>
              <w:rPr>
                <w:rFonts w:ascii="Arial" w:cs="Arial" w:eastAsia="Arial" w:hAnsi="Arial"/>
                <w:sz w:val="16"/>
                <w:szCs w:val="16"/>
                <w:color w:val="auto"/>
              </w:rPr>
              <w:t>823</w:t>
            </w:r>
          </w:p>
        </w:tc>
      </w:tr>
      <w:tr>
        <w:trPr>
          <w:trHeight w:val="46"/>
        </w:trPr>
        <w:tc>
          <w:tcPr>
            <w:tcW w:w="24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780" w:type="dxa"/>
            <w:vAlign w:val="bottom"/>
          </w:tcPr>
          <w:p>
            <w:pPr>
              <w:spacing w:after="0"/>
              <w:rPr>
                <w:sz w:val="4"/>
                <w:szCs w:val="4"/>
                <w:color w:val="auto"/>
              </w:rPr>
            </w:pPr>
          </w:p>
        </w:tc>
      </w:tr>
      <w:tr>
        <w:trPr>
          <w:trHeight w:val="291"/>
        </w:trPr>
        <w:tc>
          <w:tcPr>
            <w:tcW w:w="248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Brian J. Druker</w:t>
            </w:r>
          </w:p>
        </w:tc>
        <w:tc>
          <w:tcPr>
            <w:tcW w:w="2720" w:type="dxa"/>
            <w:vAlign w:val="bottom"/>
            <w:tcBorders>
              <w:bottom w:val="single" w:sz="8" w:color="CCE2F1"/>
            </w:tcBorders>
            <w:shd w:val="clear" w:color="auto" w:fill="CCE2F1"/>
          </w:tcPr>
          <w:p>
            <w:pPr>
              <w:jc w:val="right"/>
              <w:ind w:right="579"/>
              <w:spacing w:after="0"/>
              <w:rPr>
                <w:sz w:val="20"/>
                <w:szCs w:val="20"/>
                <w:color w:val="auto"/>
              </w:rPr>
            </w:pPr>
            <w:r>
              <w:rPr>
                <w:rFonts w:ascii="Arial" w:cs="Arial" w:eastAsia="Arial" w:hAnsi="Arial"/>
                <w:sz w:val="16"/>
                <w:szCs w:val="16"/>
                <w:color w:val="auto"/>
              </w:rPr>
              <w:t>0</w:t>
            </w:r>
          </w:p>
        </w:tc>
        <w:tc>
          <w:tcPr>
            <w:tcW w:w="2600" w:type="dxa"/>
            <w:vAlign w:val="bottom"/>
            <w:tcBorders>
              <w:bottom w:val="single" w:sz="8" w:color="CCE2F1"/>
            </w:tcBorders>
            <w:shd w:val="clear" w:color="auto" w:fill="CCE2F1"/>
          </w:tcPr>
          <w:p>
            <w:pPr>
              <w:jc w:val="right"/>
              <w:ind w:right="759"/>
              <w:spacing w:after="0"/>
              <w:rPr>
                <w:sz w:val="20"/>
                <w:szCs w:val="20"/>
                <w:color w:val="auto"/>
              </w:rPr>
            </w:pPr>
            <w:r>
              <w:rPr>
                <w:rFonts w:ascii="Arial" w:cs="Arial" w:eastAsia="Arial" w:hAnsi="Arial"/>
                <w:sz w:val="16"/>
                <w:szCs w:val="16"/>
                <w:color w:val="auto"/>
              </w:rPr>
              <w:t>0</w:t>
            </w:r>
          </w:p>
        </w:tc>
        <w:tc>
          <w:tcPr>
            <w:tcW w:w="2780" w:type="dxa"/>
            <w:vAlign w:val="bottom"/>
            <w:tcBorders>
              <w:bottom w:val="single" w:sz="8" w:color="CCE2F1"/>
            </w:tcBorders>
            <w:shd w:val="clear" w:color="auto" w:fill="CCE2F1"/>
          </w:tcPr>
          <w:p>
            <w:pPr>
              <w:jc w:val="right"/>
              <w:ind w:right="119"/>
              <w:spacing w:after="0"/>
              <w:rPr>
                <w:sz w:val="20"/>
                <w:szCs w:val="20"/>
                <w:color w:val="auto"/>
              </w:rPr>
            </w:pPr>
            <w:r>
              <w:rPr>
                <w:rFonts w:ascii="Arial" w:cs="Arial" w:eastAsia="Arial" w:hAnsi="Arial"/>
                <w:sz w:val="16"/>
                <w:szCs w:val="16"/>
                <w:color w:val="auto"/>
              </w:rPr>
              <w:t>4,749</w:t>
            </w:r>
          </w:p>
        </w:tc>
      </w:tr>
      <w:tr>
        <w:trPr>
          <w:trHeight w:val="264"/>
        </w:trPr>
        <w:tc>
          <w:tcPr>
            <w:tcW w:w="2480" w:type="dxa"/>
            <w:vAlign w:val="bottom"/>
          </w:tcPr>
          <w:p>
            <w:pPr>
              <w:ind w:left="100"/>
              <w:spacing w:after="0"/>
              <w:rPr>
                <w:sz w:val="20"/>
                <w:szCs w:val="20"/>
                <w:color w:val="auto"/>
              </w:rPr>
            </w:pPr>
            <w:r>
              <w:rPr>
                <w:rFonts w:ascii="Arial" w:cs="Arial" w:eastAsia="Arial" w:hAnsi="Arial"/>
                <w:sz w:val="16"/>
                <w:szCs w:val="16"/>
                <w:color w:val="auto"/>
              </w:rPr>
              <w:t>Robert A. Eckert</w:t>
            </w:r>
          </w:p>
        </w:tc>
        <w:tc>
          <w:tcPr>
            <w:tcW w:w="2720" w:type="dxa"/>
            <w:vAlign w:val="bottom"/>
          </w:tcPr>
          <w:p>
            <w:pPr>
              <w:jc w:val="right"/>
              <w:ind w:right="579"/>
              <w:spacing w:after="0"/>
              <w:rPr>
                <w:sz w:val="20"/>
                <w:szCs w:val="20"/>
                <w:color w:val="auto"/>
              </w:rPr>
            </w:pPr>
            <w:r>
              <w:rPr>
                <w:rFonts w:ascii="Arial" w:cs="Arial" w:eastAsia="Arial" w:hAnsi="Arial"/>
                <w:sz w:val="16"/>
                <w:szCs w:val="16"/>
                <w:color w:val="auto"/>
              </w:rPr>
              <w:t>0</w:t>
            </w:r>
          </w:p>
        </w:tc>
        <w:tc>
          <w:tcPr>
            <w:tcW w:w="2600" w:type="dxa"/>
            <w:vAlign w:val="bottom"/>
          </w:tcPr>
          <w:p>
            <w:pPr>
              <w:jc w:val="right"/>
              <w:ind w:right="759"/>
              <w:spacing w:after="0"/>
              <w:rPr>
                <w:sz w:val="20"/>
                <w:szCs w:val="20"/>
                <w:color w:val="auto"/>
              </w:rPr>
            </w:pPr>
            <w:r>
              <w:rPr>
                <w:rFonts w:ascii="Arial" w:cs="Arial" w:eastAsia="Arial" w:hAnsi="Arial"/>
                <w:sz w:val="16"/>
                <w:szCs w:val="16"/>
                <w:color w:val="auto"/>
              </w:rPr>
              <w:t>0</w:t>
            </w:r>
          </w:p>
        </w:tc>
        <w:tc>
          <w:tcPr>
            <w:tcW w:w="2780" w:type="dxa"/>
            <w:vAlign w:val="bottom"/>
          </w:tcPr>
          <w:p>
            <w:pPr>
              <w:jc w:val="right"/>
              <w:ind w:right="119"/>
              <w:spacing w:after="0"/>
              <w:rPr>
                <w:sz w:val="20"/>
                <w:szCs w:val="20"/>
                <w:color w:val="auto"/>
              </w:rPr>
            </w:pPr>
            <w:r>
              <w:rPr>
                <w:rFonts w:ascii="Arial" w:cs="Arial" w:eastAsia="Arial" w:hAnsi="Arial"/>
                <w:sz w:val="16"/>
                <w:szCs w:val="16"/>
                <w:color w:val="auto"/>
              </w:rPr>
              <w:t>14,482</w:t>
            </w:r>
          </w:p>
        </w:tc>
      </w:tr>
      <w:tr>
        <w:trPr>
          <w:trHeight w:val="47"/>
        </w:trPr>
        <w:tc>
          <w:tcPr>
            <w:tcW w:w="24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780" w:type="dxa"/>
            <w:vAlign w:val="bottom"/>
          </w:tcPr>
          <w:p>
            <w:pPr>
              <w:spacing w:after="0"/>
              <w:rPr>
                <w:sz w:val="4"/>
                <w:szCs w:val="4"/>
                <w:color w:val="auto"/>
              </w:rPr>
            </w:pPr>
          </w:p>
        </w:tc>
      </w:tr>
      <w:tr>
        <w:trPr>
          <w:trHeight w:val="290"/>
        </w:trPr>
        <w:tc>
          <w:tcPr>
            <w:tcW w:w="248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Greg C. Garland</w:t>
            </w:r>
          </w:p>
        </w:tc>
        <w:tc>
          <w:tcPr>
            <w:tcW w:w="2720" w:type="dxa"/>
            <w:vAlign w:val="bottom"/>
            <w:tcBorders>
              <w:bottom w:val="single" w:sz="8" w:color="CCE2F1"/>
            </w:tcBorders>
            <w:shd w:val="clear" w:color="auto" w:fill="CCE2F1"/>
          </w:tcPr>
          <w:p>
            <w:pPr>
              <w:jc w:val="right"/>
              <w:ind w:right="579"/>
              <w:spacing w:after="0"/>
              <w:rPr>
                <w:sz w:val="20"/>
                <w:szCs w:val="20"/>
                <w:color w:val="auto"/>
              </w:rPr>
            </w:pPr>
            <w:r>
              <w:rPr>
                <w:rFonts w:ascii="Arial" w:cs="Arial" w:eastAsia="Arial" w:hAnsi="Arial"/>
                <w:sz w:val="16"/>
                <w:szCs w:val="16"/>
                <w:color w:val="auto"/>
              </w:rPr>
              <w:t>0</w:t>
            </w:r>
          </w:p>
        </w:tc>
        <w:tc>
          <w:tcPr>
            <w:tcW w:w="2600" w:type="dxa"/>
            <w:vAlign w:val="bottom"/>
            <w:tcBorders>
              <w:bottom w:val="single" w:sz="8" w:color="CCE2F1"/>
            </w:tcBorders>
            <w:shd w:val="clear" w:color="auto" w:fill="CCE2F1"/>
          </w:tcPr>
          <w:p>
            <w:pPr>
              <w:jc w:val="right"/>
              <w:ind w:right="759"/>
              <w:spacing w:after="0"/>
              <w:rPr>
                <w:sz w:val="20"/>
                <w:szCs w:val="20"/>
                <w:color w:val="auto"/>
              </w:rPr>
            </w:pPr>
            <w:r>
              <w:rPr>
                <w:rFonts w:ascii="Arial" w:cs="Arial" w:eastAsia="Arial" w:hAnsi="Arial"/>
                <w:sz w:val="16"/>
                <w:szCs w:val="16"/>
                <w:color w:val="auto"/>
              </w:rPr>
              <w:t>0</w:t>
            </w:r>
          </w:p>
        </w:tc>
        <w:tc>
          <w:tcPr>
            <w:tcW w:w="2780" w:type="dxa"/>
            <w:vAlign w:val="bottom"/>
            <w:tcBorders>
              <w:bottom w:val="single" w:sz="8" w:color="CCE2F1"/>
            </w:tcBorders>
            <w:shd w:val="clear" w:color="auto" w:fill="CCE2F1"/>
          </w:tcPr>
          <w:p>
            <w:pPr>
              <w:jc w:val="right"/>
              <w:ind w:right="119"/>
              <w:spacing w:after="0"/>
              <w:rPr>
                <w:sz w:val="20"/>
                <w:szCs w:val="20"/>
                <w:color w:val="auto"/>
              </w:rPr>
            </w:pPr>
            <w:r>
              <w:rPr>
                <w:rFonts w:ascii="Arial" w:cs="Arial" w:eastAsia="Arial" w:hAnsi="Arial"/>
                <w:sz w:val="16"/>
                <w:szCs w:val="16"/>
                <w:color w:val="auto"/>
              </w:rPr>
              <w:t>0</w:t>
            </w:r>
          </w:p>
        </w:tc>
      </w:tr>
      <w:tr>
        <w:trPr>
          <w:trHeight w:val="264"/>
        </w:trPr>
        <w:tc>
          <w:tcPr>
            <w:tcW w:w="2480" w:type="dxa"/>
            <w:vAlign w:val="bottom"/>
          </w:tcPr>
          <w:p>
            <w:pPr>
              <w:ind w:left="100"/>
              <w:spacing w:after="0"/>
              <w:rPr>
                <w:sz w:val="20"/>
                <w:szCs w:val="20"/>
                <w:color w:val="auto"/>
              </w:rPr>
            </w:pPr>
            <w:r>
              <w:rPr>
                <w:rFonts w:ascii="Arial" w:cs="Arial" w:eastAsia="Arial" w:hAnsi="Arial"/>
                <w:sz w:val="16"/>
                <w:szCs w:val="16"/>
                <w:color w:val="auto"/>
              </w:rPr>
              <w:t>Charles M. Holley, Jr.</w:t>
            </w:r>
          </w:p>
        </w:tc>
        <w:tc>
          <w:tcPr>
            <w:tcW w:w="2720" w:type="dxa"/>
            <w:vAlign w:val="bottom"/>
          </w:tcPr>
          <w:p>
            <w:pPr>
              <w:jc w:val="right"/>
              <w:ind w:right="579"/>
              <w:spacing w:after="0"/>
              <w:rPr>
                <w:sz w:val="20"/>
                <w:szCs w:val="20"/>
                <w:color w:val="auto"/>
              </w:rPr>
            </w:pPr>
            <w:r>
              <w:rPr>
                <w:rFonts w:ascii="Arial" w:cs="Arial" w:eastAsia="Arial" w:hAnsi="Arial"/>
                <w:sz w:val="16"/>
                <w:szCs w:val="16"/>
                <w:color w:val="auto"/>
              </w:rPr>
              <w:t>0</w:t>
            </w:r>
          </w:p>
        </w:tc>
        <w:tc>
          <w:tcPr>
            <w:tcW w:w="2600" w:type="dxa"/>
            <w:vAlign w:val="bottom"/>
          </w:tcPr>
          <w:p>
            <w:pPr>
              <w:jc w:val="right"/>
              <w:ind w:right="759"/>
              <w:spacing w:after="0"/>
              <w:rPr>
                <w:sz w:val="20"/>
                <w:szCs w:val="20"/>
                <w:color w:val="auto"/>
              </w:rPr>
            </w:pPr>
            <w:r>
              <w:rPr>
                <w:rFonts w:ascii="Arial" w:cs="Arial" w:eastAsia="Arial" w:hAnsi="Arial"/>
                <w:sz w:val="16"/>
                <w:szCs w:val="16"/>
                <w:color w:val="auto"/>
              </w:rPr>
              <w:t>0</w:t>
            </w:r>
          </w:p>
        </w:tc>
        <w:tc>
          <w:tcPr>
            <w:tcW w:w="2780" w:type="dxa"/>
            <w:vAlign w:val="bottom"/>
          </w:tcPr>
          <w:p>
            <w:pPr>
              <w:jc w:val="right"/>
              <w:ind w:right="119"/>
              <w:spacing w:after="0"/>
              <w:rPr>
                <w:sz w:val="20"/>
                <w:szCs w:val="20"/>
                <w:color w:val="auto"/>
              </w:rPr>
            </w:pPr>
            <w:r>
              <w:rPr>
                <w:rFonts w:ascii="Arial" w:cs="Arial" w:eastAsia="Arial" w:hAnsi="Arial"/>
                <w:sz w:val="16"/>
                <w:szCs w:val="16"/>
                <w:color w:val="auto"/>
              </w:rPr>
              <w:t>6,870</w:t>
            </w:r>
          </w:p>
        </w:tc>
      </w:tr>
      <w:tr>
        <w:trPr>
          <w:trHeight w:val="47"/>
        </w:trPr>
        <w:tc>
          <w:tcPr>
            <w:tcW w:w="24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780" w:type="dxa"/>
            <w:vAlign w:val="bottom"/>
          </w:tcPr>
          <w:p>
            <w:pPr>
              <w:spacing w:after="0"/>
              <w:rPr>
                <w:sz w:val="4"/>
                <w:szCs w:val="4"/>
                <w:color w:val="auto"/>
              </w:rPr>
            </w:pPr>
          </w:p>
        </w:tc>
      </w:tr>
      <w:tr>
        <w:trPr>
          <w:trHeight w:val="290"/>
        </w:trPr>
        <w:tc>
          <w:tcPr>
            <w:tcW w:w="248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S. Omar Ishrak</w:t>
            </w:r>
          </w:p>
        </w:tc>
        <w:tc>
          <w:tcPr>
            <w:tcW w:w="2720" w:type="dxa"/>
            <w:vAlign w:val="bottom"/>
            <w:tcBorders>
              <w:bottom w:val="single" w:sz="8" w:color="CCE2F1"/>
            </w:tcBorders>
            <w:shd w:val="clear" w:color="auto" w:fill="CCE2F1"/>
          </w:tcPr>
          <w:p>
            <w:pPr>
              <w:jc w:val="right"/>
              <w:ind w:right="579"/>
              <w:spacing w:after="0"/>
              <w:rPr>
                <w:sz w:val="20"/>
                <w:szCs w:val="20"/>
                <w:color w:val="auto"/>
              </w:rPr>
            </w:pPr>
            <w:r>
              <w:rPr>
                <w:rFonts w:ascii="Arial" w:cs="Arial" w:eastAsia="Arial" w:hAnsi="Arial"/>
                <w:sz w:val="16"/>
                <w:szCs w:val="16"/>
                <w:color w:val="auto"/>
              </w:rPr>
              <w:t>0</w:t>
            </w:r>
          </w:p>
        </w:tc>
        <w:tc>
          <w:tcPr>
            <w:tcW w:w="2600" w:type="dxa"/>
            <w:vAlign w:val="bottom"/>
            <w:tcBorders>
              <w:bottom w:val="single" w:sz="8" w:color="CCE2F1"/>
            </w:tcBorders>
            <w:shd w:val="clear" w:color="auto" w:fill="CCE2F1"/>
          </w:tcPr>
          <w:p>
            <w:pPr>
              <w:jc w:val="right"/>
              <w:ind w:right="759"/>
              <w:spacing w:after="0"/>
              <w:rPr>
                <w:sz w:val="20"/>
                <w:szCs w:val="20"/>
                <w:color w:val="auto"/>
              </w:rPr>
            </w:pPr>
            <w:r>
              <w:rPr>
                <w:rFonts w:ascii="Arial" w:cs="Arial" w:eastAsia="Arial" w:hAnsi="Arial"/>
                <w:sz w:val="16"/>
                <w:szCs w:val="16"/>
                <w:color w:val="auto"/>
              </w:rPr>
              <w:t>0</w:t>
            </w:r>
          </w:p>
        </w:tc>
        <w:tc>
          <w:tcPr>
            <w:tcW w:w="2780" w:type="dxa"/>
            <w:vAlign w:val="bottom"/>
            <w:tcBorders>
              <w:bottom w:val="single" w:sz="8" w:color="CCE2F1"/>
            </w:tcBorders>
            <w:shd w:val="clear" w:color="auto" w:fill="CCE2F1"/>
          </w:tcPr>
          <w:p>
            <w:pPr>
              <w:jc w:val="right"/>
              <w:ind w:right="119"/>
              <w:spacing w:after="0"/>
              <w:rPr>
                <w:sz w:val="20"/>
                <w:szCs w:val="20"/>
                <w:color w:val="auto"/>
              </w:rPr>
            </w:pPr>
            <w:r>
              <w:rPr>
                <w:rFonts w:ascii="Arial" w:cs="Arial" w:eastAsia="Arial" w:hAnsi="Arial"/>
                <w:sz w:val="16"/>
                <w:szCs w:val="16"/>
                <w:color w:val="auto"/>
              </w:rPr>
              <w:t>1,389</w:t>
            </w:r>
          </w:p>
        </w:tc>
      </w:tr>
      <w:tr>
        <w:trPr>
          <w:trHeight w:val="264"/>
        </w:trPr>
        <w:tc>
          <w:tcPr>
            <w:tcW w:w="2480" w:type="dxa"/>
            <w:vAlign w:val="bottom"/>
          </w:tcPr>
          <w:p>
            <w:pPr>
              <w:ind w:left="80"/>
              <w:spacing w:after="0"/>
              <w:rPr>
                <w:sz w:val="20"/>
                <w:szCs w:val="20"/>
                <w:color w:val="auto"/>
              </w:rPr>
            </w:pPr>
            <w:r>
              <w:rPr>
                <w:rFonts w:ascii="Arial" w:cs="Arial" w:eastAsia="Arial" w:hAnsi="Arial"/>
                <w:sz w:val="16"/>
                <w:szCs w:val="16"/>
                <w:color w:val="auto"/>
              </w:rPr>
              <w:t>Tyler Jacks</w:t>
            </w:r>
          </w:p>
        </w:tc>
        <w:tc>
          <w:tcPr>
            <w:tcW w:w="2720" w:type="dxa"/>
            <w:vAlign w:val="bottom"/>
          </w:tcPr>
          <w:p>
            <w:pPr>
              <w:jc w:val="right"/>
              <w:ind w:right="579"/>
              <w:spacing w:after="0"/>
              <w:rPr>
                <w:sz w:val="20"/>
                <w:szCs w:val="20"/>
                <w:color w:val="auto"/>
              </w:rPr>
            </w:pPr>
            <w:r>
              <w:rPr>
                <w:rFonts w:ascii="Arial" w:cs="Arial" w:eastAsia="Arial" w:hAnsi="Arial"/>
                <w:sz w:val="16"/>
                <w:szCs w:val="16"/>
                <w:color w:val="auto"/>
              </w:rPr>
              <w:t>0</w:t>
            </w:r>
          </w:p>
        </w:tc>
        <w:tc>
          <w:tcPr>
            <w:tcW w:w="2600" w:type="dxa"/>
            <w:vAlign w:val="bottom"/>
          </w:tcPr>
          <w:p>
            <w:pPr>
              <w:jc w:val="right"/>
              <w:ind w:right="759"/>
              <w:spacing w:after="0"/>
              <w:rPr>
                <w:sz w:val="20"/>
                <w:szCs w:val="20"/>
                <w:color w:val="auto"/>
              </w:rPr>
            </w:pPr>
            <w:r>
              <w:rPr>
                <w:rFonts w:ascii="Arial" w:cs="Arial" w:eastAsia="Arial" w:hAnsi="Arial"/>
                <w:sz w:val="16"/>
                <w:szCs w:val="16"/>
                <w:color w:val="auto"/>
              </w:rPr>
              <w:t>0</w:t>
            </w:r>
          </w:p>
        </w:tc>
        <w:tc>
          <w:tcPr>
            <w:tcW w:w="2780" w:type="dxa"/>
            <w:vAlign w:val="bottom"/>
          </w:tcPr>
          <w:p>
            <w:pPr>
              <w:jc w:val="right"/>
              <w:ind w:right="119"/>
              <w:spacing w:after="0"/>
              <w:rPr>
                <w:sz w:val="20"/>
                <w:szCs w:val="20"/>
                <w:color w:val="auto"/>
              </w:rPr>
            </w:pPr>
            <w:r>
              <w:rPr>
                <w:rFonts w:ascii="Arial" w:cs="Arial" w:eastAsia="Arial" w:hAnsi="Arial"/>
                <w:sz w:val="16"/>
                <w:szCs w:val="16"/>
                <w:color w:val="auto"/>
              </w:rPr>
              <w:t>11,202</w:t>
            </w:r>
          </w:p>
        </w:tc>
      </w:tr>
      <w:tr>
        <w:trPr>
          <w:trHeight w:val="47"/>
        </w:trPr>
        <w:tc>
          <w:tcPr>
            <w:tcW w:w="24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780" w:type="dxa"/>
            <w:vAlign w:val="bottom"/>
          </w:tcPr>
          <w:p>
            <w:pPr>
              <w:spacing w:after="0"/>
              <w:rPr>
                <w:sz w:val="4"/>
                <w:szCs w:val="4"/>
                <w:color w:val="auto"/>
              </w:rPr>
            </w:pPr>
          </w:p>
        </w:tc>
      </w:tr>
      <w:tr>
        <w:trPr>
          <w:trHeight w:val="290"/>
        </w:trPr>
        <w:tc>
          <w:tcPr>
            <w:tcW w:w="248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Ellen J. Kullman</w:t>
            </w:r>
          </w:p>
        </w:tc>
        <w:tc>
          <w:tcPr>
            <w:tcW w:w="2720" w:type="dxa"/>
            <w:vAlign w:val="bottom"/>
            <w:tcBorders>
              <w:bottom w:val="single" w:sz="8" w:color="CCE2F1"/>
            </w:tcBorders>
            <w:shd w:val="clear" w:color="auto" w:fill="CCE2F1"/>
          </w:tcPr>
          <w:p>
            <w:pPr>
              <w:jc w:val="right"/>
              <w:ind w:right="579"/>
              <w:spacing w:after="0"/>
              <w:rPr>
                <w:sz w:val="20"/>
                <w:szCs w:val="20"/>
                <w:color w:val="auto"/>
              </w:rPr>
            </w:pPr>
            <w:r>
              <w:rPr>
                <w:rFonts w:ascii="Arial" w:cs="Arial" w:eastAsia="Arial" w:hAnsi="Arial"/>
                <w:sz w:val="16"/>
                <w:szCs w:val="16"/>
                <w:color w:val="auto"/>
              </w:rPr>
              <w:t>0</w:t>
            </w:r>
          </w:p>
        </w:tc>
        <w:tc>
          <w:tcPr>
            <w:tcW w:w="2600" w:type="dxa"/>
            <w:vAlign w:val="bottom"/>
            <w:tcBorders>
              <w:bottom w:val="single" w:sz="8" w:color="CCE2F1"/>
            </w:tcBorders>
            <w:shd w:val="clear" w:color="auto" w:fill="CCE2F1"/>
          </w:tcPr>
          <w:p>
            <w:pPr>
              <w:jc w:val="right"/>
              <w:ind w:right="759"/>
              <w:spacing w:after="0"/>
              <w:rPr>
                <w:sz w:val="20"/>
                <w:szCs w:val="20"/>
                <w:color w:val="auto"/>
              </w:rPr>
            </w:pPr>
            <w:r>
              <w:rPr>
                <w:rFonts w:ascii="Arial" w:cs="Arial" w:eastAsia="Arial" w:hAnsi="Arial"/>
                <w:sz w:val="16"/>
                <w:szCs w:val="16"/>
                <w:color w:val="auto"/>
              </w:rPr>
              <w:t>0</w:t>
            </w:r>
          </w:p>
        </w:tc>
        <w:tc>
          <w:tcPr>
            <w:tcW w:w="2780" w:type="dxa"/>
            <w:vAlign w:val="bottom"/>
            <w:tcBorders>
              <w:bottom w:val="single" w:sz="8" w:color="CCE2F1"/>
            </w:tcBorders>
            <w:shd w:val="clear" w:color="auto" w:fill="CCE2F1"/>
          </w:tcPr>
          <w:p>
            <w:pPr>
              <w:jc w:val="right"/>
              <w:ind w:right="119"/>
              <w:spacing w:after="0"/>
              <w:rPr>
                <w:sz w:val="20"/>
                <w:szCs w:val="20"/>
                <w:color w:val="auto"/>
              </w:rPr>
            </w:pPr>
            <w:r>
              <w:rPr>
                <w:rFonts w:ascii="Arial" w:cs="Arial" w:eastAsia="Arial" w:hAnsi="Arial"/>
                <w:sz w:val="16"/>
                <w:szCs w:val="16"/>
                <w:color w:val="auto"/>
              </w:rPr>
              <w:t>9,860</w:t>
            </w:r>
          </w:p>
        </w:tc>
      </w:tr>
      <w:tr>
        <w:trPr>
          <w:trHeight w:val="264"/>
        </w:trPr>
        <w:tc>
          <w:tcPr>
            <w:tcW w:w="2480" w:type="dxa"/>
            <w:vAlign w:val="bottom"/>
          </w:tcPr>
          <w:p>
            <w:pPr>
              <w:ind w:left="80"/>
              <w:spacing w:after="0"/>
              <w:rPr>
                <w:sz w:val="20"/>
                <w:szCs w:val="20"/>
                <w:color w:val="auto"/>
              </w:rPr>
            </w:pPr>
            <w:r>
              <w:rPr>
                <w:rFonts w:ascii="Arial" w:cs="Arial" w:eastAsia="Arial" w:hAnsi="Arial"/>
                <w:sz w:val="16"/>
                <w:szCs w:val="16"/>
                <w:color w:val="auto"/>
              </w:rPr>
              <w:t>Amy E. Miles</w:t>
            </w:r>
          </w:p>
        </w:tc>
        <w:tc>
          <w:tcPr>
            <w:tcW w:w="2720" w:type="dxa"/>
            <w:vAlign w:val="bottom"/>
          </w:tcPr>
          <w:p>
            <w:pPr>
              <w:jc w:val="right"/>
              <w:ind w:right="579"/>
              <w:spacing w:after="0"/>
              <w:rPr>
                <w:sz w:val="20"/>
                <w:szCs w:val="20"/>
                <w:color w:val="auto"/>
              </w:rPr>
            </w:pPr>
            <w:r>
              <w:rPr>
                <w:rFonts w:ascii="Arial" w:cs="Arial" w:eastAsia="Arial" w:hAnsi="Arial"/>
                <w:sz w:val="16"/>
                <w:szCs w:val="16"/>
                <w:color w:val="auto"/>
              </w:rPr>
              <w:t>0</w:t>
            </w:r>
          </w:p>
        </w:tc>
        <w:tc>
          <w:tcPr>
            <w:tcW w:w="2600" w:type="dxa"/>
            <w:vAlign w:val="bottom"/>
          </w:tcPr>
          <w:p>
            <w:pPr>
              <w:jc w:val="right"/>
              <w:ind w:right="759"/>
              <w:spacing w:after="0"/>
              <w:rPr>
                <w:sz w:val="20"/>
                <w:szCs w:val="20"/>
                <w:color w:val="auto"/>
              </w:rPr>
            </w:pPr>
            <w:r>
              <w:rPr>
                <w:rFonts w:ascii="Arial" w:cs="Arial" w:eastAsia="Arial" w:hAnsi="Arial"/>
                <w:sz w:val="16"/>
                <w:szCs w:val="16"/>
                <w:color w:val="auto"/>
              </w:rPr>
              <w:t>0</w:t>
            </w:r>
          </w:p>
        </w:tc>
        <w:tc>
          <w:tcPr>
            <w:tcW w:w="2780" w:type="dxa"/>
            <w:vAlign w:val="bottom"/>
          </w:tcPr>
          <w:p>
            <w:pPr>
              <w:jc w:val="right"/>
              <w:ind w:right="119"/>
              <w:spacing w:after="0"/>
              <w:rPr>
                <w:sz w:val="20"/>
                <w:szCs w:val="20"/>
                <w:color w:val="auto"/>
              </w:rPr>
            </w:pPr>
            <w:r>
              <w:rPr>
                <w:rFonts w:ascii="Arial" w:cs="Arial" w:eastAsia="Arial" w:hAnsi="Arial"/>
                <w:sz w:val="16"/>
                <w:szCs w:val="16"/>
                <w:color w:val="auto"/>
              </w:rPr>
              <w:t>1,768</w:t>
            </w:r>
          </w:p>
        </w:tc>
      </w:tr>
      <w:tr>
        <w:trPr>
          <w:trHeight w:val="46"/>
        </w:trPr>
        <w:tc>
          <w:tcPr>
            <w:tcW w:w="24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780" w:type="dxa"/>
            <w:vAlign w:val="bottom"/>
          </w:tcPr>
          <w:p>
            <w:pPr>
              <w:spacing w:after="0"/>
              <w:rPr>
                <w:sz w:val="4"/>
                <w:szCs w:val="4"/>
                <w:color w:val="auto"/>
              </w:rPr>
            </w:pPr>
          </w:p>
        </w:tc>
      </w:tr>
      <w:tr>
        <w:trPr>
          <w:trHeight w:val="291"/>
        </w:trPr>
        <w:tc>
          <w:tcPr>
            <w:tcW w:w="248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Ronald D. Sugar</w:t>
            </w:r>
          </w:p>
        </w:tc>
        <w:tc>
          <w:tcPr>
            <w:tcW w:w="2720" w:type="dxa"/>
            <w:vAlign w:val="bottom"/>
            <w:tcBorders>
              <w:bottom w:val="single" w:sz="8" w:color="CCE2F1"/>
            </w:tcBorders>
            <w:shd w:val="clear" w:color="auto" w:fill="CCE2F1"/>
          </w:tcPr>
          <w:p>
            <w:pPr>
              <w:jc w:val="right"/>
              <w:ind w:right="579"/>
              <w:spacing w:after="0"/>
              <w:rPr>
                <w:sz w:val="20"/>
                <w:szCs w:val="20"/>
                <w:color w:val="auto"/>
              </w:rPr>
            </w:pPr>
            <w:r>
              <w:rPr>
                <w:rFonts w:ascii="Arial" w:cs="Arial" w:eastAsia="Arial" w:hAnsi="Arial"/>
                <w:sz w:val="16"/>
                <w:szCs w:val="16"/>
                <w:color w:val="auto"/>
              </w:rPr>
              <w:t>0</w:t>
            </w:r>
          </w:p>
        </w:tc>
        <w:tc>
          <w:tcPr>
            <w:tcW w:w="2600" w:type="dxa"/>
            <w:vAlign w:val="bottom"/>
            <w:tcBorders>
              <w:bottom w:val="single" w:sz="8" w:color="CCE2F1"/>
            </w:tcBorders>
            <w:shd w:val="clear" w:color="auto" w:fill="CCE2F1"/>
          </w:tcPr>
          <w:p>
            <w:pPr>
              <w:jc w:val="right"/>
              <w:ind w:right="759"/>
              <w:spacing w:after="0"/>
              <w:rPr>
                <w:sz w:val="20"/>
                <w:szCs w:val="20"/>
                <w:color w:val="auto"/>
              </w:rPr>
            </w:pPr>
            <w:r>
              <w:rPr>
                <w:rFonts w:ascii="Arial" w:cs="Arial" w:eastAsia="Arial" w:hAnsi="Arial"/>
                <w:sz w:val="16"/>
                <w:szCs w:val="16"/>
                <w:color w:val="auto"/>
              </w:rPr>
              <w:t>0</w:t>
            </w:r>
          </w:p>
        </w:tc>
        <w:tc>
          <w:tcPr>
            <w:tcW w:w="2780" w:type="dxa"/>
            <w:vAlign w:val="bottom"/>
            <w:tcBorders>
              <w:bottom w:val="single" w:sz="8" w:color="CCE2F1"/>
            </w:tcBorders>
            <w:shd w:val="clear" w:color="auto" w:fill="CCE2F1"/>
          </w:tcPr>
          <w:p>
            <w:pPr>
              <w:jc w:val="right"/>
              <w:ind w:right="119"/>
              <w:spacing w:after="0"/>
              <w:rPr>
                <w:sz w:val="20"/>
                <w:szCs w:val="20"/>
                <w:color w:val="auto"/>
              </w:rPr>
            </w:pPr>
            <w:r>
              <w:rPr>
                <w:rFonts w:ascii="Arial" w:cs="Arial" w:eastAsia="Arial" w:hAnsi="Arial"/>
                <w:sz w:val="16"/>
                <w:szCs w:val="16"/>
                <w:color w:val="auto"/>
              </w:rPr>
              <w:t>18,743</w:t>
            </w:r>
          </w:p>
        </w:tc>
      </w:tr>
      <w:tr>
        <w:trPr>
          <w:trHeight w:val="264"/>
        </w:trPr>
        <w:tc>
          <w:tcPr>
            <w:tcW w:w="2480" w:type="dxa"/>
            <w:vAlign w:val="bottom"/>
          </w:tcPr>
          <w:p>
            <w:pPr>
              <w:ind w:left="100"/>
              <w:spacing w:after="0"/>
              <w:rPr>
                <w:sz w:val="20"/>
                <w:szCs w:val="20"/>
                <w:color w:val="auto"/>
              </w:rPr>
            </w:pPr>
            <w:r>
              <w:rPr>
                <w:rFonts w:ascii="Arial" w:cs="Arial" w:eastAsia="Arial" w:hAnsi="Arial"/>
                <w:sz w:val="16"/>
                <w:szCs w:val="16"/>
                <w:color w:val="auto"/>
              </w:rPr>
              <w:t>R. Sanders Williams</w:t>
            </w:r>
          </w:p>
        </w:tc>
        <w:tc>
          <w:tcPr>
            <w:tcW w:w="2720" w:type="dxa"/>
            <w:vAlign w:val="bottom"/>
          </w:tcPr>
          <w:p>
            <w:pPr>
              <w:jc w:val="right"/>
              <w:ind w:right="579"/>
              <w:spacing w:after="0"/>
              <w:rPr>
                <w:sz w:val="20"/>
                <w:szCs w:val="20"/>
                <w:color w:val="auto"/>
              </w:rPr>
            </w:pPr>
            <w:r>
              <w:rPr>
                <w:rFonts w:ascii="Arial" w:cs="Arial" w:eastAsia="Arial" w:hAnsi="Arial"/>
                <w:sz w:val="16"/>
                <w:szCs w:val="16"/>
                <w:color w:val="auto"/>
              </w:rPr>
              <w:t>0</w:t>
            </w:r>
          </w:p>
        </w:tc>
        <w:tc>
          <w:tcPr>
            <w:tcW w:w="2600" w:type="dxa"/>
            <w:vAlign w:val="bottom"/>
          </w:tcPr>
          <w:p>
            <w:pPr>
              <w:jc w:val="right"/>
              <w:ind w:right="759"/>
              <w:spacing w:after="0"/>
              <w:rPr>
                <w:sz w:val="20"/>
                <w:szCs w:val="20"/>
                <w:color w:val="auto"/>
              </w:rPr>
            </w:pPr>
            <w:r>
              <w:rPr>
                <w:rFonts w:ascii="Arial" w:cs="Arial" w:eastAsia="Arial" w:hAnsi="Arial"/>
                <w:sz w:val="16"/>
                <w:szCs w:val="16"/>
                <w:color w:val="auto"/>
              </w:rPr>
              <w:t>0</w:t>
            </w:r>
          </w:p>
        </w:tc>
        <w:tc>
          <w:tcPr>
            <w:tcW w:w="2780" w:type="dxa"/>
            <w:vAlign w:val="bottom"/>
          </w:tcPr>
          <w:p>
            <w:pPr>
              <w:jc w:val="right"/>
              <w:ind w:right="119"/>
              <w:spacing w:after="0"/>
              <w:rPr>
                <w:sz w:val="20"/>
                <w:szCs w:val="20"/>
                <w:color w:val="auto"/>
              </w:rPr>
            </w:pPr>
            <w:r>
              <w:rPr>
                <w:rFonts w:ascii="Arial" w:cs="Arial" w:eastAsia="Arial" w:hAnsi="Arial"/>
                <w:sz w:val="16"/>
                <w:szCs w:val="16"/>
                <w:color w:val="auto"/>
              </w:rPr>
              <w:t>0</w:t>
            </w:r>
          </w:p>
        </w:tc>
      </w:tr>
      <w:tr>
        <w:trPr>
          <w:trHeight w:val="46"/>
        </w:trPr>
        <w:tc>
          <w:tcPr>
            <w:tcW w:w="24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780" w:type="dxa"/>
            <w:vAlign w:val="bottom"/>
          </w:tcPr>
          <w:p>
            <w:pPr>
              <w:spacing w:after="0"/>
              <w:rPr>
                <w:sz w:val="4"/>
                <w:szCs w:val="4"/>
                <w:color w:val="auto"/>
              </w:rPr>
            </w:pPr>
          </w:p>
        </w:tc>
      </w:tr>
      <w:tr>
        <w:trPr>
          <w:trHeight w:val="290"/>
        </w:trPr>
        <w:tc>
          <w:tcPr>
            <w:tcW w:w="248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Robert A. Bradway</w:t>
            </w:r>
          </w:p>
        </w:tc>
        <w:tc>
          <w:tcPr>
            <w:tcW w:w="2720" w:type="dxa"/>
            <w:vAlign w:val="bottom"/>
            <w:tcBorders>
              <w:bottom w:val="single" w:sz="8" w:color="CCE2F1"/>
            </w:tcBorders>
            <w:shd w:val="clear" w:color="auto" w:fill="CCE2F1"/>
          </w:tcPr>
          <w:p>
            <w:pPr>
              <w:jc w:val="right"/>
              <w:ind w:right="579"/>
              <w:spacing w:after="0"/>
              <w:rPr>
                <w:sz w:val="20"/>
                <w:szCs w:val="20"/>
                <w:color w:val="auto"/>
              </w:rPr>
            </w:pPr>
            <w:r>
              <w:rPr>
                <w:rFonts w:ascii="Arial" w:cs="Arial" w:eastAsia="Arial" w:hAnsi="Arial"/>
                <w:sz w:val="16"/>
                <w:szCs w:val="16"/>
                <w:color w:val="auto"/>
              </w:rPr>
              <w:t>15,137</w:t>
            </w:r>
          </w:p>
        </w:tc>
        <w:tc>
          <w:tcPr>
            <w:tcW w:w="2600" w:type="dxa"/>
            <w:vAlign w:val="bottom"/>
            <w:tcBorders>
              <w:bottom w:val="single" w:sz="8" w:color="CCE2F1"/>
            </w:tcBorders>
            <w:shd w:val="clear" w:color="auto" w:fill="CCE2F1"/>
          </w:tcPr>
          <w:p>
            <w:pPr>
              <w:jc w:val="right"/>
              <w:ind w:right="759"/>
              <w:spacing w:after="0"/>
              <w:rPr>
                <w:sz w:val="20"/>
                <w:szCs w:val="20"/>
                <w:color w:val="auto"/>
              </w:rPr>
            </w:pPr>
            <w:r>
              <w:rPr>
                <w:rFonts w:ascii="Arial" w:cs="Arial" w:eastAsia="Arial" w:hAnsi="Arial"/>
                <w:sz w:val="16"/>
                <w:szCs w:val="16"/>
                <w:color w:val="auto"/>
              </w:rPr>
              <w:t>602,175</w:t>
            </w:r>
          </w:p>
        </w:tc>
        <w:tc>
          <w:tcPr>
            <w:tcW w:w="2780" w:type="dxa"/>
            <w:vAlign w:val="bottom"/>
            <w:tcBorders>
              <w:bottom w:val="single" w:sz="8" w:color="CCE2F1"/>
            </w:tcBorders>
            <w:shd w:val="clear" w:color="auto" w:fill="CCE2F1"/>
          </w:tcPr>
          <w:p>
            <w:pPr>
              <w:jc w:val="right"/>
              <w:ind w:right="119"/>
              <w:spacing w:after="0"/>
              <w:rPr>
                <w:sz w:val="20"/>
                <w:szCs w:val="20"/>
                <w:color w:val="auto"/>
              </w:rPr>
            </w:pPr>
            <w:r>
              <w:rPr>
                <w:rFonts w:ascii="Arial" w:cs="Arial" w:eastAsia="Arial" w:hAnsi="Arial"/>
                <w:sz w:val="16"/>
                <w:szCs w:val="16"/>
                <w:color w:val="auto"/>
              </w:rPr>
              <w:t>0</w:t>
            </w:r>
          </w:p>
        </w:tc>
      </w:tr>
      <w:tr>
        <w:trPr>
          <w:trHeight w:val="264"/>
        </w:trPr>
        <w:tc>
          <w:tcPr>
            <w:tcW w:w="2480" w:type="dxa"/>
            <w:vAlign w:val="bottom"/>
          </w:tcPr>
          <w:p>
            <w:pPr>
              <w:ind w:left="100"/>
              <w:spacing w:after="0"/>
              <w:rPr>
                <w:sz w:val="20"/>
                <w:szCs w:val="20"/>
                <w:color w:val="auto"/>
              </w:rPr>
            </w:pPr>
            <w:r>
              <w:rPr>
                <w:rFonts w:ascii="Arial" w:cs="Arial" w:eastAsia="Arial" w:hAnsi="Arial"/>
                <w:sz w:val="16"/>
                <w:szCs w:val="16"/>
                <w:color w:val="auto"/>
              </w:rPr>
              <w:t>Murdo Gordon</w:t>
            </w:r>
          </w:p>
        </w:tc>
        <w:tc>
          <w:tcPr>
            <w:tcW w:w="2720" w:type="dxa"/>
            <w:vAlign w:val="bottom"/>
          </w:tcPr>
          <w:p>
            <w:pPr>
              <w:jc w:val="right"/>
              <w:ind w:right="579"/>
              <w:spacing w:after="0"/>
              <w:rPr>
                <w:sz w:val="20"/>
                <w:szCs w:val="20"/>
                <w:color w:val="auto"/>
              </w:rPr>
            </w:pPr>
            <w:r>
              <w:rPr>
                <w:rFonts w:ascii="Arial" w:cs="Arial" w:eastAsia="Arial" w:hAnsi="Arial"/>
                <w:sz w:val="16"/>
                <w:szCs w:val="16"/>
                <w:color w:val="auto"/>
              </w:rPr>
              <w:t>4,452</w:t>
            </w:r>
          </w:p>
        </w:tc>
        <w:tc>
          <w:tcPr>
            <w:tcW w:w="2600" w:type="dxa"/>
            <w:vAlign w:val="bottom"/>
          </w:tcPr>
          <w:p>
            <w:pPr>
              <w:jc w:val="right"/>
              <w:ind w:right="759"/>
              <w:spacing w:after="0"/>
              <w:rPr>
                <w:sz w:val="20"/>
                <w:szCs w:val="20"/>
                <w:color w:val="auto"/>
              </w:rPr>
            </w:pPr>
            <w:r>
              <w:rPr>
                <w:rFonts w:ascii="Arial" w:cs="Arial" w:eastAsia="Arial" w:hAnsi="Arial"/>
                <w:sz w:val="16"/>
                <w:szCs w:val="16"/>
                <w:color w:val="auto"/>
              </w:rPr>
              <w:t>70,511</w:t>
            </w:r>
          </w:p>
        </w:tc>
        <w:tc>
          <w:tcPr>
            <w:tcW w:w="2780" w:type="dxa"/>
            <w:vAlign w:val="bottom"/>
          </w:tcPr>
          <w:p>
            <w:pPr>
              <w:jc w:val="right"/>
              <w:ind w:right="119"/>
              <w:spacing w:after="0"/>
              <w:rPr>
                <w:sz w:val="20"/>
                <w:szCs w:val="20"/>
                <w:color w:val="auto"/>
              </w:rPr>
            </w:pPr>
            <w:r>
              <w:rPr>
                <w:rFonts w:ascii="Arial" w:cs="Arial" w:eastAsia="Arial" w:hAnsi="Arial"/>
                <w:sz w:val="16"/>
                <w:szCs w:val="16"/>
                <w:color w:val="auto"/>
              </w:rPr>
              <w:t>0</w:t>
            </w:r>
          </w:p>
        </w:tc>
      </w:tr>
      <w:tr>
        <w:trPr>
          <w:trHeight w:val="47"/>
        </w:trPr>
        <w:tc>
          <w:tcPr>
            <w:tcW w:w="24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780" w:type="dxa"/>
            <w:vAlign w:val="bottom"/>
          </w:tcPr>
          <w:p>
            <w:pPr>
              <w:spacing w:after="0"/>
              <w:rPr>
                <w:sz w:val="4"/>
                <w:szCs w:val="4"/>
                <w:color w:val="auto"/>
              </w:rPr>
            </w:pPr>
          </w:p>
        </w:tc>
      </w:tr>
      <w:tr>
        <w:trPr>
          <w:trHeight w:val="290"/>
        </w:trPr>
        <w:tc>
          <w:tcPr>
            <w:tcW w:w="248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David M. Reese</w:t>
            </w:r>
          </w:p>
        </w:tc>
        <w:tc>
          <w:tcPr>
            <w:tcW w:w="2720" w:type="dxa"/>
            <w:vAlign w:val="bottom"/>
            <w:tcBorders>
              <w:bottom w:val="single" w:sz="8" w:color="CCE2F1"/>
            </w:tcBorders>
            <w:shd w:val="clear" w:color="auto" w:fill="CCE2F1"/>
          </w:tcPr>
          <w:p>
            <w:pPr>
              <w:jc w:val="right"/>
              <w:ind w:right="579"/>
              <w:spacing w:after="0"/>
              <w:rPr>
                <w:sz w:val="20"/>
                <w:szCs w:val="20"/>
                <w:color w:val="auto"/>
              </w:rPr>
            </w:pPr>
            <w:r>
              <w:rPr>
                <w:rFonts w:ascii="Arial" w:cs="Arial" w:eastAsia="Arial" w:hAnsi="Arial"/>
                <w:sz w:val="16"/>
                <w:szCs w:val="16"/>
                <w:color w:val="auto"/>
              </w:rPr>
              <w:t>4,393</w:t>
            </w:r>
          </w:p>
        </w:tc>
        <w:tc>
          <w:tcPr>
            <w:tcW w:w="2600" w:type="dxa"/>
            <w:vAlign w:val="bottom"/>
            <w:tcBorders>
              <w:bottom w:val="single" w:sz="8" w:color="CCE2F1"/>
            </w:tcBorders>
            <w:shd w:val="clear" w:color="auto" w:fill="CCE2F1"/>
          </w:tcPr>
          <w:p>
            <w:pPr>
              <w:jc w:val="right"/>
              <w:ind w:right="759"/>
              <w:spacing w:after="0"/>
              <w:rPr>
                <w:sz w:val="20"/>
                <w:szCs w:val="20"/>
                <w:color w:val="auto"/>
              </w:rPr>
            </w:pPr>
            <w:r>
              <w:rPr>
                <w:rFonts w:ascii="Arial" w:cs="Arial" w:eastAsia="Arial" w:hAnsi="Arial"/>
                <w:sz w:val="16"/>
                <w:szCs w:val="16"/>
                <w:color w:val="auto"/>
              </w:rPr>
              <w:t>95,265</w:t>
            </w:r>
          </w:p>
        </w:tc>
        <w:tc>
          <w:tcPr>
            <w:tcW w:w="2780" w:type="dxa"/>
            <w:vAlign w:val="bottom"/>
            <w:tcBorders>
              <w:bottom w:val="single" w:sz="8" w:color="CCE2F1"/>
            </w:tcBorders>
            <w:shd w:val="clear" w:color="auto" w:fill="CCE2F1"/>
          </w:tcPr>
          <w:p>
            <w:pPr>
              <w:jc w:val="right"/>
              <w:ind w:right="119"/>
              <w:spacing w:after="0"/>
              <w:rPr>
                <w:sz w:val="20"/>
                <w:szCs w:val="20"/>
                <w:color w:val="auto"/>
              </w:rPr>
            </w:pPr>
            <w:r>
              <w:rPr>
                <w:rFonts w:ascii="Arial" w:cs="Arial" w:eastAsia="Arial" w:hAnsi="Arial"/>
                <w:sz w:val="16"/>
                <w:szCs w:val="16"/>
                <w:color w:val="auto"/>
              </w:rPr>
              <w:t>0</w:t>
            </w:r>
          </w:p>
        </w:tc>
      </w:tr>
      <w:tr>
        <w:trPr>
          <w:trHeight w:val="264"/>
        </w:trPr>
        <w:tc>
          <w:tcPr>
            <w:tcW w:w="2480" w:type="dxa"/>
            <w:vAlign w:val="bottom"/>
          </w:tcPr>
          <w:p>
            <w:pPr>
              <w:ind w:left="100"/>
              <w:spacing w:after="0"/>
              <w:rPr>
                <w:sz w:val="20"/>
                <w:szCs w:val="20"/>
                <w:color w:val="auto"/>
              </w:rPr>
            </w:pPr>
            <w:r>
              <w:rPr>
                <w:rFonts w:ascii="Arial" w:cs="Arial" w:eastAsia="Arial" w:hAnsi="Arial"/>
                <w:sz w:val="16"/>
                <w:szCs w:val="16"/>
                <w:color w:val="auto"/>
              </w:rPr>
              <w:t>Peter H. Griffith</w:t>
            </w:r>
          </w:p>
        </w:tc>
        <w:tc>
          <w:tcPr>
            <w:tcW w:w="2720" w:type="dxa"/>
            <w:vAlign w:val="bottom"/>
          </w:tcPr>
          <w:p>
            <w:pPr>
              <w:jc w:val="right"/>
              <w:ind w:right="579"/>
              <w:spacing w:after="0"/>
              <w:rPr>
                <w:sz w:val="20"/>
                <w:szCs w:val="20"/>
                <w:color w:val="auto"/>
              </w:rPr>
            </w:pPr>
            <w:r>
              <w:rPr>
                <w:rFonts w:ascii="Arial" w:cs="Arial" w:eastAsia="Arial" w:hAnsi="Arial"/>
                <w:sz w:val="16"/>
                <w:szCs w:val="16"/>
                <w:color w:val="auto"/>
              </w:rPr>
              <w:t>2,397</w:t>
            </w:r>
          </w:p>
        </w:tc>
        <w:tc>
          <w:tcPr>
            <w:tcW w:w="2600" w:type="dxa"/>
            <w:vAlign w:val="bottom"/>
          </w:tcPr>
          <w:p>
            <w:pPr>
              <w:jc w:val="right"/>
              <w:ind w:right="759"/>
              <w:spacing w:after="0"/>
              <w:rPr>
                <w:sz w:val="20"/>
                <w:szCs w:val="20"/>
                <w:color w:val="auto"/>
              </w:rPr>
            </w:pPr>
            <w:r>
              <w:rPr>
                <w:rFonts w:ascii="Arial" w:cs="Arial" w:eastAsia="Arial" w:hAnsi="Arial"/>
                <w:sz w:val="16"/>
                <w:szCs w:val="16"/>
                <w:color w:val="auto"/>
              </w:rPr>
              <w:t>28,270</w:t>
            </w:r>
          </w:p>
        </w:tc>
        <w:tc>
          <w:tcPr>
            <w:tcW w:w="2780" w:type="dxa"/>
            <w:vAlign w:val="bottom"/>
          </w:tcPr>
          <w:p>
            <w:pPr>
              <w:jc w:val="right"/>
              <w:ind w:right="119"/>
              <w:spacing w:after="0"/>
              <w:rPr>
                <w:sz w:val="20"/>
                <w:szCs w:val="20"/>
                <w:color w:val="auto"/>
              </w:rPr>
            </w:pPr>
            <w:r>
              <w:rPr>
                <w:rFonts w:ascii="Arial" w:cs="Arial" w:eastAsia="Arial" w:hAnsi="Arial"/>
                <w:sz w:val="16"/>
                <w:szCs w:val="16"/>
                <w:color w:val="auto"/>
              </w:rPr>
              <w:t>0</w:t>
            </w:r>
          </w:p>
        </w:tc>
      </w:tr>
      <w:tr>
        <w:trPr>
          <w:trHeight w:val="47"/>
        </w:trPr>
        <w:tc>
          <w:tcPr>
            <w:tcW w:w="24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780" w:type="dxa"/>
            <w:vAlign w:val="bottom"/>
          </w:tcPr>
          <w:p>
            <w:pPr>
              <w:spacing w:after="0"/>
              <w:rPr>
                <w:sz w:val="4"/>
                <w:szCs w:val="4"/>
                <w:color w:val="auto"/>
              </w:rPr>
            </w:pPr>
          </w:p>
        </w:tc>
      </w:tr>
      <w:tr>
        <w:trPr>
          <w:trHeight w:val="290"/>
        </w:trPr>
        <w:tc>
          <w:tcPr>
            <w:tcW w:w="2480" w:type="dxa"/>
            <w:vAlign w:val="bottom"/>
            <w:tcBorders>
              <w:bottom w:val="single" w:sz="8" w:color="CCE2F1"/>
            </w:tcBorders>
            <w:shd w:val="clear" w:color="auto" w:fill="CCE2F1"/>
          </w:tcPr>
          <w:p>
            <w:pPr>
              <w:ind w:left="100"/>
              <w:spacing w:after="0"/>
              <w:rPr>
                <w:sz w:val="20"/>
                <w:szCs w:val="20"/>
                <w:color w:val="auto"/>
              </w:rPr>
            </w:pPr>
            <w:r>
              <w:rPr>
                <w:rFonts w:ascii="Arial" w:cs="Arial" w:eastAsia="Arial" w:hAnsi="Arial"/>
                <w:sz w:val="16"/>
                <w:szCs w:val="16"/>
                <w:color w:val="auto"/>
              </w:rPr>
              <w:t>Esteban Santos</w:t>
            </w:r>
          </w:p>
        </w:tc>
        <w:tc>
          <w:tcPr>
            <w:tcW w:w="2720" w:type="dxa"/>
            <w:vAlign w:val="bottom"/>
            <w:tcBorders>
              <w:bottom w:val="single" w:sz="8" w:color="CCE2F1"/>
            </w:tcBorders>
            <w:shd w:val="clear" w:color="auto" w:fill="CCE2F1"/>
          </w:tcPr>
          <w:p>
            <w:pPr>
              <w:jc w:val="right"/>
              <w:ind w:right="579"/>
              <w:spacing w:after="0"/>
              <w:rPr>
                <w:sz w:val="20"/>
                <w:szCs w:val="20"/>
                <w:color w:val="auto"/>
              </w:rPr>
            </w:pPr>
            <w:r>
              <w:rPr>
                <w:rFonts w:ascii="Arial" w:cs="Arial" w:eastAsia="Arial" w:hAnsi="Arial"/>
                <w:sz w:val="16"/>
                <w:szCs w:val="16"/>
                <w:color w:val="auto"/>
              </w:rPr>
              <w:t>4,131</w:t>
            </w:r>
          </w:p>
        </w:tc>
        <w:tc>
          <w:tcPr>
            <w:tcW w:w="2600" w:type="dxa"/>
            <w:vAlign w:val="bottom"/>
            <w:tcBorders>
              <w:bottom w:val="single" w:sz="8" w:color="CCE2F1"/>
            </w:tcBorders>
            <w:shd w:val="clear" w:color="auto" w:fill="CCE2F1"/>
          </w:tcPr>
          <w:p>
            <w:pPr>
              <w:jc w:val="right"/>
              <w:ind w:right="759"/>
              <w:spacing w:after="0"/>
              <w:rPr>
                <w:sz w:val="20"/>
                <w:szCs w:val="20"/>
                <w:color w:val="auto"/>
              </w:rPr>
            </w:pPr>
            <w:r>
              <w:rPr>
                <w:rFonts w:ascii="Arial" w:cs="Arial" w:eastAsia="Arial" w:hAnsi="Arial"/>
                <w:sz w:val="16"/>
                <w:szCs w:val="16"/>
                <w:color w:val="auto"/>
              </w:rPr>
              <w:t>128,026</w:t>
            </w:r>
          </w:p>
        </w:tc>
        <w:tc>
          <w:tcPr>
            <w:tcW w:w="2780" w:type="dxa"/>
            <w:vAlign w:val="bottom"/>
            <w:tcBorders>
              <w:bottom w:val="single" w:sz="8" w:color="CCE2F1"/>
            </w:tcBorders>
            <w:shd w:val="clear" w:color="auto" w:fill="CCE2F1"/>
          </w:tcPr>
          <w:p>
            <w:pPr>
              <w:jc w:val="right"/>
              <w:ind w:right="119"/>
              <w:spacing w:after="0"/>
              <w:rPr>
                <w:sz w:val="20"/>
                <w:szCs w:val="20"/>
                <w:color w:val="auto"/>
              </w:rPr>
            </w:pPr>
            <w:r>
              <w:rPr>
                <w:rFonts w:ascii="Arial" w:cs="Arial" w:eastAsia="Arial" w:hAnsi="Arial"/>
                <w:sz w:val="16"/>
                <w:szCs w:val="16"/>
                <w:color w:val="auto"/>
              </w:rPr>
              <w:t>0</w:t>
            </w:r>
          </w:p>
        </w:tc>
      </w:tr>
      <w:tr>
        <w:trPr>
          <w:trHeight w:val="20"/>
        </w:trPr>
        <w:tc>
          <w:tcPr>
            <w:tcW w:w="2480" w:type="dxa"/>
            <w:vAlign w:val="bottom"/>
            <w:shd w:val="clear" w:color="auto" w:fill="0171B9"/>
          </w:tcPr>
          <w:p>
            <w:pPr>
              <w:spacing w:after="0" w:line="20" w:lineRule="exact"/>
              <w:rPr>
                <w:sz w:val="1"/>
                <w:szCs w:val="1"/>
                <w:color w:val="auto"/>
              </w:rPr>
            </w:pPr>
          </w:p>
        </w:tc>
        <w:tc>
          <w:tcPr>
            <w:tcW w:w="2720" w:type="dxa"/>
            <w:vAlign w:val="bottom"/>
            <w:shd w:val="clear" w:color="auto" w:fill="0171B9"/>
          </w:tcPr>
          <w:p>
            <w:pPr>
              <w:spacing w:after="0" w:line="20" w:lineRule="exact"/>
              <w:rPr>
                <w:sz w:val="1"/>
                <w:szCs w:val="1"/>
                <w:color w:val="auto"/>
              </w:rPr>
            </w:pPr>
          </w:p>
        </w:tc>
        <w:tc>
          <w:tcPr>
            <w:tcW w:w="2600" w:type="dxa"/>
            <w:vAlign w:val="bottom"/>
            <w:shd w:val="clear" w:color="auto" w:fill="0171B9"/>
          </w:tcPr>
          <w:p>
            <w:pPr>
              <w:spacing w:after="0" w:line="20" w:lineRule="exact"/>
              <w:rPr>
                <w:sz w:val="1"/>
                <w:szCs w:val="1"/>
                <w:color w:val="auto"/>
              </w:rPr>
            </w:pPr>
          </w:p>
        </w:tc>
        <w:tc>
          <w:tcPr>
            <w:tcW w:w="2780" w:type="dxa"/>
            <w:vAlign w:val="bottom"/>
            <w:shd w:val="clear" w:color="auto" w:fill="0171B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-3359785</wp:posOffset>
            </wp:positionV>
            <wp:extent cx="671195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15" w:lineRule="exact"/>
        <w:rPr>
          <w:sz w:val="20"/>
          <w:szCs w:val="20"/>
          <w:color w:val="auto"/>
        </w:rPr>
      </w:pPr>
    </w:p>
    <w:p>
      <w:pPr>
        <w:ind w:left="540" w:hanging="424"/>
        <w:spacing w:after="0"/>
        <w:tabs>
          <w:tab w:leader="none" w:pos="540" w:val="left"/>
        </w:tabs>
        <w:numPr>
          <w:ilvl w:val="0"/>
          <w:numId w:val="141"/>
        </w:numPr>
        <w:rPr>
          <w:rFonts w:ascii="Arial" w:cs="Arial" w:eastAsia="Arial" w:hAnsi="Arial"/>
          <w:sz w:val="22"/>
          <w:szCs w:val="22"/>
          <w:color w:val="auto"/>
          <w:vertAlign w:val="superscript"/>
        </w:rPr>
      </w:pPr>
      <w:r>
        <w:rPr>
          <w:rFonts w:ascii="Arial" w:cs="Arial" w:eastAsia="Arial" w:hAnsi="Arial"/>
          <w:sz w:val="14"/>
          <w:szCs w:val="14"/>
          <w:color w:val="auto"/>
        </w:rPr>
        <w:t>Shares held through the Holley Family Trust.</w:t>
      </w:r>
    </w:p>
    <w:p>
      <w:pPr>
        <w:jc w:val="both"/>
        <w:ind w:left="540" w:right="20" w:hanging="424"/>
        <w:spacing w:after="0" w:line="216" w:lineRule="auto"/>
        <w:tabs>
          <w:tab w:leader="none" w:pos="540" w:val="left"/>
        </w:tabs>
        <w:numPr>
          <w:ilvl w:val="0"/>
          <w:numId w:val="141"/>
        </w:numPr>
        <w:rPr>
          <w:rFonts w:ascii="Arial" w:cs="Arial" w:eastAsia="Arial" w:hAnsi="Arial"/>
          <w:sz w:val="22"/>
          <w:szCs w:val="22"/>
          <w:color w:val="auto"/>
          <w:vertAlign w:val="superscript"/>
        </w:rPr>
      </w:pPr>
      <w:r>
        <w:rPr>
          <w:rFonts w:ascii="Arial" w:cs="Arial" w:eastAsia="Arial" w:hAnsi="Arial"/>
          <w:sz w:val="14"/>
          <w:szCs w:val="14"/>
          <w:color w:val="auto"/>
        </w:rPr>
        <w:t>Includes 173,074 shares (excluding fractional shares) held by the four executive officers who are not NEOs and who have a right to acquire such shares upon the vesting of RSUs that have not been deferred to a date later than 60 days after March 20, 2023, or upon exercise of vested stock options as of March 20, 2023, or within 60 days thereafter. All current directors, NEOs, and executive officers as a group have the right to acquire a total of 35,623 shares upon vesting of RSUs, and related dividend equivalents, where the shares are issuable as of March 20, 2023, or within 60 days thereafter and 1,092,208 shares upon exercise of stock options that are vested as of March 20, 2023, or within 60 days thereafter.</w:t>
      </w:r>
    </w:p>
    <w:p>
      <w:pPr>
        <w:spacing w:after="0" w:line="2" w:lineRule="exact"/>
        <w:rPr>
          <w:rFonts w:ascii="Arial" w:cs="Arial" w:eastAsia="Arial" w:hAnsi="Arial"/>
          <w:sz w:val="22"/>
          <w:szCs w:val="22"/>
          <w:color w:val="auto"/>
          <w:vertAlign w:val="superscript"/>
        </w:rPr>
      </w:pPr>
    </w:p>
    <w:p>
      <w:pPr>
        <w:ind w:left="540" w:hanging="424"/>
        <w:spacing w:after="0" w:line="189" w:lineRule="auto"/>
        <w:tabs>
          <w:tab w:leader="none" w:pos="540" w:val="left"/>
        </w:tabs>
        <w:numPr>
          <w:ilvl w:val="0"/>
          <w:numId w:val="141"/>
        </w:numPr>
        <w:rPr>
          <w:rFonts w:ascii="Arial" w:cs="Arial" w:eastAsia="Arial" w:hAnsi="Arial"/>
          <w:sz w:val="19"/>
          <w:szCs w:val="19"/>
          <w:color w:val="auto"/>
          <w:vertAlign w:val="superscript"/>
        </w:rPr>
      </w:pPr>
      <w:r>
        <w:rPr>
          <w:rFonts w:ascii="Arial" w:cs="Arial" w:eastAsia="Arial" w:hAnsi="Arial"/>
          <w:sz w:val="13"/>
          <w:szCs w:val="13"/>
          <w:color w:val="auto"/>
        </w:rPr>
        <w:t>Excludes fractional shares which are paid out in cash on the applicable payout date.</w:t>
      </w:r>
    </w:p>
    <w:p>
      <w:pPr>
        <w:spacing w:after="0" w:line="117" w:lineRule="exact"/>
        <w:rPr>
          <w:sz w:val="20"/>
          <w:szCs w:val="20"/>
          <w:color w:val="auto"/>
        </w:rPr>
      </w:pPr>
    </w:p>
    <w:p>
      <w:pPr>
        <w:ind w:left="8600"/>
        <w:spacing w:after="0"/>
        <w:tabs>
          <w:tab w:leader="none" w:pos="109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205740</wp:posOffset>
            </wp:positionV>
            <wp:extent cx="3326130" cy="21463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326130" cy="214630"/>
                    </a:xfrm>
                    <a:prstGeom prst="rect">
                      <a:avLst/>
                    </a:prstGeom>
                    <a:noFill/>
                  </pic:spPr>
                </pic:pic>
              </a:graphicData>
            </a:graphic>
          </wp:anchor>
        </w:drawing>
      </w:r>
    </w:p>
    <w:p>
      <w:pPr>
        <w:spacing w:after="0" w:line="312" w:lineRule="exact"/>
        <w:rPr>
          <w:sz w:val="20"/>
          <w:szCs w:val="20"/>
          <w:color w:val="auto"/>
        </w:rPr>
      </w:pPr>
    </w:p>
    <w:p>
      <w:pPr>
        <w:ind w:left="6040"/>
        <w:spacing w:after="0"/>
        <w:rPr>
          <w:sz w:val="20"/>
          <w:szCs w:val="20"/>
          <w:color w:val="auto"/>
        </w:rPr>
      </w:pPr>
      <w:r>
        <w:rPr>
          <w:rFonts w:ascii="Arial" w:cs="Arial" w:eastAsia="Arial" w:hAnsi="Arial"/>
          <w:sz w:val="21"/>
          <w:szCs w:val="21"/>
          <w:b w:val="1"/>
          <w:bCs w:val="1"/>
          <w:color w:val="FFFFFF"/>
        </w:rPr>
        <w:t>Security Ownership of Certain Beneficial Owners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Security Ownership of Certain Beneficial Owners</w:t>
      </w:r>
    </w:p>
    <w:p>
      <w:pPr>
        <w:spacing w:after="0" w:line="253"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The following table shows the number of shares of our Common Stock owned by each person or entity known to the Company to be the beneficial owners of more than 5% of our Common Stock as of March 20, 2023, based on a review of publicly available statements of beneficial ownership filed with the SEC on Schedules 13D and 13G through March 20, 2023.</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5840" w:type="dxa"/>
            <w:vAlign w:val="bottom"/>
            <w:shd w:val="clear" w:color="auto" w:fill="0171B9"/>
          </w:tcPr>
          <w:p>
            <w:pPr>
              <w:spacing w:after="0"/>
              <w:rPr>
                <w:sz w:val="18"/>
                <w:szCs w:val="18"/>
                <w:color w:val="auto"/>
              </w:rPr>
            </w:pPr>
          </w:p>
        </w:tc>
        <w:tc>
          <w:tcPr>
            <w:tcW w:w="1960" w:type="dxa"/>
            <w:vAlign w:val="bottom"/>
            <w:shd w:val="clear" w:color="auto" w:fill="0171B9"/>
          </w:tcPr>
          <w:p>
            <w:pPr>
              <w:spacing w:after="0"/>
              <w:rPr>
                <w:sz w:val="18"/>
                <w:szCs w:val="18"/>
                <w:color w:val="auto"/>
              </w:rPr>
            </w:pPr>
          </w:p>
        </w:tc>
        <w:tc>
          <w:tcPr>
            <w:tcW w:w="3220" w:type="dxa"/>
            <w:vAlign w:val="bottom"/>
            <w:shd w:val="clear" w:color="auto" w:fill="0171B9"/>
          </w:tcPr>
          <w:p>
            <w:pPr>
              <w:jc w:val="right"/>
              <w:ind w:right="1719"/>
              <w:spacing w:after="0"/>
              <w:rPr>
                <w:sz w:val="20"/>
                <w:szCs w:val="20"/>
                <w:color w:val="auto"/>
              </w:rPr>
            </w:pPr>
            <w:r>
              <w:rPr>
                <w:rFonts w:ascii="Arial" w:cs="Arial" w:eastAsia="Arial" w:hAnsi="Arial"/>
                <w:sz w:val="16"/>
                <w:szCs w:val="16"/>
                <w:b w:val="1"/>
                <w:bCs w:val="1"/>
                <w:color w:val="FFFFFF"/>
              </w:rPr>
              <w:t>Common Stock</w:t>
            </w:r>
          </w:p>
        </w:tc>
      </w:tr>
      <w:tr>
        <w:trPr>
          <w:trHeight w:val="215"/>
        </w:trPr>
        <w:tc>
          <w:tcPr>
            <w:tcW w:w="5840" w:type="dxa"/>
            <w:vAlign w:val="bottom"/>
            <w:shd w:val="clear" w:color="auto" w:fill="0171B9"/>
          </w:tcPr>
          <w:p>
            <w:pPr>
              <w:spacing w:after="0"/>
              <w:rPr>
                <w:sz w:val="18"/>
                <w:szCs w:val="18"/>
                <w:color w:val="auto"/>
              </w:rPr>
            </w:pPr>
          </w:p>
        </w:tc>
        <w:tc>
          <w:tcPr>
            <w:tcW w:w="1960" w:type="dxa"/>
            <w:vAlign w:val="bottom"/>
            <w:shd w:val="clear" w:color="auto" w:fill="0171B9"/>
          </w:tcPr>
          <w:p>
            <w:pPr>
              <w:spacing w:after="0"/>
              <w:rPr>
                <w:sz w:val="18"/>
                <w:szCs w:val="18"/>
                <w:color w:val="auto"/>
              </w:rPr>
            </w:pPr>
          </w:p>
        </w:tc>
        <w:tc>
          <w:tcPr>
            <w:tcW w:w="3220" w:type="dxa"/>
            <w:vAlign w:val="bottom"/>
            <w:shd w:val="clear" w:color="auto" w:fill="0171B9"/>
          </w:tcPr>
          <w:p>
            <w:pPr>
              <w:jc w:val="right"/>
              <w:ind w:right="1559"/>
              <w:spacing w:after="0"/>
              <w:rPr>
                <w:sz w:val="20"/>
                <w:szCs w:val="20"/>
                <w:color w:val="auto"/>
              </w:rPr>
            </w:pPr>
            <w:r>
              <w:rPr>
                <w:rFonts w:ascii="Arial" w:cs="Arial" w:eastAsia="Arial" w:hAnsi="Arial"/>
                <w:sz w:val="16"/>
                <w:szCs w:val="16"/>
                <w:b w:val="1"/>
                <w:bCs w:val="1"/>
                <w:color w:val="FFFFFF"/>
              </w:rPr>
              <w:t>Beneficially Owned</w:t>
            </w:r>
          </w:p>
        </w:tc>
      </w:tr>
      <w:tr>
        <w:trPr>
          <w:trHeight w:val="289"/>
        </w:trPr>
        <w:tc>
          <w:tcPr>
            <w:tcW w:w="5840" w:type="dxa"/>
            <w:vAlign w:val="bottom"/>
            <w:shd w:val="clear" w:color="auto" w:fill="0171B9"/>
          </w:tcPr>
          <w:p>
            <w:pPr>
              <w:ind w:left="80"/>
              <w:spacing w:after="0"/>
              <w:rPr>
                <w:sz w:val="20"/>
                <w:szCs w:val="20"/>
                <w:color w:val="auto"/>
              </w:rPr>
            </w:pPr>
            <w:r>
              <w:rPr>
                <w:rFonts w:ascii="Arial" w:cs="Arial" w:eastAsia="Arial" w:hAnsi="Arial"/>
                <w:sz w:val="16"/>
                <w:szCs w:val="16"/>
                <w:b w:val="1"/>
                <w:bCs w:val="1"/>
                <w:color w:val="FFFFFF"/>
              </w:rPr>
              <w:t>Name and Address of Beneficial Owner</w:t>
            </w:r>
          </w:p>
        </w:tc>
        <w:tc>
          <w:tcPr>
            <w:tcW w:w="1960" w:type="dxa"/>
            <w:vAlign w:val="bottom"/>
            <w:shd w:val="clear" w:color="auto" w:fill="0171B9"/>
          </w:tcPr>
          <w:p>
            <w:pPr>
              <w:jc w:val="right"/>
              <w:ind w:right="19"/>
              <w:spacing w:after="0"/>
              <w:rPr>
                <w:sz w:val="20"/>
                <w:szCs w:val="20"/>
                <w:color w:val="auto"/>
              </w:rPr>
            </w:pPr>
            <w:r>
              <w:rPr>
                <w:rFonts w:ascii="Arial" w:cs="Arial" w:eastAsia="Arial" w:hAnsi="Arial"/>
                <w:sz w:val="16"/>
                <w:szCs w:val="16"/>
                <w:b w:val="1"/>
                <w:bCs w:val="1"/>
                <w:color w:val="FFFFFF"/>
              </w:rPr>
              <w:t>Number of Shares</w:t>
            </w:r>
          </w:p>
        </w:tc>
        <w:tc>
          <w:tcPr>
            <w:tcW w:w="3220" w:type="dxa"/>
            <w:vAlign w:val="bottom"/>
            <w:shd w:val="clear" w:color="auto" w:fill="0171B9"/>
          </w:tcPr>
          <w:p>
            <w:pPr>
              <w:jc w:val="right"/>
              <w:ind w:right="79"/>
              <w:spacing w:after="0"/>
              <w:rPr>
                <w:sz w:val="20"/>
                <w:szCs w:val="20"/>
                <w:color w:val="auto"/>
              </w:rPr>
            </w:pPr>
            <w:r>
              <w:rPr>
                <w:rFonts w:ascii="Arial" w:cs="Arial" w:eastAsia="Arial" w:hAnsi="Arial"/>
                <w:sz w:val="16"/>
                <w:szCs w:val="16"/>
                <w:b w:val="1"/>
                <w:bCs w:val="1"/>
                <w:color w:val="FFFFFF"/>
              </w:rPr>
              <w:t>Percent of Total</w:t>
            </w:r>
            <w:r>
              <w:rPr>
                <w:rFonts w:ascii="Arial" w:cs="Arial" w:eastAsia="Arial" w:hAnsi="Arial"/>
                <w:sz w:val="24"/>
                <w:szCs w:val="24"/>
                <w:b w:val="1"/>
                <w:bCs w:val="1"/>
                <w:color w:val="FFFFFF"/>
                <w:vertAlign w:val="superscript"/>
              </w:rPr>
              <w:t>(1)</w:t>
            </w:r>
          </w:p>
        </w:tc>
      </w:tr>
      <w:tr>
        <w:trPr>
          <w:trHeight w:val="258"/>
        </w:trPr>
        <w:tc>
          <w:tcPr>
            <w:tcW w:w="5840" w:type="dxa"/>
            <w:vAlign w:val="bottom"/>
            <w:shd w:val="clear" w:color="auto" w:fill="CCE2F1"/>
          </w:tcPr>
          <w:p>
            <w:pPr>
              <w:ind w:left="80"/>
              <w:spacing w:after="0" w:line="258" w:lineRule="exact"/>
              <w:rPr>
                <w:sz w:val="20"/>
                <w:szCs w:val="20"/>
                <w:color w:val="auto"/>
              </w:rPr>
            </w:pPr>
            <w:r>
              <w:rPr>
                <w:rFonts w:ascii="Arial" w:cs="Arial" w:eastAsia="Arial" w:hAnsi="Arial"/>
                <w:sz w:val="16"/>
                <w:szCs w:val="16"/>
                <w:color w:val="auto"/>
              </w:rPr>
              <w:t>BlackRock, Inc.</w:t>
            </w:r>
            <w:r>
              <w:rPr>
                <w:rFonts w:ascii="Arial" w:cs="Arial" w:eastAsia="Arial" w:hAnsi="Arial"/>
                <w:sz w:val="24"/>
                <w:szCs w:val="24"/>
                <w:color w:val="auto"/>
                <w:vertAlign w:val="superscript"/>
              </w:rPr>
              <w:t>(2)</w:t>
            </w:r>
          </w:p>
        </w:tc>
        <w:tc>
          <w:tcPr>
            <w:tcW w:w="1960" w:type="dxa"/>
            <w:vAlign w:val="bottom"/>
            <w:shd w:val="clear" w:color="auto" w:fill="CCE2F1"/>
          </w:tcPr>
          <w:p>
            <w:pPr>
              <w:spacing w:after="0"/>
              <w:rPr>
                <w:sz w:val="22"/>
                <w:szCs w:val="22"/>
                <w:color w:val="auto"/>
              </w:rPr>
            </w:pPr>
          </w:p>
        </w:tc>
        <w:tc>
          <w:tcPr>
            <w:tcW w:w="3220" w:type="dxa"/>
            <w:vAlign w:val="bottom"/>
            <w:shd w:val="clear" w:color="auto" w:fill="CCE2F1"/>
          </w:tcPr>
          <w:p>
            <w:pPr>
              <w:spacing w:after="0"/>
              <w:rPr>
                <w:sz w:val="22"/>
                <w:szCs w:val="22"/>
                <w:color w:val="auto"/>
              </w:rPr>
            </w:pPr>
          </w:p>
        </w:tc>
      </w:tr>
      <w:tr>
        <w:trPr>
          <w:trHeight w:val="189"/>
        </w:trPr>
        <w:tc>
          <w:tcPr>
            <w:tcW w:w="5840" w:type="dxa"/>
            <w:vAlign w:val="bottom"/>
            <w:shd w:val="clear" w:color="auto" w:fill="CCE2F1"/>
          </w:tcPr>
          <w:p>
            <w:pPr>
              <w:ind w:left="80"/>
              <w:spacing w:after="0"/>
              <w:rPr>
                <w:sz w:val="20"/>
                <w:szCs w:val="20"/>
                <w:color w:val="auto"/>
              </w:rPr>
            </w:pPr>
            <w:r>
              <w:rPr>
                <w:rFonts w:ascii="Arial" w:cs="Arial" w:eastAsia="Arial" w:hAnsi="Arial"/>
                <w:sz w:val="16"/>
                <w:szCs w:val="16"/>
                <w:color w:val="auto"/>
              </w:rPr>
              <w:t>55 East 52nd Street</w:t>
            </w:r>
          </w:p>
        </w:tc>
        <w:tc>
          <w:tcPr>
            <w:tcW w:w="1960" w:type="dxa"/>
            <w:vAlign w:val="bottom"/>
            <w:shd w:val="clear" w:color="auto" w:fill="CCE2F1"/>
          </w:tcPr>
          <w:p>
            <w:pPr>
              <w:spacing w:after="0"/>
              <w:rPr>
                <w:sz w:val="16"/>
                <w:szCs w:val="16"/>
                <w:color w:val="auto"/>
              </w:rPr>
            </w:pPr>
          </w:p>
        </w:tc>
        <w:tc>
          <w:tcPr>
            <w:tcW w:w="3220" w:type="dxa"/>
            <w:vAlign w:val="bottom"/>
            <w:shd w:val="clear" w:color="auto" w:fill="CCE2F1"/>
          </w:tcPr>
          <w:p>
            <w:pPr>
              <w:spacing w:after="0"/>
              <w:rPr>
                <w:sz w:val="16"/>
                <w:szCs w:val="16"/>
                <w:color w:val="auto"/>
              </w:rPr>
            </w:pPr>
          </w:p>
        </w:tc>
      </w:tr>
      <w:tr>
        <w:trPr>
          <w:trHeight w:val="228"/>
        </w:trPr>
        <w:tc>
          <w:tcPr>
            <w:tcW w:w="5840" w:type="dxa"/>
            <w:vAlign w:val="bottom"/>
            <w:shd w:val="clear" w:color="auto" w:fill="CCE2F1"/>
          </w:tcPr>
          <w:p>
            <w:pPr>
              <w:ind w:left="80"/>
              <w:spacing w:after="0"/>
              <w:rPr>
                <w:sz w:val="20"/>
                <w:szCs w:val="20"/>
                <w:color w:val="auto"/>
              </w:rPr>
            </w:pPr>
            <w:r>
              <w:rPr>
                <w:rFonts w:ascii="Arial" w:cs="Arial" w:eastAsia="Arial" w:hAnsi="Arial"/>
                <w:sz w:val="16"/>
                <w:szCs w:val="16"/>
                <w:color w:val="auto"/>
              </w:rPr>
              <w:t>New York, NY 10055</w:t>
            </w:r>
          </w:p>
        </w:tc>
        <w:tc>
          <w:tcPr>
            <w:tcW w:w="1960" w:type="dxa"/>
            <w:vAlign w:val="bottom"/>
            <w:shd w:val="clear" w:color="auto" w:fill="CCE2F1"/>
          </w:tcPr>
          <w:p>
            <w:pPr>
              <w:jc w:val="right"/>
              <w:ind w:right="19"/>
              <w:spacing w:after="0"/>
              <w:rPr>
                <w:sz w:val="20"/>
                <w:szCs w:val="20"/>
                <w:color w:val="auto"/>
              </w:rPr>
            </w:pPr>
            <w:r>
              <w:rPr>
                <w:rFonts w:ascii="Arial" w:cs="Arial" w:eastAsia="Arial" w:hAnsi="Arial"/>
                <w:sz w:val="16"/>
                <w:szCs w:val="16"/>
                <w:color w:val="auto"/>
              </w:rPr>
              <w:t>48,513,079</w:t>
            </w:r>
          </w:p>
        </w:tc>
        <w:tc>
          <w:tcPr>
            <w:tcW w:w="3220" w:type="dxa"/>
            <w:vAlign w:val="bottom"/>
            <w:shd w:val="clear" w:color="auto" w:fill="CCE2F1"/>
          </w:tcPr>
          <w:p>
            <w:pPr>
              <w:jc w:val="right"/>
              <w:ind w:right="79"/>
              <w:spacing w:after="0"/>
              <w:rPr>
                <w:sz w:val="20"/>
                <w:szCs w:val="20"/>
                <w:color w:val="auto"/>
              </w:rPr>
            </w:pPr>
            <w:r>
              <w:rPr>
                <w:rFonts w:ascii="Arial" w:cs="Arial" w:eastAsia="Arial" w:hAnsi="Arial"/>
                <w:sz w:val="16"/>
                <w:szCs w:val="16"/>
                <w:color w:val="auto"/>
              </w:rPr>
              <w:t>9.1%</w:t>
            </w:r>
          </w:p>
        </w:tc>
      </w:tr>
      <w:tr>
        <w:trPr>
          <w:trHeight w:val="258"/>
        </w:trPr>
        <w:tc>
          <w:tcPr>
            <w:tcW w:w="5840" w:type="dxa"/>
            <w:vAlign w:val="bottom"/>
          </w:tcPr>
          <w:p>
            <w:pPr>
              <w:ind w:left="80"/>
              <w:spacing w:after="0" w:line="258" w:lineRule="exact"/>
              <w:rPr>
                <w:sz w:val="20"/>
                <w:szCs w:val="20"/>
                <w:color w:val="auto"/>
              </w:rPr>
            </w:pPr>
            <w:r>
              <w:rPr>
                <w:rFonts w:ascii="Arial" w:cs="Arial" w:eastAsia="Arial" w:hAnsi="Arial"/>
                <w:sz w:val="16"/>
                <w:szCs w:val="16"/>
                <w:color w:val="auto"/>
              </w:rPr>
              <w:t>The Vanguard Group</w:t>
            </w:r>
            <w:r>
              <w:rPr>
                <w:rFonts w:ascii="Arial" w:cs="Arial" w:eastAsia="Arial" w:hAnsi="Arial"/>
                <w:sz w:val="24"/>
                <w:szCs w:val="24"/>
                <w:color w:val="auto"/>
                <w:vertAlign w:val="superscript"/>
              </w:rPr>
              <w:t>(3)</w:t>
            </w:r>
          </w:p>
        </w:tc>
        <w:tc>
          <w:tcPr>
            <w:tcW w:w="1960" w:type="dxa"/>
            <w:vAlign w:val="bottom"/>
          </w:tcPr>
          <w:p>
            <w:pPr>
              <w:spacing w:after="0"/>
              <w:rPr>
                <w:sz w:val="22"/>
                <w:szCs w:val="22"/>
                <w:color w:val="auto"/>
              </w:rPr>
            </w:pPr>
          </w:p>
        </w:tc>
        <w:tc>
          <w:tcPr>
            <w:tcW w:w="3220" w:type="dxa"/>
            <w:vAlign w:val="bottom"/>
          </w:tcPr>
          <w:p>
            <w:pPr>
              <w:spacing w:after="0"/>
              <w:rPr>
                <w:sz w:val="22"/>
                <w:szCs w:val="22"/>
                <w:color w:val="auto"/>
              </w:rPr>
            </w:pPr>
          </w:p>
        </w:tc>
      </w:tr>
      <w:tr>
        <w:trPr>
          <w:trHeight w:val="189"/>
        </w:trPr>
        <w:tc>
          <w:tcPr>
            <w:tcW w:w="5840" w:type="dxa"/>
            <w:vAlign w:val="bottom"/>
          </w:tcPr>
          <w:p>
            <w:pPr>
              <w:ind w:left="80"/>
              <w:spacing w:after="0"/>
              <w:rPr>
                <w:sz w:val="20"/>
                <w:szCs w:val="20"/>
                <w:color w:val="auto"/>
              </w:rPr>
            </w:pPr>
            <w:r>
              <w:rPr>
                <w:rFonts w:ascii="Arial" w:cs="Arial" w:eastAsia="Arial" w:hAnsi="Arial"/>
                <w:sz w:val="16"/>
                <w:szCs w:val="16"/>
                <w:color w:val="auto"/>
              </w:rPr>
              <w:t>100 Vanguard Blvd.</w:t>
            </w:r>
          </w:p>
        </w:tc>
        <w:tc>
          <w:tcPr>
            <w:tcW w:w="196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18"/>
        </w:trPr>
        <w:tc>
          <w:tcPr>
            <w:tcW w:w="5840" w:type="dxa"/>
            <w:vAlign w:val="bottom"/>
          </w:tcPr>
          <w:p>
            <w:pPr>
              <w:ind w:left="80"/>
              <w:spacing w:after="0"/>
              <w:rPr>
                <w:sz w:val="20"/>
                <w:szCs w:val="20"/>
                <w:color w:val="auto"/>
              </w:rPr>
            </w:pPr>
            <w:r>
              <w:rPr>
                <w:rFonts w:ascii="Arial" w:cs="Arial" w:eastAsia="Arial" w:hAnsi="Arial"/>
                <w:sz w:val="16"/>
                <w:szCs w:val="16"/>
                <w:color w:val="auto"/>
              </w:rPr>
              <w:t>Malvern, PA 19355</w:t>
            </w: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48,065,139</w:t>
            </w:r>
          </w:p>
        </w:tc>
        <w:tc>
          <w:tcPr>
            <w:tcW w:w="3220" w:type="dxa"/>
            <w:vAlign w:val="bottom"/>
          </w:tcPr>
          <w:p>
            <w:pPr>
              <w:jc w:val="right"/>
              <w:ind w:right="79"/>
              <w:spacing w:after="0"/>
              <w:rPr>
                <w:sz w:val="20"/>
                <w:szCs w:val="20"/>
                <w:color w:val="auto"/>
              </w:rPr>
            </w:pPr>
            <w:r>
              <w:rPr>
                <w:rFonts w:ascii="Arial" w:cs="Arial" w:eastAsia="Arial" w:hAnsi="Arial"/>
                <w:sz w:val="16"/>
                <w:szCs w:val="16"/>
                <w:color w:val="auto"/>
              </w:rPr>
              <w:t>9.0%</w:t>
            </w:r>
          </w:p>
        </w:tc>
      </w:tr>
      <w:tr>
        <w:trPr>
          <w:trHeight w:val="268"/>
        </w:trPr>
        <w:tc>
          <w:tcPr>
            <w:tcW w:w="5840" w:type="dxa"/>
            <w:vAlign w:val="bottom"/>
            <w:shd w:val="clear" w:color="auto" w:fill="CCE2F1"/>
          </w:tcPr>
          <w:p>
            <w:pPr>
              <w:ind w:left="80"/>
              <w:spacing w:after="0" w:line="268" w:lineRule="exact"/>
              <w:rPr>
                <w:sz w:val="20"/>
                <w:szCs w:val="20"/>
                <w:color w:val="auto"/>
              </w:rPr>
            </w:pPr>
            <w:r>
              <w:rPr>
                <w:rFonts w:ascii="Arial" w:cs="Arial" w:eastAsia="Arial" w:hAnsi="Arial"/>
                <w:sz w:val="16"/>
                <w:szCs w:val="16"/>
                <w:color w:val="auto"/>
              </w:rPr>
              <w:t>State Street Corporation</w:t>
            </w:r>
            <w:r>
              <w:rPr>
                <w:rFonts w:ascii="Arial" w:cs="Arial" w:eastAsia="Arial" w:hAnsi="Arial"/>
                <w:sz w:val="24"/>
                <w:szCs w:val="24"/>
                <w:color w:val="auto"/>
                <w:vertAlign w:val="superscript"/>
              </w:rPr>
              <w:t>(4)</w:t>
            </w:r>
          </w:p>
        </w:tc>
        <w:tc>
          <w:tcPr>
            <w:tcW w:w="1960" w:type="dxa"/>
            <w:vAlign w:val="bottom"/>
            <w:shd w:val="clear" w:color="auto" w:fill="CCE2F1"/>
          </w:tcPr>
          <w:p>
            <w:pPr>
              <w:spacing w:after="0"/>
              <w:rPr>
                <w:sz w:val="23"/>
                <w:szCs w:val="23"/>
                <w:color w:val="auto"/>
              </w:rPr>
            </w:pPr>
          </w:p>
        </w:tc>
        <w:tc>
          <w:tcPr>
            <w:tcW w:w="3220" w:type="dxa"/>
            <w:vAlign w:val="bottom"/>
            <w:shd w:val="clear" w:color="auto" w:fill="CCE2F1"/>
          </w:tcPr>
          <w:p>
            <w:pPr>
              <w:spacing w:after="0"/>
              <w:rPr>
                <w:sz w:val="23"/>
                <w:szCs w:val="23"/>
                <w:color w:val="auto"/>
              </w:rPr>
            </w:pPr>
          </w:p>
        </w:tc>
      </w:tr>
      <w:tr>
        <w:trPr>
          <w:trHeight w:val="189"/>
        </w:trPr>
        <w:tc>
          <w:tcPr>
            <w:tcW w:w="5840" w:type="dxa"/>
            <w:vAlign w:val="bottom"/>
            <w:shd w:val="clear" w:color="auto" w:fill="CCE2F1"/>
          </w:tcPr>
          <w:p>
            <w:pPr>
              <w:ind w:left="80"/>
              <w:spacing w:after="0"/>
              <w:rPr>
                <w:sz w:val="20"/>
                <w:szCs w:val="20"/>
                <w:color w:val="auto"/>
              </w:rPr>
            </w:pPr>
            <w:r>
              <w:rPr>
                <w:rFonts w:ascii="Arial" w:cs="Arial" w:eastAsia="Arial" w:hAnsi="Arial"/>
                <w:sz w:val="16"/>
                <w:szCs w:val="16"/>
                <w:color w:val="auto"/>
              </w:rPr>
              <w:t>State Street Financial Center</w:t>
            </w:r>
          </w:p>
        </w:tc>
        <w:tc>
          <w:tcPr>
            <w:tcW w:w="1960" w:type="dxa"/>
            <w:vAlign w:val="bottom"/>
            <w:shd w:val="clear" w:color="auto" w:fill="CCE2F1"/>
          </w:tcPr>
          <w:p>
            <w:pPr>
              <w:spacing w:after="0"/>
              <w:rPr>
                <w:sz w:val="16"/>
                <w:szCs w:val="16"/>
                <w:color w:val="auto"/>
              </w:rPr>
            </w:pPr>
          </w:p>
        </w:tc>
        <w:tc>
          <w:tcPr>
            <w:tcW w:w="3220" w:type="dxa"/>
            <w:vAlign w:val="bottom"/>
            <w:shd w:val="clear" w:color="auto" w:fill="CCE2F1"/>
          </w:tcPr>
          <w:p>
            <w:pPr>
              <w:spacing w:after="0"/>
              <w:rPr>
                <w:sz w:val="16"/>
                <w:szCs w:val="16"/>
                <w:color w:val="auto"/>
              </w:rPr>
            </w:pPr>
          </w:p>
        </w:tc>
      </w:tr>
      <w:tr>
        <w:trPr>
          <w:trHeight w:val="189"/>
        </w:trPr>
        <w:tc>
          <w:tcPr>
            <w:tcW w:w="5840" w:type="dxa"/>
            <w:vAlign w:val="bottom"/>
            <w:shd w:val="clear" w:color="auto" w:fill="CCE2F1"/>
          </w:tcPr>
          <w:p>
            <w:pPr>
              <w:ind w:left="80"/>
              <w:spacing w:after="0"/>
              <w:rPr>
                <w:sz w:val="20"/>
                <w:szCs w:val="20"/>
                <w:color w:val="auto"/>
              </w:rPr>
            </w:pPr>
            <w:r>
              <w:rPr>
                <w:rFonts w:ascii="Arial" w:cs="Arial" w:eastAsia="Arial" w:hAnsi="Arial"/>
                <w:sz w:val="16"/>
                <w:szCs w:val="16"/>
                <w:color w:val="auto"/>
              </w:rPr>
              <w:t>One Lincoln Street</w:t>
            </w:r>
          </w:p>
        </w:tc>
        <w:tc>
          <w:tcPr>
            <w:tcW w:w="1960" w:type="dxa"/>
            <w:vAlign w:val="bottom"/>
            <w:shd w:val="clear" w:color="auto" w:fill="CCE2F1"/>
          </w:tcPr>
          <w:p>
            <w:pPr>
              <w:spacing w:after="0"/>
              <w:rPr>
                <w:sz w:val="16"/>
                <w:szCs w:val="16"/>
                <w:color w:val="auto"/>
              </w:rPr>
            </w:pPr>
          </w:p>
        </w:tc>
        <w:tc>
          <w:tcPr>
            <w:tcW w:w="3220" w:type="dxa"/>
            <w:vAlign w:val="bottom"/>
            <w:shd w:val="clear" w:color="auto" w:fill="CCE2F1"/>
          </w:tcPr>
          <w:p>
            <w:pPr>
              <w:spacing w:after="0"/>
              <w:rPr>
                <w:sz w:val="16"/>
                <w:szCs w:val="16"/>
                <w:color w:val="auto"/>
              </w:rPr>
            </w:pPr>
          </w:p>
        </w:tc>
      </w:tr>
      <w:tr>
        <w:trPr>
          <w:trHeight w:val="221"/>
        </w:trPr>
        <w:tc>
          <w:tcPr>
            <w:tcW w:w="5840" w:type="dxa"/>
            <w:vAlign w:val="bottom"/>
            <w:tcBorders>
              <w:bottom w:val="single" w:sz="8" w:color="0171B9"/>
            </w:tcBorders>
            <w:shd w:val="clear" w:color="auto" w:fill="CCE2F1"/>
          </w:tcPr>
          <w:p>
            <w:pPr>
              <w:ind w:left="80"/>
              <w:spacing w:after="0"/>
              <w:rPr>
                <w:sz w:val="20"/>
                <w:szCs w:val="20"/>
                <w:color w:val="auto"/>
              </w:rPr>
            </w:pPr>
            <w:r>
              <w:rPr>
                <w:rFonts w:ascii="Arial" w:cs="Arial" w:eastAsia="Arial" w:hAnsi="Arial"/>
                <w:sz w:val="16"/>
                <w:szCs w:val="16"/>
                <w:color w:val="auto"/>
              </w:rPr>
              <w:t>Boston, MA 02111</w:t>
            </w:r>
          </w:p>
        </w:tc>
        <w:tc>
          <w:tcPr>
            <w:tcW w:w="1960" w:type="dxa"/>
            <w:vAlign w:val="bottom"/>
            <w:tcBorders>
              <w:bottom w:val="single" w:sz="8" w:color="0171B9"/>
            </w:tcBorders>
            <w:shd w:val="clear" w:color="auto" w:fill="CCE2F1"/>
          </w:tcPr>
          <w:p>
            <w:pPr>
              <w:jc w:val="right"/>
              <w:ind w:right="19"/>
              <w:spacing w:after="0"/>
              <w:rPr>
                <w:sz w:val="20"/>
                <w:szCs w:val="20"/>
                <w:color w:val="auto"/>
              </w:rPr>
            </w:pPr>
            <w:r>
              <w:rPr>
                <w:rFonts w:ascii="Arial" w:cs="Arial" w:eastAsia="Arial" w:hAnsi="Arial"/>
                <w:sz w:val="16"/>
                <w:szCs w:val="16"/>
                <w:color w:val="auto"/>
              </w:rPr>
              <w:t>29,760,088</w:t>
            </w:r>
          </w:p>
        </w:tc>
        <w:tc>
          <w:tcPr>
            <w:tcW w:w="3220" w:type="dxa"/>
            <w:vAlign w:val="bottom"/>
            <w:tcBorders>
              <w:bottom w:val="single" w:sz="8" w:color="0171B9"/>
            </w:tcBorders>
            <w:shd w:val="clear" w:color="auto" w:fill="CCE2F1"/>
          </w:tcPr>
          <w:p>
            <w:pPr>
              <w:jc w:val="right"/>
              <w:ind w:right="79"/>
              <w:spacing w:after="0"/>
              <w:rPr>
                <w:sz w:val="20"/>
                <w:szCs w:val="20"/>
                <w:color w:val="auto"/>
              </w:rPr>
            </w:pPr>
            <w:r>
              <w:rPr>
                <w:rFonts w:ascii="Arial" w:cs="Arial" w:eastAsia="Arial" w:hAnsi="Arial"/>
                <w:sz w:val="16"/>
                <w:szCs w:val="16"/>
                <w:color w:val="auto"/>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-1414145</wp:posOffset>
            </wp:positionV>
            <wp:extent cx="699516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-1585595</wp:posOffset>
            </wp:positionV>
            <wp:extent cx="295783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106" w:lineRule="exact"/>
        <w:rPr>
          <w:sz w:val="20"/>
          <w:szCs w:val="20"/>
          <w:color w:val="auto"/>
        </w:rPr>
      </w:pPr>
    </w:p>
    <w:p>
      <w:pPr>
        <w:ind w:left="540" w:right="20" w:hanging="424"/>
        <w:spacing w:after="0" w:line="187" w:lineRule="auto"/>
        <w:tabs>
          <w:tab w:leader="none" w:pos="540" w:val="left"/>
        </w:tabs>
        <w:numPr>
          <w:ilvl w:val="0"/>
          <w:numId w:val="142"/>
        </w:numPr>
        <w:rPr>
          <w:rFonts w:ascii="Arial" w:cs="Arial" w:eastAsia="Arial" w:hAnsi="Arial"/>
          <w:sz w:val="22"/>
          <w:szCs w:val="22"/>
          <w:color w:val="auto"/>
          <w:vertAlign w:val="superscript"/>
        </w:rPr>
      </w:pPr>
      <w:r>
        <w:rPr>
          <w:rFonts w:ascii="Arial" w:cs="Arial" w:eastAsia="Arial" w:hAnsi="Arial"/>
          <w:sz w:val="14"/>
          <w:szCs w:val="14"/>
          <w:color w:val="auto"/>
        </w:rPr>
        <w:t>The “Percent of Total” reported in this column has been calculated based upon the numbers of shares of Common Stock outstanding as of March 20, 2023, and may differ from the “Percent of Class” reported in statements of beneficial ownership filed with the SEC.</w:t>
      </w:r>
    </w:p>
    <w:p>
      <w:pPr>
        <w:spacing w:after="0" w:line="1" w:lineRule="exact"/>
        <w:rPr>
          <w:rFonts w:ascii="Arial" w:cs="Arial" w:eastAsia="Arial" w:hAnsi="Arial"/>
          <w:sz w:val="22"/>
          <w:szCs w:val="22"/>
          <w:color w:val="auto"/>
          <w:vertAlign w:val="superscript"/>
        </w:rPr>
      </w:pPr>
    </w:p>
    <w:p>
      <w:pPr>
        <w:ind w:left="540" w:hanging="424"/>
        <w:spacing w:after="0" w:line="187" w:lineRule="auto"/>
        <w:tabs>
          <w:tab w:leader="none" w:pos="540" w:val="left"/>
        </w:tabs>
        <w:numPr>
          <w:ilvl w:val="0"/>
          <w:numId w:val="142"/>
        </w:numPr>
        <w:rPr>
          <w:rFonts w:ascii="Arial" w:cs="Arial" w:eastAsia="Arial" w:hAnsi="Arial"/>
          <w:sz w:val="22"/>
          <w:szCs w:val="22"/>
          <w:color w:val="auto"/>
          <w:vertAlign w:val="superscript"/>
        </w:rPr>
      </w:pPr>
      <w:r>
        <w:rPr>
          <w:rFonts w:ascii="Arial" w:cs="Arial" w:eastAsia="Arial" w:hAnsi="Arial"/>
          <w:sz w:val="14"/>
          <w:szCs w:val="14"/>
          <w:color w:val="auto"/>
        </w:rPr>
        <w:t>The amounts shown and the following information was provided by BlackRock, Inc. pursuant to a Schedule 13G/A filed with the SEC on February 7, 2023. BlackRock, Inc. reports that it has sole voting power over 44,145,782 of these shares and sole dispositive power over 48,513,079 shares.</w:t>
      </w:r>
    </w:p>
    <w:p>
      <w:pPr>
        <w:spacing w:after="0" w:line="1" w:lineRule="exact"/>
        <w:rPr>
          <w:rFonts w:ascii="Arial" w:cs="Arial" w:eastAsia="Arial" w:hAnsi="Arial"/>
          <w:sz w:val="22"/>
          <w:szCs w:val="22"/>
          <w:color w:val="auto"/>
          <w:vertAlign w:val="superscript"/>
        </w:rPr>
      </w:pPr>
    </w:p>
    <w:p>
      <w:pPr>
        <w:jc w:val="both"/>
        <w:ind w:left="540" w:right="20" w:hanging="424"/>
        <w:spacing w:after="0" w:line="202" w:lineRule="auto"/>
        <w:tabs>
          <w:tab w:leader="none" w:pos="540" w:val="left"/>
        </w:tabs>
        <w:numPr>
          <w:ilvl w:val="0"/>
          <w:numId w:val="142"/>
        </w:numPr>
        <w:rPr>
          <w:rFonts w:ascii="Arial" w:cs="Arial" w:eastAsia="Arial" w:hAnsi="Arial"/>
          <w:sz w:val="22"/>
          <w:szCs w:val="22"/>
          <w:color w:val="auto"/>
          <w:vertAlign w:val="superscript"/>
        </w:rPr>
      </w:pPr>
      <w:r>
        <w:rPr>
          <w:rFonts w:ascii="Arial" w:cs="Arial" w:eastAsia="Arial" w:hAnsi="Arial"/>
          <w:sz w:val="14"/>
          <w:szCs w:val="14"/>
          <w:color w:val="auto"/>
        </w:rPr>
        <w:t>The amounts shown and the following information was provided by The Vanguard Group pursuant to a Schedule 13G/A filed with the SEC on February 9, 2023. The Vanguard Group reports that it has sole voting power over 0 of these shares, shared voting power over 790,733 of these shares, sole dispositive power over 45,751,882 of these shares, and shared dispositive power over 2,313,257 of these shares.</w:t>
      </w:r>
    </w:p>
    <w:p>
      <w:pPr>
        <w:spacing w:after="0" w:line="2" w:lineRule="exact"/>
        <w:rPr>
          <w:rFonts w:ascii="Arial" w:cs="Arial" w:eastAsia="Arial" w:hAnsi="Arial"/>
          <w:sz w:val="22"/>
          <w:szCs w:val="22"/>
          <w:color w:val="auto"/>
          <w:vertAlign w:val="superscript"/>
        </w:rPr>
      </w:pPr>
    </w:p>
    <w:p>
      <w:pPr>
        <w:jc w:val="both"/>
        <w:ind w:left="540" w:right="20" w:hanging="424"/>
        <w:spacing w:after="0" w:line="207" w:lineRule="auto"/>
        <w:tabs>
          <w:tab w:leader="none" w:pos="540" w:val="left"/>
        </w:tabs>
        <w:numPr>
          <w:ilvl w:val="0"/>
          <w:numId w:val="142"/>
        </w:numPr>
        <w:rPr>
          <w:rFonts w:ascii="Arial" w:cs="Arial" w:eastAsia="Arial" w:hAnsi="Arial"/>
          <w:sz w:val="22"/>
          <w:szCs w:val="22"/>
          <w:color w:val="auto"/>
          <w:vertAlign w:val="superscript"/>
        </w:rPr>
      </w:pPr>
      <w:r>
        <w:rPr>
          <w:rFonts w:ascii="Arial" w:cs="Arial" w:eastAsia="Arial" w:hAnsi="Arial"/>
          <w:sz w:val="14"/>
          <w:szCs w:val="14"/>
          <w:color w:val="auto"/>
        </w:rPr>
        <w:t>The amounts shown and the following information was provided by State Street Corporation pursuant to a Schedule 13G/A filed with the SEC on February 6, 2023. State Street Corporation reports that it has sole voting power over 0 of these shares, shared voting power over 20,769,879 of these shares, sole dispositive power over 0 of these shares, and shared dispositive power over 29,679,087 of these shares.</w:t>
      </w:r>
    </w:p>
    <w:p>
      <w:pPr>
        <w:spacing w:after="0" w:line="117" w:lineRule="exact"/>
        <w:rPr>
          <w:sz w:val="20"/>
          <w:szCs w:val="20"/>
          <w:color w:val="auto"/>
        </w:rPr>
      </w:pPr>
    </w:p>
    <w:p>
      <w:pPr>
        <w:ind w:left="120"/>
        <w:spacing w:after="0"/>
        <w:tabs>
          <w:tab w:leader="none" w:pos="595" w:val="left"/>
        </w:tabs>
        <w:rPr>
          <w:sz w:val="20"/>
          <w:szCs w:val="20"/>
          <w:color w:val="auto"/>
        </w:rPr>
      </w:pPr>
      <w:r>
        <w:rPr>
          <w:rFonts w:ascii="Arial" w:cs="Arial" w:eastAsia="Arial" w:hAnsi="Arial"/>
          <w:sz w:val="20"/>
          <w:szCs w:val="20"/>
          <w:b w:val="1"/>
          <w:bCs w:val="1"/>
          <w:color w:val="474747"/>
        </w:rPr>
        <w:t>98</w:t>
      </w:r>
      <w:r>
        <w:rPr>
          <w:sz w:val="20"/>
          <w:szCs w:val="20"/>
          <w:color w:val="auto"/>
        </w:rPr>
        <w:tab/>
      </w:r>
      <w:r>
        <w:rPr>
          <w:sz w:val="1"/>
          <w:szCs w:val="1"/>
          <w:color w:val="auto"/>
        </w:rPr>
        <w:drawing>
          <wp:inline distT="0" distB="0" distL="0" distR="0">
            <wp:extent cx="582930" cy="137160"/>
            <wp:effectExtent l="0" t="0" r="0" b="0"/>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205740</wp:posOffset>
            </wp:positionV>
            <wp:extent cx="5383530" cy="21463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383530" cy="214630"/>
                    </a:xfrm>
                    <a:prstGeom prst="rect">
                      <a:avLst/>
                    </a:prstGeom>
                    <a:noFill/>
                  </pic:spPr>
                </pic:pic>
              </a:graphicData>
            </a:graphic>
          </wp:anchor>
        </w:drawing>
      </w: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21"/>
          <w:szCs w:val="21"/>
          <w:b w:val="1"/>
          <w:bCs w:val="1"/>
          <w:color w:val="FFFFFF"/>
        </w:rPr>
        <w:t>Item 4 — Ratification of Selection of Independent Registered Public Accountants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Item 4</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31"/>
          <w:szCs w:val="31"/>
          <w:b w:val="1"/>
          <w:bCs w:val="1"/>
          <w:color w:val="0171B9"/>
        </w:rPr>
        <w:t>Ratification of Selection of Independent Registered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59055</wp:posOffset>
            </wp:positionV>
            <wp:extent cx="699516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317" w:lineRule="exact"/>
        <w:rPr>
          <w:sz w:val="20"/>
          <w:szCs w:val="20"/>
          <w:color w:val="auto"/>
        </w:rPr>
      </w:pPr>
    </w:p>
    <w:p>
      <w:pPr>
        <w:jc w:val="both"/>
        <w:ind w:left="120"/>
        <w:spacing w:after="0"/>
        <w:rPr>
          <w:sz w:val="20"/>
          <w:szCs w:val="20"/>
          <w:color w:val="auto"/>
        </w:rPr>
      </w:pPr>
      <w:r>
        <w:rPr>
          <w:rFonts w:ascii="Arial" w:cs="Arial" w:eastAsia="Arial" w:hAnsi="Arial"/>
          <w:sz w:val="17"/>
          <w:szCs w:val="17"/>
          <w:color w:val="auto"/>
        </w:rPr>
        <w:t>The Audit Committee of the Board of Directors, or Board, has sole authority for the appointment, compensation, and oversight of the work of the independent registered public accountants. The Audit Committee has selected Ernst &amp; Young LLP, or EY, as our independent registered public accountants for the fiscal year ending December 31, 2023, and the Board has directed that management submit this selection for ratification by the stockholders at our 2023 Annual Meeting of Stockholders, or Annual Meeting. EY has served as our independent registered public accounting firm and has audited our financial statements since the Company’s inception in 1980. Each year, the Audit Committee evaluates the qualifications and performance of the Company’s independent registered public accountants and determines whether to re-engage the current independent registered public accountants or whether there should be a rotation of our independent registered public accountants. In doing so, the Audit Committee considers the quality and efficiency of the services provided by the independent registered public accountants, their technical expertise, knowledge of our complex global operations and industry, the appropriateness of EY’s fees, as well as external data on audit quality and performance, including independent assessments by the Public Company Accounting Oversight Board (PCAOB) on EY and its peer firms. Based on this evaluation, the members of the Audit Committee believe that the continued retention of EY as our independent registered public accountants for 2023 is in the best interests of the Company and its stockholders.</w:t>
      </w:r>
    </w:p>
    <w:p>
      <w:pPr>
        <w:spacing w:after="0" w:line="135" w:lineRule="exact"/>
        <w:rPr>
          <w:sz w:val="20"/>
          <w:szCs w:val="20"/>
          <w:color w:val="auto"/>
        </w:rPr>
      </w:pPr>
    </w:p>
    <w:p>
      <w:pPr>
        <w:jc w:val="both"/>
        <w:ind w:left="120"/>
        <w:spacing w:after="0" w:line="243" w:lineRule="auto"/>
        <w:rPr>
          <w:sz w:val="20"/>
          <w:szCs w:val="20"/>
          <w:color w:val="auto"/>
        </w:rPr>
      </w:pPr>
      <w:r>
        <w:rPr>
          <w:rFonts w:ascii="Arial" w:cs="Arial" w:eastAsia="Arial" w:hAnsi="Arial"/>
          <w:sz w:val="17"/>
          <w:szCs w:val="17"/>
          <w:color w:val="auto"/>
        </w:rPr>
        <w:t>In conjunction with the mandated rotation of EY’s lead engagement partner, the Audit Committee and its Chair are directly involved in the</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selection of EY’s new lead engagement partner. The process for selection of EY’s lead engagement partner involves a meeting between the Audit Committee’s Chair and the candidate, as well as an assessment by the full Audit Committee and management. To ensure a smooth transition, the new lead engagement partner shadows the lead engagement partner and attends Audit Committee meetings in advance of assuming the responsibilities. The selection of a new lead engagement partner most recently occurred in 2021 and was effective after the completion of our 2021 Annual Report on Form 10-K. A representative of EY is expected to be in attendance at the Annual Meeting and will have an opportunity to make a statement and respond to appropriate questions.</w:t>
      </w:r>
    </w:p>
    <w:p>
      <w:pPr>
        <w:spacing w:after="0" w:line="9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Stockholder ratification of the selection of EY as our independent registered public accountants is not required by the Amgen Inc. Restated Certificate of Incorporation, the Amended and Restated Bylaws of Amgen Inc., or otherwise. However, the Board is submitting the selection of EY to our stockholders for ratification because we believe it is a matter of good corporate governance practice. If our stockholders fail to ratify the selection, the Audit Committee will reconsider whether or not to retain EY, but still may retain them. Even if the selection is ratified, the Audit Committee in its discretion may direct the appointment of a different independent registered public accounting firm at any time during the year if the Audit Committee determines that such a change would be in our best interests and that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603885</wp:posOffset>
            </wp:positionV>
            <wp:extent cx="6998970" cy="43243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998970" cy="432435"/>
                    </a:xfrm>
                    <a:prstGeom prst="rect">
                      <a:avLst/>
                    </a:prstGeom>
                    <a:noFill/>
                  </pic:spPr>
                </pic:pic>
              </a:graphicData>
            </a:graphic>
          </wp:anchor>
        </w:drawing>
      </w:r>
    </w:p>
    <w:p>
      <w:pPr>
        <w:spacing w:after="0" w:line="774"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237" w:lineRule="exact"/>
        <w:rPr>
          <w:sz w:val="20"/>
          <w:szCs w:val="20"/>
          <w:color w:val="auto"/>
        </w:rPr>
      </w:pPr>
    </w:p>
    <w:p>
      <w:pPr>
        <w:ind w:left="240" w:right="140"/>
        <w:spacing w:after="0" w:line="275" w:lineRule="auto"/>
        <w:rPr>
          <w:sz w:val="20"/>
          <w:szCs w:val="20"/>
          <w:color w:val="auto"/>
        </w:rPr>
      </w:pPr>
      <w:r>
        <w:rPr>
          <w:rFonts w:ascii="Arial" w:cs="Arial" w:eastAsia="Arial" w:hAnsi="Arial"/>
          <w:sz w:val="21"/>
          <w:szCs w:val="21"/>
          <w:b w:val="1"/>
          <w:bCs w:val="1"/>
          <w:color w:val="0171B9"/>
        </w:rPr>
        <w:t>THE BOARD OF DIRECTORS RECOMMENDS A VOTE “FOR” RATIFICATION OF OUR INDEPENDENT REGISTERED PUBLIC ACCOUNTANTS.</w:t>
      </w:r>
    </w:p>
    <w:p>
      <w:pPr>
        <w:spacing w:after="0" w:line="196"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-162560</wp:posOffset>
            </wp:positionV>
            <wp:extent cx="582930" cy="13716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205740</wp:posOffset>
            </wp:positionV>
            <wp:extent cx="1011555" cy="21463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011555" cy="214630"/>
                    </a:xfrm>
                    <a:prstGeom prst="rect">
                      <a:avLst/>
                    </a:prstGeom>
                    <a:noFill/>
                  </pic:spPr>
                </pic:pic>
              </a:graphicData>
            </a:graphic>
          </wp:anchor>
        </w:drawing>
      </w: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rPr>
        <w:t>Audit Matters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Audit Matters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317"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The Audit Committee has reviewed and discussed with management the Company’s audited consolidated financial statements as of and for the year ended December 31, 2022.</w:t>
      </w:r>
    </w:p>
    <w:p>
      <w:pPr>
        <w:spacing w:after="0" w:line="93"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The Audit Committee has also discussed with Ernst &amp; Young LLP, or EY, the matters required to be discussed by the applicable requirements of the Public Company Accounting Oversight Board (PCAOB) and the Securities and Exchange Commission.</w:t>
      </w:r>
    </w:p>
    <w:p>
      <w:pPr>
        <w:spacing w:after="0" w:line="95"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The Audit Committee has received and reviewed the written disclosures and the letter from EY required by the applicable requirements of the</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PCAOB regarding EY’s communication with the Audit Committee concerning independence and has discussed with EY their independence.</w:t>
      </w:r>
    </w:p>
    <w:p>
      <w:pPr>
        <w:spacing w:after="0" w:line="93" w:lineRule="exact"/>
        <w:rPr>
          <w:sz w:val="20"/>
          <w:szCs w:val="20"/>
          <w:color w:val="auto"/>
        </w:rPr>
      </w:pPr>
    </w:p>
    <w:p>
      <w:pPr>
        <w:jc w:val="both"/>
        <w:ind w:right="20"/>
        <w:spacing w:after="0"/>
        <w:rPr>
          <w:sz w:val="20"/>
          <w:szCs w:val="20"/>
          <w:color w:val="auto"/>
        </w:rPr>
      </w:pPr>
      <w:r>
        <w:rPr>
          <w:rFonts w:ascii="Arial" w:cs="Arial" w:eastAsia="Arial" w:hAnsi="Arial"/>
          <w:sz w:val="17"/>
          <w:szCs w:val="17"/>
          <w:color w:val="auto"/>
        </w:rPr>
        <w:t>Based on the reviews and discussions referred to above, the Audit Committee recommended to the Board of Directors that the audited consolidated financial statements referred to above be included in the Company’s Annual Report on Form 10-K for the year ended December 31, 2022 for filing with the Securities and Exchange Commission.</w:t>
      </w:r>
    </w:p>
    <w:p>
      <w:pPr>
        <w:spacing w:after="0" w:line="668"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Audit Committee of the Board of Directors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Charles M. Holley, Jr., Chair</w:t>
      </w:r>
    </w:p>
    <w:p>
      <w:pPr>
        <w:jc w:val="center"/>
        <w:ind w:right="-119"/>
        <w:spacing w:after="0" w:line="232" w:lineRule="auto"/>
        <w:rPr>
          <w:sz w:val="20"/>
          <w:szCs w:val="20"/>
          <w:color w:val="auto"/>
        </w:rPr>
      </w:pPr>
      <w:r>
        <w:rPr>
          <w:rFonts w:ascii="Arial" w:cs="Arial" w:eastAsia="Arial" w:hAnsi="Arial"/>
          <w:sz w:val="17"/>
          <w:szCs w:val="17"/>
          <w:color w:val="auto"/>
        </w:rPr>
        <w:t>Wanda M. Austin</w:t>
      </w:r>
    </w:p>
    <w:p>
      <w:pPr>
        <w:jc w:val="center"/>
        <w:ind w:right="-119"/>
        <w:spacing w:after="0" w:line="232" w:lineRule="auto"/>
        <w:rPr>
          <w:sz w:val="20"/>
          <w:szCs w:val="20"/>
          <w:color w:val="auto"/>
        </w:rPr>
      </w:pPr>
      <w:r>
        <w:rPr>
          <w:rFonts w:ascii="Arial" w:cs="Arial" w:eastAsia="Arial" w:hAnsi="Arial"/>
          <w:sz w:val="17"/>
          <w:szCs w:val="17"/>
          <w:color w:val="auto"/>
        </w:rPr>
        <w:t>Ellen J. Kullman</w:t>
      </w:r>
    </w:p>
    <w:p>
      <w:pPr>
        <w:jc w:val="center"/>
        <w:ind w:right="-119"/>
        <w:spacing w:after="0"/>
        <w:rPr>
          <w:sz w:val="20"/>
          <w:szCs w:val="20"/>
          <w:color w:val="auto"/>
        </w:rPr>
      </w:pPr>
      <w:r>
        <w:rPr>
          <w:rFonts w:ascii="Arial" w:cs="Arial" w:eastAsia="Arial" w:hAnsi="Arial"/>
          <w:sz w:val="17"/>
          <w:szCs w:val="17"/>
          <w:color w:val="auto"/>
        </w:rPr>
        <w:t>Amy E. Miles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Independent Registered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The following table presents fees for professional services provided or to be provided by EY for audits of the years ended December 31, 2022 and December 31, 2021, and fees for other services rendered by EY during these periods.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820" w:type="dxa"/>
            <w:vAlign w:val="bottom"/>
            <w:shd w:val="clear" w:color="auto" w:fill="0171B9"/>
          </w:tcPr>
          <w:p>
            <w:pPr>
              <w:spacing w:after="0"/>
              <w:rPr>
                <w:sz w:val="16"/>
                <w:szCs w:val="16"/>
                <w:color w:val="auto"/>
              </w:rPr>
            </w:pPr>
          </w:p>
        </w:tc>
        <w:tc>
          <w:tcPr>
            <w:tcW w:w="1580" w:type="dxa"/>
            <w:vAlign w:val="bottom"/>
            <w:shd w:val="clear" w:color="auto" w:fill="0171B9"/>
          </w:tcPr>
          <w:p>
            <w:pPr>
              <w:jc w:val="right"/>
              <w:ind w:right="495"/>
              <w:spacing w:after="0"/>
              <w:rPr>
                <w:sz w:val="20"/>
                <w:szCs w:val="20"/>
                <w:color w:val="auto"/>
              </w:rPr>
            </w:pPr>
            <w:r>
              <w:rPr>
                <w:rFonts w:ascii="Arial" w:cs="Arial" w:eastAsia="Arial" w:hAnsi="Arial"/>
                <w:sz w:val="16"/>
                <w:szCs w:val="16"/>
                <w:b w:val="1"/>
                <w:bCs w:val="1"/>
                <w:color w:val="FFFFFF"/>
              </w:rPr>
              <w:t>2022</w:t>
            </w:r>
          </w:p>
        </w:tc>
        <w:tc>
          <w:tcPr>
            <w:tcW w:w="1620" w:type="dxa"/>
            <w:vAlign w:val="bottom"/>
            <w:shd w:val="clear" w:color="auto" w:fill="0171B9"/>
          </w:tcPr>
          <w:p>
            <w:pPr>
              <w:jc w:val="right"/>
              <w:ind w:right="75"/>
              <w:spacing w:after="0"/>
              <w:rPr>
                <w:sz w:val="20"/>
                <w:szCs w:val="20"/>
                <w:color w:val="auto"/>
              </w:rPr>
            </w:pPr>
            <w:r>
              <w:rPr>
                <w:rFonts w:ascii="Arial" w:cs="Arial" w:eastAsia="Arial" w:hAnsi="Arial"/>
                <w:sz w:val="16"/>
                <w:szCs w:val="16"/>
                <w:b w:val="1"/>
                <w:bCs w:val="1"/>
                <w:color w:val="FFFFFF"/>
              </w:rPr>
              <w:t>2021</w:t>
            </w:r>
          </w:p>
        </w:tc>
      </w:tr>
      <w:tr>
        <w:trPr>
          <w:trHeight w:val="284"/>
        </w:trPr>
        <w:tc>
          <w:tcPr>
            <w:tcW w:w="7820" w:type="dxa"/>
            <w:vAlign w:val="bottom"/>
            <w:shd w:val="clear" w:color="auto" w:fill="CCE2F1"/>
          </w:tcPr>
          <w:p>
            <w:pPr>
              <w:ind w:left="80"/>
              <w:spacing w:after="0"/>
              <w:rPr>
                <w:sz w:val="20"/>
                <w:szCs w:val="20"/>
                <w:color w:val="auto"/>
              </w:rPr>
            </w:pPr>
            <w:r>
              <w:rPr>
                <w:rFonts w:ascii="Arial" w:cs="Arial" w:eastAsia="Arial" w:hAnsi="Arial"/>
                <w:sz w:val="17"/>
                <w:szCs w:val="17"/>
                <w:color w:val="auto"/>
              </w:rPr>
              <w:t>Audit</w:t>
            </w:r>
          </w:p>
        </w:tc>
        <w:tc>
          <w:tcPr>
            <w:tcW w:w="1580" w:type="dxa"/>
            <w:vAlign w:val="bottom"/>
            <w:shd w:val="clear" w:color="auto" w:fill="CCE2F1"/>
          </w:tcPr>
          <w:p>
            <w:pPr>
              <w:jc w:val="right"/>
              <w:ind w:right="495"/>
              <w:spacing w:after="0"/>
              <w:rPr>
                <w:sz w:val="20"/>
                <w:szCs w:val="20"/>
                <w:color w:val="auto"/>
              </w:rPr>
            </w:pPr>
            <w:r>
              <w:rPr>
                <w:rFonts w:ascii="Arial" w:cs="Arial" w:eastAsia="Arial" w:hAnsi="Arial"/>
                <w:sz w:val="17"/>
                <w:szCs w:val="17"/>
                <w:color w:val="auto"/>
              </w:rPr>
              <w:t>$ 9,454,000</w:t>
            </w:r>
          </w:p>
        </w:tc>
        <w:tc>
          <w:tcPr>
            <w:tcW w:w="1620" w:type="dxa"/>
            <w:vAlign w:val="bottom"/>
            <w:shd w:val="clear" w:color="auto" w:fill="CCE2F1"/>
          </w:tcPr>
          <w:p>
            <w:pPr>
              <w:jc w:val="right"/>
              <w:ind w:right="75"/>
              <w:spacing w:after="0"/>
              <w:rPr>
                <w:sz w:val="20"/>
                <w:szCs w:val="20"/>
                <w:color w:val="auto"/>
              </w:rPr>
            </w:pPr>
            <w:r>
              <w:rPr>
                <w:rFonts w:ascii="Arial" w:cs="Arial" w:eastAsia="Arial" w:hAnsi="Arial"/>
                <w:sz w:val="17"/>
                <w:szCs w:val="17"/>
                <w:color w:val="auto"/>
              </w:rPr>
              <w:t>$ 8,784,000</w:t>
            </w:r>
          </w:p>
        </w:tc>
      </w:tr>
      <w:tr>
        <w:trPr>
          <w:trHeight w:val="275"/>
        </w:trPr>
        <w:tc>
          <w:tcPr>
            <w:tcW w:w="7820" w:type="dxa"/>
            <w:vAlign w:val="bottom"/>
          </w:tcPr>
          <w:p>
            <w:pPr>
              <w:ind w:left="80"/>
              <w:spacing w:after="0"/>
              <w:rPr>
                <w:sz w:val="20"/>
                <w:szCs w:val="20"/>
                <w:color w:val="auto"/>
              </w:rPr>
            </w:pPr>
            <w:r>
              <w:rPr>
                <w:rFonts w:ascii="Arial" w:cs="Arial" w:eastAsia="Arial" w:hAnsi="Arial"/>
                <w:sz w:val="17"/>
                <w:szCs w:val="17"/>
                <w:color w:val="auto"/>
              </w:rPr>
              <w:t>Audit-Related</w:t>
            </w:r>
          </w:p>
        </w:tc>
        <w:tc>
          <w:tcPr>
            <w:tcW w:w="1580" w:type="dxa"/>
            <w:vAlign w:val="bottom"/>
          </w:tcPr>
          <w:p>
            <w:pPr>
              <w:jc w:val="right"/>
              <w:ind w:right="495"/>
              <w:spacing w:after="0"/>
              <w:rPr>
                <w:sz w:val="20"/>
                <w:szCs w:val="20"/>
                <w:color w:val="auto"/>
              </w:rPr>
            </w:pPr>
            <w:r>
              <w:rPr>
                <w:rFonts w:ascii="Arial" w:cs="Arial" w:eastAsia="Arial" w:hAnsi="Arial"/>
                <w:sz w:val="17"/>
                <w:szCs w:val="17"/>
                <w:color w:val="auto"/>
              </w:rPr>
              <w:t>442,000</w:t>
            </w:r>
          </w:p>
        </w:tc>
        <w:tc>
          <w:tcPr>
            <w:tcW w:w="1620" w:type="dxa"/>
            <w:vAlign w:val="bottom"/>
          </w:tcPr>
          <w:p>
            <w:pPr>
              <w:jc w:val="right"/>
              <w:ind w:right="75"/>
              <w:spacing w:after="0"/>
              <w:rPr>
                <w:sz w:val="20"/>
                <w:szCs w:val="20"/>
                <w:color w:val="auto"/>
              </w:rPr>
            </w:pPr>
            <w:r>
              <w:rPr>
                <w:rFonts w:ascii="Arial" w:cs="Arial" w:eastAsia="Arial" w:hAnsi="Arial"/>
                <w:sz w:val="17"/>
                <w:szCs w:val="17"/>
                <w:color w:val="auto"/>
              </w:rPr>
              <w:t>418,000</w:t>
            </w:r>
          </w:p>
        </w:tc>
      </w:tr>
      <w:tr>
        <w:trPr>
          <w:trHeight w:val="292"/>
        </w:trPr>
        <w:tc>
          <w:tcPr>
            <w:tcW w:w="7820" w:type="dxa"/>
            <w:vAlign w:val="bottom"/>
            <w:shd w:val="clear" w:color="auto" w:fill="CCE2F1"/>
          </w:tcPr>
          <w:p>
            <w:pPr>
              <w:ind w:left="80"/>
              <w:spacing w:after="0"/>
              <w:rPr>
                <w:sz w:val="20"/>
                <w:szCs w:val="20"/>
                <w:color w:val="auto"/>
              </w:rPr>
            </w:pPr>
            <w:r>
              <w:rPr>
                <w:rFonts w:ascii="Arial" w:cs="Arial" w:eastAsia="Arial" w:hAnsi="Arial"/>
                <w:sz w:val="17"/>
                <w:szCs w:val="17"/>
                <w:color w:val="auto"/>
              </w:rPr>
              <w:t>Tax</w:t>
            </w:r>
          </w:p>
        </w:tc>
        <w:tc>
          <w:tcPr>
            <w:tcW w:w="1580" w:type="dxa"/>
            <w:vAlign w:val="bottom"/>
            <w:shd w:val="clear" w:color="auto" w:fill="CCE2F1"/>
          </w:tcPr>
          <w:p>
            <w:pPr>
              <w:jc w:val="right"/>
              <w:ind w:right="495"/>
              <w:spacing w:after="0"/>
              <w:rPr>
                <w:sz w:val="20"/>
                <w:szCs w:val="20"/>
                <w:color w:val="auto"/>
              </w:rPr>
            </w:pPr>
            <w:r>
              <w:rPr>
                <w:rFonts w:ascii="Arial" w:cs="Arial" w:eastAsia="Arial" w:hAnsi="Arial"/>
                <w:sz w:val="17"/>
                <w:szCs w:val="17"/>
                <w:color w:val="auto"/>
              </w:rPr>
              <w:t>35,000</w:t>
            </w:r>
          </w:p>
        </w:tc>
        <w:tc>
          <w:tcPr>
            <w:tcW w:w="1620" w:type="dxa"/>
            <w:vAlign w:val="bottom"/>
            <w:shd w:val="clear" w:color="auto" w:fill="CCE2F1"/>
          </w:tcPr>
          <w:p>
            <w:pPr>
              <w:jc w:val="right"/>
              <w:ind w:right="75"/>
              <w:spacing w:after="0"/>
              <w:rPr>
                <w:sz w:val="20"/>
                <w:szCs w:val="20"/>
                <w:color w:val="auto"/>
              </w:rPr>
            </w:pPr>
            <w:r>
              <w:rPr>
                <w:rFonts w:ascii="Arial" w:cs="Arial" w:eastAsia="Arial" w:hAnsi="Arial"/>
                <w:sz w:val="17"/>
                <w:szCs w:val="17"/>
                <w:color w:val="auto"/>
              </w:rPr>
              <w:t>3,000</w:t>
            </w:r>
          </w:p>
        </w:tc>
      </w:tr>
      <w:tr>
        <w:trPr>
          <w:trHeight w:val="277"/>
        </w:trPr>
        <w:tc>
          <w:tcPr>
            <w:tcW w:w="7820" w:type="dxa"/>
            <w:vAlign w:val="bottom"/>
            <w:tcBorders>
              <w:bottom w:val="single" w:sz="8" w:color="0171B9"/>
            </w:tcBorders>
          </w:tcPr>
          <w:p>
            <w:pPr>
              <w:ind w:left="80"/>
              <w:spacing w:after="0"/>
              <w:rPr>
                <w:sz w:val="20"/>
                <w:szCs w:val="20"/>
                <w:color w:val="auto"/>
              </w:rPr>
            </w:pPr>
            <w:r>
              <w:rPr>
                <w:rFonts w:ascii="Arial" w:cs="Arial" w:eastAsia="Arial" w:hAnsi="Arial"/>
                <w:sz w:val="17"/>
                <w:szCs w:val="17"/>
                <w:color w:val="auto"/>
              </w:rPr>
              <w:t>All Other Fees</w:t>
            </w:r>
          </w:p>
        </w:tc>
        <w:tc>
          <w:tcPr>
            <w:tcW w:w="1580" w:type="dxa"/>
            <w:vAlign w:val="bottom"/>
            <w:tcBorders>
              <w:bottom w:val="single" w:sz="8" w:color="0171B9"/>
            </w:tcBorders>
          </w:tcPr>
          <w:p>
            <w:pPr>
              <w:jc w:val="right"/>
              <w:ind w:right="495"/>
              <w:spacing w:after="0"/>
              <w:rPr>
                <w:sz w:val="20"/>
                <w:szCs w:val="20"/>
                <w:color w:val="auto"/>
              </w:rPr>
            </w:pPr>
            <w:r>
              <w:rPr>
                <w:rFonts w:ascii="Arial" w:cs="Arial" w:eastAsia="Arial" w:hAnsi="Arial"/>
                <w:sz w:val="17"/>
                <w:szCs w:val="17"/>
                <w:color w:val="auto"/>
              </w:rPr>
              <w:t>0</w:t>
            </w:r>
          </w:p>
        </w:tc>
        <w:tc>
          <w:tcPr>
            <w:tcW w:w="1620" w:type="dxa"/>
            <w:vAlign w:val="bottom"/>
            <w:tcBorders>
              <w:bottom w:val="single" w:sz="8" w:color="0171B9"/>
            </w:tcBorders>
          </w:tcPr>
          <w:p>
            <w:pPr>
              <w:jc w:val="right"/>
              <w:ind w:right="75"/>
              <w:spacing w:after="0"/>
              <w:rPr>
                <w:sz w:val="20"/>
                <w:szCs w:val="20"/>
                <w:color w:val="auto"/>
              </w:rPr>
            </w:pPr>
            <w:r>
              <w:rPr>
                <w:rFonts w:ascii="Arial" w:cs="Arial" w:eastAsia="Arial" w:hAnsi="Arial"/>
                <w:sz w:val="17"/>
                <w:szCs w:val="17"/>
                <w:color w:val="auto"/>
              </w:rPr>
              <w:t>0</w:t>
            </w:r>
          </w:p>
        </w:tc>
      </w:tr>
      <w:tr>
        <w:trPr>
          <w:trHeight w:val="263"/>
        </w:trPr>
        <w:tc>
          <w:tcPr>
            <w:tcW w:w="7820" w:type="dxa"/>
            <w:vAlign w:val="bottom"/>
            <w:tcBorders>
              <w:bottom w:val="single" w:sz="8" w:color="0171B9"/>
            </w:tcBorders>
            <w:shd w:val="clear" w:color="auto" w:fill="CCE2F1"/>
          </w:tcPr>
          <w:p>
            <w:pPr>
              <w:ind w:left="80"/>
              <w:spacing w:after="0"/>
              <w:rPr>
                <w:sz w:val="20"/>
                <w:szCs w:val="20"/>
                <w:color w:val="auto"/>
              </w:rPr>
            </w:pPr>
            <w:r>
              <w:rPr>
                <w:rFonts w:ascii="Arial" w:cs="Arial" w:eastAsia="Arial" w:hAnsi="Arial"/>
                <w:sz w:val="17"/>
                <w:szCs w:val="17"/>
                <w:color w:val="auto"/>
              </w:rPr>
              <w:t>Total Fees</w:t>
            </w:r>
          </w:p>
        </w:tc>
        <w:tc>
          <w:tcPr>
            <w:tcW w:w="1580" w:type="dxa"/>
            <w:vAlign w:val="bottom"/>
            <w:tcBorders>
              <w:bottom w:val="single" w:sz="8" w:color="0171B9"/>
            </w:tcBorders>
            <w:shd w:val="clear" w:color="auto" w:fill="CCE2F1"/>
          </w:tcPr>
          <w:p>
            <w:pPr>
              <w:jc w:val="right"/>
              <w:ind w:right="495"/>
              <w:spacing w:after="0"/>
              <w:rPr>
                <w:sz w:val="20"/>
                <w:szCs w:val="20"/>
                <w:color w:val="auto"/>
              </w:rPr>
            </w:pPr>
            <w:r>
              <w:rPr>
                <w:rFonts w:ascii="Arial" w:cs="Arial" w:eastAsia="Arial" w:hAnsi="Arial"/>
                <w:sz w:val="17"/>
                <w:szCs w:val="17"/>
                <w:color w:val="auto"/>
              </w:rPr>
              <w:t>$ 9,931,000</w:t>
            </w:r>
          </w:p>
        </w:tc>
        <w:tc>
          <w:tcPr>
            <w:tcW w:w="1620" w:type="dxa"/>
            <w:vAlign w:val="bottom"/>
            <w:tcBorders>
              <w:bottom w:val="single" w:sz="8" w:color="0171B9"/>
            </w:tcBorders>
            <w:shd w:val="clear" w:color="auto" w:fill="CCE2F1"/>
          </w:tcPr>
          <w:p>
            <w:pPr>
              <w:jc w:val="right"/>
              <w:ind w:right="75"/>
              <w:spacing w:after="0"/>
              <w:rPr>
                <w:sz w:val="20"/>
                <w:szCs w:val="20"/>
                <w:color w:val="auto"/>
              </w:rPr>
            </w:pPr>
            <w:r>
              <w:rPr>
                <w:rFonts w:ascii="Arial" w:cs="Arial" w:eastAsia="Arial" w:hAnsi="Arial"/>
                <w:sz w:val="17"/>
                <w:szCs w:val="17"/>
                <w:color w:val="auto"/>
              </w:rPr>
              <w:t>$ 9,205,000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-908050</wp:posOffset>
            </wp:positionV>
            <wp:extent cx="699516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p>
      <w:pPr>
        <w:spacing w:after="0" w:line="169"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Included in Audit fees above are professional services associated with the integrated audit of our consolidated financial statements and our internal control over financial reporting and the statutory audits of various subsidiaries of the Company. Audit-Related fees are attributable to assurance and related services that are also performed by our independent registered public accountants, including attest related services, accounting consultations, and audits of employee benefit plan information. The Audit Committee has considered whether the Audit-Related services provided by EY are compatible with maintaining that firm’s independence. Tax fees include assistance with various corporate tax compliance and tax-related matters.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Audit Committee has approved all audit and permissible non-audit services prior to such services being provided by EY. The Audit Committee, or the Chair of the Audit Committee who has been granted authority by the Audit Committee, approves each audit or non-audit service prior to the engagement of EY for such service. Each such service approved by the Chair of the Audit Committee is presented to the entire Audit Committee at a subsequent meeting.</w:t>
      </w:r>
    </w:p>
    <w:p>
      <w:pPr>
        <w:spacing w:after="0" w:line="1143"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63" w:lineRule="exact"/>
        <w:rPr>
          <w:sz w:val="20"/>
          <w:szCs w:val="20"/>
          <w:color w:val="auto"/>
        </w:rPr>
      </w:pPr>
    </w:p>
    <w:p>
      <w:pPr>
        <w:ind w:left="120"/>
        <w:spacing w:after="0"/>
        <w:tabs>
          <w:tab w:leader="none" w:pos="703" w:val="left"/>
        </w:tabs>
        <w:rPr>
          <w:sz w:val="20"/>
          <w:szCs w:val="20"/>
          <w:color w:val="auto"/>
        </w:rPr>
      </w:pPr>
      <w:r>
        <w:rPr>
          <w:rFonts w:ascii="Arial" w:cs="Arial" w:eastAsia="Arial" w:hAnsi="Arial"/>
          <w:sz w:val="20"/>
          <w:szCs w:val="20"/>
          <w:b w:val="1"/>
          <w:bCs w:val="1"/>
          <w:color w:val="474747"/>
        </w:rPr>
        <w:t>100</w:t>
      </w:r>
      <w:r>
        <w:rPr>
          <w:sz w:val="20"/>
          <w:szCs w:val="20"/>
          <w:color w:val="auto"/>
        </w:rPr>
        <w:tab/>
      </w:r>
      <w:r>
        <w:rPr>
          <w:sz w:val="1"/>
          <w:szCs w:val="1"/>
          <w:color w:val="auto"/>
        </w:rPr>
        <w:drawing>
          <wp:inline distT="0" distB="0" distL="0" distR="0">
            <wp:extent cx="582930" cy="137160"/>
            <wp:effectExtent l="0" t="0" r="0" b="0"/>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205740</wp:posOffset>
            </wp:positionV>
            <wp:extent cx="1997075" cy="21463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997075" cy="214630"/>
                    </a:xfrm>
                    <a:prstGeom prst="rect">
                      <a:avLst/>
                    </a:prstGeom>
                    <a:noFill/>
                  </pic:spPr>
                </pic:pic>
              </a:graphicData>
            </a:graphic>
          </wp:anchor>
        </w:drawing>
      </w: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rPr>
        <w:t>Annual Report on Form 10-K</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Annual Report on Form 10-K</w:t>
      </w:r>
    </w:p>
    <w:p>
      <w:pPr>
        <w:sectPr>
          <w:pgSz w:w="11900" w:h="16838" w:orient="portrait"/>
          <w:cols w:equalWidth="0" w:num="1">
            <w:col w:w="11140"/>
          </w:cols>
          <w:pgMar w:left="320" w:top="486" w:right="439" w:bottom="1440" w:gutter="0" w:footer="0" w:header="0"/>
        </w:sectPr>
      </w:pPr>
    </w:p>
    <w:p>
      <w:pPr>
        <w:spacing w:after="0" w:line="212"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The Company’s Annual Report on Form 10-K for fiscal 2022, which contains the consolidated financial statements of the Company for fiscal 2022, accompanies this proxy statement, but is not a part of the Company’s soliciting materials.</w:t>
      </w:r>
    </w:p>
    <w:p>
      <w:pPr>
        <w:spacing w:after="0" w:line="75"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b w:val="1"/>
          <w:bCs w:val="1"/>
          <w:color w:val="auto"/>
        </w:rPr>
        <w:t>Stockholders may obtain, without charge, a copy of the Company’s Annual Report on Form 10-K for fiscal 2022, filed with the Securities and Exchange Commission, including the financial statements and schedules thereto, without the accompanying exhibits, by writing to: Investor Relations, Director, Amgen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183515</wp:posOffset>
            </wp:positionV>
            <wp:extent cx="77152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color w:val="auto"/>
        </w:rPr>
        <w:t xml:space="preserve">One Amgen Center Drive, Thousand Oaks, CA 91320-1799, or contact Investor Relations by telephone at (805) 447-1060 or email at investor.relations@amgen.com. The Company’s Annual Report on Form 10-K is also available online on the Company’s website at </w:t>
      </w:r>
      <w:r>
        <w:rPr>
          <w:rFonts w:ascii="Arial" w:cs="Arial" w:eastAsia="Arial" w:hAnsi="Arial"/>
          <w:sz w:val="17"/>
          <w:szCs w:val="17"/>
          <w:b w:val="1"/>
          <w:bCs w:val="1"/>
          <w:color w:val="0171B9"/>
        </w:rPr>
        <w:t>www.amgen.com</w:t>
      </w:r>
      <w:r>
        <w:rPr>
          <w:rFonts w:ascii="Arial" w:cs="Arial" w:eastAsia="Arial" w:hAnsi="Arial"/>
          <w:sz w:val="17"/>
          <w:szCs w:val="17"/>
          <w:b w:val="1"/>
          <w:bCs w:val="1"/>
          <w:color w:val="000000"/>
        </w:rPr>
        <w:t>.</w:t>
      </w:r>
      <w:r>
        <w:rPr>
          <w:rFonts w:ascii="Arial" w:cs="Arial" w:eastAsia="Arial" w:hAnsi="Arial"/>
          <w:sz w:val="12"/>
          <w:szCs w:val="12"/>
          <w:b w:val="1"/>
          <w:bCs w:val="1"/>
          <w:color w:val="000000"/>
        </w:rPr>
        <w:t>(1)</w:t>
      </w:r>
      <w:r>
        <w:rPr>
          <w:rFonts w:ascii="Arial" w:cs="Arial" w:eastAsia="Arial" w:hAnsi="Arial"/>
          <w:sz w:val="17"/>
          <w:szCs w:val="17"/>
          <w:b w:val="1"/>
          <w:bCs w:val="1"/>
          <w:color w:val="0171B9"/>
        </w:rPr>
        <w:t xml:space="preserve"> </w:t>
      </w:r>
      <w:r>
        <w:rPr>
          <w:rFonts w:ascii="Arial" w:cs="Arial" w:eastAsia="Arial" w:hAnsi="Arial"/>
          <w:sz w:val="17"/>
          <w:szCs w:val="17"/>
          <w:b w:val="1"/>
          <w:bCs w:val="1"/>
          <w:color w:val="000000"/>
        </w:rPr>
        <w:t>A list of exhibits is included in the Form 10-K</w:t>
      </w:r>
      <w:r>
        <w:rPr>
          <w:rFonts w:ascii="Arial" w:cs="Arial" w:eastAsia="Arial" w:hAnsi="Arial"/>
          <w:sz w:val="17"/>
          <w:szCs w:val="17"/>
          <w:b w:val="1"/>
          <w:bCs w:val="1"/>
          <w:color w:val="0171B9"/>
        </w:rPr>
        <w:t xml:space="preserve"> </w:t>
      </w:r>
      <w:r>
        <w:rPr>
          <w:rFonts w:ascii="Arial" w:cs="Arial" w:eastAsia="Arial" w:hAnsi="Arial"/>
          <w:sz w:val="17"/>
          <w:szCs w:val="17"/>
          <w:b w:val="1"/>
          <w:bCs w:val="1"/>
          <w:color w:val="000000"/>
        </w:rPr>
        <w:t>and exhibits are available online on the Company’s website or may be obtained from the Company upon payment to the Company of the cost of furnishing them.</w:t>
      </w:r>
    </w:p>
    <w:p>
      <w:pPr>
        <w:spacing w:after="0" w:line="687"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54" w:lineRule="exact"/>
        <w:rPr>
          <w:sz w:val="20"/>
          <w:szCs w:val="20"/>
          <w:color w:val="auto"/>
        </w:rPr>
      </w:pPr>
    </w:p>
    <w:p>
      <w:pPr>
        <w:ind w:left="540" w:hanging="424"/>
        <w:spacing w:after="0"/>
        <w:tabs>
          <w:tab w:leader="none" w:pos="540" w:val="left"/>
        </w:tabs>
        <w:numPr>
          <w:ilvl w:val="0"/>
          <w:numId w:val="143"/>
        </w:numPr>
        <w:rPr>
          <w:rFonts w:ascii="Arial" w:cs="Arial" w:eastAsia="Arial" w:hAnsi="Arial"/>
          <w:sz w:val="22"/>
          <w:szCs w:val="22"/>
          <w:color w:val="auto"/>
          <w:vertAlign w:val="superscript"/>
        </w:rPr>
      </w:pPr>
      <w:r>
        <w:rPr>
          <w:rFonts w:ascii="Arial" w:cs="Arial" w:eastAsia="Arial" w:hAnsi="Arial"/>
          <w:sz w:val="14"/>
          <w:szCs w:val="14"/>
          <w:color w:val="auto"/>
        </w:rPr>
        <w:t>Reference to our website is not intended to function as a hyperlink and the information contained on our website is not intended to be part of this proxy statement.</w:t>
      </w:r>
    </w:p>
    <w:p>
      <w:pPr>
        <w:spacing w:after="0" w:line="117"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20"/>
          <w:szCs w:val="20"/>
          <w:b w:val="1"/>
          <w:bCs w:val="1"/>
          <w:color w:val="474747"/>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-162560</wp:posOffset>
            </wp:positionV>
            <wp:extent cx="582930" cy="13716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205740</wp:posOffset>
            </wp:positionV>
            <wp:extent cx="3240405" cy="21463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240405" cy="214630"/>
                    </a:xfrm>
                    <a:prstGeom prst="rect">
                      <a:avLst/>
                    </a:prstGeom>
                    <a:noFill/>
                  </pic:spPr>
                </pic:pic>
              </a:graphicData>
            </a:graphic>
          </wp:anchor>
        </w:drawing>
      </w: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rPr>
        <w:t>Certain Relationships and Related Transactions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Certain Relationships and Related Transactions</w:t>
      </w:r>
    </w:p>
    <w:p>
      <w:pPr>
        <w:sectPr>
          <w:pgSz w:w="11900" w:h="16838" w:orient="portrait"/>
          <w:cols w:equalWidth="0" w:num="1">
            <w:col w:w="11140"/>
          </w:cols>
          <w:pgMar w:left="320" w:top="486" w:right="439" w:bottom="1440" w:gutter="0" w:footer="0" w:header="0"/>
        </w:sectPr>
      </w:pPr>
    </w:p>
    <w:p>
      <w:pPr>
        <w:spacing w:after="0" w:line="212"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Under our written Approval of Related Party Transactions policy, a SEC Related Party Transaction (as defined below) may be consummated or may continue only if the Audit Committee approves or ratifies the transaction in accordance with the guidelines set forth in the policy. The policy applies to: (1) any person who is, or at any time since the beginning of our last fiscal year was, a member of our Board of Directors, or Board, one of our executive officers or a nominee to become a member of our Board; (2) any person who is known to be the beneficial owner of more than 5% of any class of our voting securities; (3) any immediate family member, as defined in the policy, of, or sharing a household with, any of the foregoing persons; and (4) any firm, corporation or other entity in which any of the foregoing persons is employed, or is a partner or principal or in a similar position or in which such person has a 5% or greater beneficial ownership interest.</w:t>
      </w:r>
    </w:p>
    <w:p>
      <w:pPr>
        <w:spacing w:after="0" w:line="96"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A “SEC Related Party Transaction” is defined in the policy as a transaction, arrangement or relationship, or series of similar transactions, arrangements or relationships (including but not limited to any indebtedness or guarantee of indebtedness) between us and any of the persons listed in the first paragraph of this section. A related party transaction also includes any material amendment or modification to an existing related party transaction. All potential related party transactions are presented to the Audit Committee for its consideration and, if the Audit Committee deems it appropriate, approval. The Audit Committee considers all relevant facts and circumstances available to it, including the recommendation of management. No member of the Audit Committee participates in any review, consideration, or approval of any related party transaction involving such member or any of his or her immediate family members, except that such member is required to provide all material information concerning the related party transaction to the Audit Committee.</w:t>
      </w:r>
    </w:p>
    <w:p>
      <w:pPr>
        <w:spacing w:after="0" w:line="95"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Related party transactions may be preliminarily entered into by management subject to ratification by the Audit Committee; provided that if ratification shall not be forthcoming, management shall make all reasonable efforts to cancel or annul such transaction. At each scheduled meeting of the Audit Committee, management is required to update the Audit Committee as to any material changes to any approved or ratified related party transaction.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ind w:left="6"/>
        <w:spacing w:after="0" w:line="238" w:lineRule="auto"/>
        <w:rPr>
          <w:sz w:val="20"/>
          <w:szCs w:val="20"/>
          <w:color w:val="auto"/>
        </w:rPr>
      </w:pPr>
      <w:r>
        <w:rPr>
          <w:rFonts w:ascii="Arial" w:cs="Arial" w:eastAsia="Arial" w:hAnsi="Arial"/>
          <w:sz w:val="17"/>
          <w:szCs w:val="17"/>
          <w:color w:val="auto"/>
        </w:rPr>
        <w:t>The Audit Committee has excluded each of the following related party transactions under the terms of our Approval of Related Party Transactions policy:</w:t>
      </w:r>
    </w:p>
    <w:p>
      <w:pPr>
        <w:spacing w:after="0" w:line="107" w:lineRule="exact"/>
        <w:rPr>
          <w:sz w:val="20"/>
          <w:szCs w:val="20"/>
          <w:color w:val="auto"/>
        </w:rPr>
      </w:pPr>
    </w:p>
    <w:p>
      <w:pPr>
        <w:jc w:val="both"/>
        <w:ind w:left="206" w:right="20" w:hanging="206"/>
        <w:spacing w:after="0" w:line="238" w:lineRule="auto"/>
        <w:tabs>
          <w:tab w:leader="none" w:pos="206" w:val="left"/>
        </w:tabs>
        <w:numPr>
          <w:ilvl w:val="0"/>
          <w:numId w:val="144"/>
        </w:numPr>
        <w:rPr>
          <w:rFonts w:ascii="Arial" w:cs="Arial" w:eastAsia="Arial" w:hAnsi="Arial"/>
          <w:sz w:val="17"/>
          <w:szCs w:val="17"/>
          <w:color w:val="0171B9"/>
        </w:rPr>
      </w:pPr>
      <w:r>
        <w:rPr>
          <w:rFonts w:ascii="Arial" w:cs="Arial" w:eastAsia="Arial" w:hAnsi="Arial"/>
          <w:sz w:val="17"/>
          <w:szCs w:val="17"/>
          <w:color w:val="auto"/>
        </w:rPr>
        <w:t>Any matters related to compensation or benefits to the extent such compensation or benefits would not be required to be disclosed under Item 404 of Regulation S-K under the Securities Act of 1933;</w:t>
      </w:r>
    </w:p>
    <w:p>
      <w:pPr>
        <w:spacing w:after="0" w:line="106" w:lineRule="exact"/>
        <w:rPr>
          <w:rFonts w:ascii="Arial" w:cs="Arial" w:eastAsia="Arial" w:hAnsi="Arial"/>
          <w:sz w:val="17"/>
          <w:szCs w:val="17"/>
          <w:color w:val="0171B9"/>
        </w:rPr>
      </w:pPr>
    </w:p>
    <w:p>
      <w:pPr>
        <w:jc w:val="both"/>
        <w:ind w:left="206" w:right="20" w:hanging="206"/>
        <w:spacing w:after="0" w:line="235" w:lineRule="auto"/>
        <w:tabs>
          <w:tab w:leader="none" w:pos="206" w:val="left"/>
        </w:tabs>
        <w:numPr>
          <w:ilvl w:val="0"/>
          <w:numId w:val="144"/>
        </w:numPr>
        <w:rPr>
          <w:rFonts w:ascii="Arial" w:cs="Arial" w:eastAsia="Arial" w:hAnsi="Arial"/>
          <w:sz w:val="17"/>
          <w:szCs w:val="17"/>
          <w:color w:val="0171B9"/>
        </w:rPr>
      </w:pPr>
      <w:r>
        <w:rPr>
          <w:rFonts w:ascii="Arial" w:cs="Arial" w:eastAsia="Arial" w:hAnsi="Arial"/>
          <w:sz w:val="17"/>
          <w:szCs w:val="17"/>
          <w:color w:val="auto"/>
        </w:rPr>
        <w:t>Transactions involving less than $120,000 (or such different amount as may require disclosure or approval under any future amendment to the rules and regulations of the SEC, including Item 404 of Regulation S-K, or the listing requirements of The NASDAQ Stock Market LLC, including Rule 5630) when aggregated with all similar transactions; or</w:t>
      </w:r>
    </w:p>
    <w:p>
      <w:pPr>
        <w:spacing w:after="0" w:line="107" w:lineRule="exact"/>
        <w:rPr>
          <w:rFonts w:ascii="Arial" w:cs="Arial" w:eastAsia="Arial" w:hAnsi="Arial"/>
          <w:sz w:val="17"/>
          <w:szCs w:val="17"/>
          <w:color w:val="0171B9"/>
        </w:rPr>
      </w:pPr>
    </w:p>
    <w:p>
      <w:pPr>
        <w:ind w:left="206" w:right="20" w:hanging="206"/>
        <w:spacing w:after="0" w:line="243" w:lineRule="auto"/>
        <w:tabs>
          <w:tab w:leader="none" w:pos="206" w:val="left"/>
        </w:tabs>
        <w:numPr>
          <w:ilvl w:val="0"/>
          <w:numId w:val="144"/>
        </w:numPr>
        <w:rPr>
          <w:rFonts w:ascii="Arial" w:cs="Arial" w:eastAsia="Arial" w:hAnsi="Arial"/>
          <w:sz w:val="17"/>
          <w:szCs w:val="17"/>
          <w:color w:val="0171B9"/>
        </w:rPr>
      </w:pPr>
      <w:r>
        <w:rPr>
          <w:rFonts w:ascii="Arial" w:cs="Arial" w:eastAsia="Arial" w:hAnsi="Arial"/>
          <w:sz w:val="17"/>
          <w:szCs w:val="17"/>
          <w:color w:val="auto"/>
        </w:rPr>
        <w:t>Transactions approved by another independent committee of the Board.</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7"/>
          <w:szCs w:val="17"/>
          <w:color w:val="auto"/>
        </w:rPr>
        <w:t>In deciding whether to approve or ratify a related party transaction, the</w:t>
      </w:r>
    </w:p>
    <w:p>
      <w:pPr>
        <w:ind w:left="6"/>
        <w:spacing w:after="0"/>
        <w:rPr>
          <w:sz w:val="20"/>
          <w:szCs w:val="20"/>
          <w:color w:val="auto"/>
        </w:rPr>
      </w:pPr>
      <w:r>
        <w:rPr>
          <w:rFonts w:ascii="Arial" w:cs="Arial" w:eastAsia="Arial" w:hAnsi="Arial"/>
          <w:sz w:val="17"/>
          <w:szCs w:val="17"/>
          <w:color w:val="auto"/>
        </w:rPr>
        <w:t>Audit Committee will consider the following factors:</w:t>
      </w:r>
    </w:p>
    <w:p>
      <w:pPr>
        <w:spacing w:after="0" w:line="109" w:lineRule="exact"/>
        <w:rPr>
          <w:sz w:val="20"/>
          <w:szCs w:val="20"/>
          <w:color w:val="auto"/>
        </w:rPr>
      </w:pPr>
    </w:p>
    <w:p>
      <w:pPr>
        <w:ind w:left="266" w:hanging="266"/>
        <w:spacing w:after="0"/>
        <w:tabs>
          <w:tab w:leader="none" w:pos="266" w:val="left"/>
        </w:tabs>
        <w:numPr>
          <w:ilvl w:val="0"/>
          <w:numId w:val="145"/>
        </w:numPr>
        <w:rPr>
          <w:rFonts w:ascii="Arial" w:cs="Arial" w:eastAsia="Arial" w:hAnsi="Arial"/>
          <w:sz w:val="17"/>
          <w:szCs w:val="17"/>
          <w:color w:val="0171B9"/>
        </w:rPr>
      </w:pPr>
      <w:r>
        <w:rPr>
          <w:rFonts w:ascii="Arial" w:cs="Arial" w:eastAsia="Arial" w:hAnsi="Arial"/>
          <w:sz w:val="17"/>
          <w:szCs w:val="17"/>
          <w:color w:val="auto"/>
        </w:rPr>
        <w:t>Whether the terms of the transaction are (i) fair to the Company and</w:t>
      </w:r>
    </w:p>
    <w:p>
      <w:pPr>
        <w:ind w:left="266" w:right="20" w:hanging="10"/>
        <w:spacing w:after="0" w:line="243" w:lineRule="auto"/>
        <w:tabs>
          <w:tab w:leader="none" w:pos="546" w:val="left"/>
        </w:tabs>
        <w:numPr>
          <w:ilvl w:val="1"/>
          <w:numId w:val="145"/>
        </w:numPr>
        <w:rPr>
          <w:rFonts w:ascii="Arial" w:cs="Arial" w:eastAsia="Arial" w:hAnsi="Arial"/>
          <w:sz w:val="17"/>
          <w:szCs w:val="17"/>
          <w:color w:val="auto"/>
        </w:rPr>
      </w:pPr>
      <w:r>
        <w:rPr>
          <w:rFonts w:ascii="Arial" w:cs="Arial" w:eastAsia="Arial" w:hAnsi="Arial"/>
          <w:sz w:val="17"/>
          <w:szCs w:val="17"/>
          <w:color w:val="auto"/>
        </w:rPr>
        <w:t>at least as favorable to the Company as would apply if the transaction did not involve a related party;</w:t>
      </w:r>
    </w:p>
    <w:p>
      <w:pPr>
        <w:spacing w:after="0" w:line="103" w:lineRule="exact"/>
        <w:rPr>
          <w:rFonts w:ascii="Arial" w:cs="Arial" w:eastAsia="Arial" w:hAnsi="Arial"/>
          <w:sz w:val="17"/>
          <w:szCs w:val="17"/>
          <w:color w:val="auto"/>
        </w:rPr>
      </w:pPr>
    </w:p>
    <w:p>
      <w:pPr>
        <w:ind w:left="266" w:right="20" w:hanging="266"/>
        <w:spacing w:after="0" w:line="243" w:lineRule="auto"/>
        <w:tabs>
          <w:tab w:leader="none" w:pos="266" w:val="left"/>
        </w:tabs>
        <w:numPr>
          <w:ilvl w:val="0"/>
          <w:numId w:val="145"/>
        </w:numPr>
        <w:rPr>
          <w:rFonts w:ascii="Arial" w:cs="Arial" w:eastAsia="Arial" w:hAnsi="Arial"/>
          <w:sz w:val="17"/>
          <w:szCs w:val="17"/>
          <w:color w:val="0171B9"/>
        </w:rPr>
      </w:pPr>
      <w:r>
        <w:rPr>
          <w:rFonts w:ascii="Arial" w:cs="Arial" w:eastAsia="Arial" w:hAnsi="Arial"/>
          <w:sz w:val="17"/>
          <w:szCs w:val="17"/>
          <w:color w:val="auto"/>
        </w:rPr>
        <w:t>Whether there are demonstrable business reasons for the Company to enter into the transaction;</w:t>
      </w:r>
    </w:p>
    <w:p>
      <w:pPr>
        <w:spacing w:after="0" w:line="103" w:lineRule="exact"/>
        <w:rPr>
          <w:rFonts w:ascii="Arial" w:cs="Arial" w:eastAsia="Arial" w:hAnsi="Arial"/>
          <w:sz w:val="17"/>
          <w:szCs w:val="17"/>
          <w:color w:val="0171B9"/>
        </w:rPr>
      </w:pPr>
    </w:p>
    <w:p>
      <w:pPr>
        <w:ind w:left="266" w:right="20" w:hanging="266"/>
        <w:spacing w:after="0" w:line="243" w:lineRule="auto"/>
        <w:tabs>
          <w:tab w:leader="none" w:pos="266" w:val="left"/>
        </w:tabs>
        <w:numPr>
          <w:ilvl w:val="0"/>
          <w:numId w:val="145"/>
        </w:numPr>
        <w:rPr>
          <w:rFonts w:ascii="Arial" w:cs="Arial" w:eastAsia="Arial" w:hAnsi="Arial"/>
          <w:sz w:val="17"/>
          <w:szCs w:val="17"/>
          <w:color w:val="0171B9"/>
        </w:rPr>
      </w:pPr>
      <w:r>
        <w:rPr>
          <w:rFonts w:ascii="Arial" w:cs="Arial" w:eastAsia="Arial" w:hAnsi="Arial"/>
          <w:sz w:val="17"/>
          <w:szCs w:val="17"/>
          <w:color w:val="auto"/>
        </w:rPr>
        <w:t>Whether the transaction would impair the independence of an outside director; and</w:t>
      </w:r>
    </w:p>
    <w:p>
      <w:pPr>
        <w:spacing w:after="0" w:line="103" w:lineRule="exact"/>
        <w:rPr>
          <w:rFonts w:ascii="Arial" w:cs="Arial" w:eastAsia="Arial" w:hAnsi="Arial"/>
          <w:sz w:val="17"/>
          <w:szCs w:val="17"/>
          <w:color w:val="0171B9"/>
        </w:rPr>
      </w:pPr>
    </w:p>
    <w:p>
      <w:pPr>
        <w:jc w:val="both"/>
        <w:ind w:left="266" w:right="20" w:hanging="266"/>
        <w:spacing w:after="0" w:line="234" w:lineRule="auto"/>
        <w:tabs>
          <w:tab w:leader="none" w:pos="266" w:val="left"/>
        </w:tabs>
        <w:numPr>
          <w:ilvl w:val="0"/>
          <w:numId w:val="145"/>
        </w:numPr>
        <w:rPr>
          <w:rFonts w:ascii="Arial" w:cs="Arial" w:eastAsia="Arial" w:hAnsi="Arial"/>
          <w:sz w:val="17"/>
          <w:szCs w:val="17"/>
          <w:color w:val="0171B9"/>
        </w:rPr>
      </w:pPr>
      <w:r>
        <w:rPr>
          <w:rFonts w:ascii="Arial" w:cs="Arial" w:eastAsia="Arial" w:hAnsi="Arial"/>
          <w:sz w:val="17"/>
          <w:szCs w:val="17"/>
          <w:color w:val="auto"/>
        </w:rPr>
        <w:t>Whether the transaction would present an improper conflict of interest for any director or executive officer, taking into account the size of the transaction, the overall financial position of the related party, the direct or indirect nature of the related party’s interest in the transaction and the ongoing nature of any proposed relationship, and any other factors the Audit Committee deems relevant.</w:t>
      </w:r>
    </w:p>
    <w:p>
      <w:pPr>
        <w:spacing w:after="0" w:line="97" w:lineRule="exact"/>
        <w:rPr>
          <w:sz w:val="20"/>
          <w:szCs w:val="20"/>
          <w:color w:val="auto"/>
        </w:rPr>
      </w:pPr>
    </w:p>
    <w:p>
      <w:pPr>
        <w:jc w:val="both"/>
        <w:ind w:left="6" w:right="20"/>
        <w:spacing w:after="0" w:line="238" w:lineRule="auto"/>
        <w:rPr>
          <w:sz w:val="20"/>
          <w:szCs w:val="20"/>
          <w:color w:val="auto"/>
        </w:rPr>
      </w:pPr>
      <w:r>
        <w:rPr>
          <w:rFonts w:ascii="Arial" w:cs="Arial" w:eastAsia="Arial" w:hAnsi="Arial"/>
          <w:sz w:val="17"/>
          <w:szCs w:val="17"/>
          <w:color w:val="auto"/>
        </w:rPr>
        <w:t>Separately, to avoid even the appearance of a conflict of interest related to service on our Board, we require appropriate reporting of service in scientific publications and presentations.</w:t>
      </w:r>
    </w:p>
    <w:p>
      <w:pPr>
        <w:spacing w:after="0" w:line="480" w:lineRule="exact"/>
        <w:rPr>
          <w:sz w:val="20"/>
          <w:szCs w:val="20"/>
          <w:color w:val="auto"/>
        </w:rPr>
      </w:pPr>
    </w:p>
    <w:p>
      <w:pPr>
        <w:sectPr>
          <w:pgSz w:w="11900" w:h="16838" w:orient="portrait"/>
          <w:cols w:equalWidth="0" w:num="2">
            <w:col w:w="5400" w:space="334"/>
            <w:col w:w="5406"/>
          </w:cols>
          <w:pgMar w:left="320" w:top="486" w:right="439" w:bottom="1440" w:gutter="0" w:footer="0" w:header="0"/>
          <w:type w:val="continuous"/>
        </w:sectPr>
      </w:pPr>
    </w:p>
    <w:p>
      <w:pPr>
        <w:spacing w:after="0" w:line="39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p>
      <w:pPr>
        <w:spacing w:after="0" w:line="317"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Leandro Grimaldi, who is the son-in-law of Nancy A. Grygiel, an executive officer of the Company, is employed by us as Business Performance Director. Dr. Grimaldi’s compensation earned in 2022 consisted of $205,585 in base salary, $69,813 in annual cash incentive award, cash awards with a total value of $2,240, and grants of restricted stock units and performance units valued at $26,000,</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respectively, on the grant date. This transaction did not require the review or approval of the Audit Committee pursuant to our Approval of Related Party Transactions policy because it was approved by our Compensation and Management Development Committee in 2021 prior to Dr. Grimaldi’s hiring.</w:t>
      </w:r>
    </w:p>
    <w:p>
      <w:pPr>
        <w:spacing w:after="0" w:line="391"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58" w:lineRule="exact"/>
        <w:rPr>
          <w:sz w:val="20"/>
          <w:szCs w:val="20"/>
          <w:color w:val="auto"/>
        </w:rPr>
      </w:pPr>
    </w:p>
    <w:p>
      <w:pPr>
        <w:ind w:left="120"/>
        <w:spacing w:after="0"/>
        <w:tabs>
          <w:tab w:leader="none" w:pos="703" w:val="left"/>
        </w:tabs>
        <w:rPr>
          <w:sz w:val="20"/>
          <w:szCs w:val="20"/>
          <w:color w:val="auto"/>
        </w:rPr>
      </w:pPr>
      <w:r>
        <w:rPr>
          <w:rFonts w:ascii="Arial" w:cs="Arial" w:eastAsia="Arial" w:hAnsi="Arial"/>
          <w:sz w:val="20"/>
          <w:szCs w:val="20"/>
          <w:b w:val="1"/>
          <w:bCs w:val="1"/>
          <w:color w:val="474747"/>
        </w:rPr>
        <w:t>102</w:t>
      </w:r>
      <w:r>
        <w:rPr>
          <w:sz w:val="20"/>
          <w:szCs w:val="20"/>
          <w:color w:val="auto"/>
        </w:rPr>
        <w:tab/>
      </w:r>
      <w:r>
        <w:rPr>
          <w:sz w:val="1"/>
          <w:szCs w:val="1"/>
          <w:color w:val="auto"/>
        </w:rPr>
        <w:drawing>
          <wp:inline distT="0" distB="0" distL="0" distR="0">
            <wp:extent cx="582930" cy="137160"/>
            <wp:effectExtent l="0" t="0" r="0" b="0"/>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Information Concerning Voting and Solicitation</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Information Concerning Voting and Solicitation</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304"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 xml:space="preserve">The enclosed proxy is solicited on behalf of the Board of Directors, or Board, of Amgen Inc., a Delaware corporation, for use at our 2023 Annual Meeting of Stockholders, or Annual Meeting, to be held on Friday, May 19, 2023, at 11:00 A.M., Pacific Time, or any continuation, postponement, or adjournment thereof, for the purposes discussed in this proxy statement and in the accompanying Notice of Annual Meeting of Stockholders and any business properly brought before the Annual Meeting. Proxies are solicited to give all stockholders of record an opportunity to vote on matters properly presented at the Annual Meeting. Our 2023 Annual Meeting, will be held solely by remote communication via the internet at </w:t>
      </w:r>
      <w:r>
        <w:rPr>
          <w:rFonts w:ascii="Arial" w:cs="Arial" w:eastAsia="Arial" w:hAnsi="Arial"/>
          <w:sz w:val="17"/>
          <w:szCs w:val="17"/>
          <w:i w:val="1"/>
          <w:iCs w:val="1"/>
          <w:color w:val="0171B9"/>
        </w:rPr>
        <w:t>www.virtualshareholdermeeting.com/AMGN2023</w:t>
      </w:r>
      <w:r>
        <w:rPr>
          <w:rFonts w:ascii="Arial" w:cs="Arial" w:eastAsia="Arial" w:hAnsi="Arial"/>
          <w:sz w:val="17"/>
          <w:szCs w:val="17"/>
          <w:color w:val="000000"/>
        </w:rPr>
        <w:t>. Although the</w:t>
      </w:r>
      <w:r>
        <w:rPr>
          <w:rFonts w:ascii="Arial" w:cs="Arial" w:eastAsia="Arial" w:hAnsi="Arial"/>
          <w:sz w:val="17"/>
          <w:szCs w:val="17"/>
          <w:i w:val="1"/>
          <w:iCs w:val="1"/>
          <w:color w:val="0171B9"/>
        </w:rPr>
        <w:t xml:space="preserve"> </w:t>
      </w:r>
      <w:r>
        <w:rPr>
          <w:rFonts w:ascii="Arial" w:cs="Arial" w:eastAsia="Arial" w:hAnsi="Arial"/>
          <w:sz w:val="17"/>
          <w:szCs w:val="17"/>
          <w:color w:val="000000"/>
        </w:rPr>
        <w:t>meeting will not be held in person, stockholders will, to the extent possible, be afforded the same rights and opportunities to participate at the virtual meeting similarly to how they would participate at an in-person meeting.</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Stockholders or their proxyholders may participate and vote at our</w:t>
      </w:r>
    </w:p>
    <w:p>
      <w:pPr>
        <w:jc w:val="both"/>
        <w:ind w:left="120"/>
        <w:spacing w:after="0" w:line="238" w:lineRule="auto"/>
        <w:rPr>
          <w:sz w:val="20"/>
          <w:szCs w:val="20"/>
          <w:color w:val="auto"/>
        </w:rPr>
      </w:pPr>
      <w:r>
        <w:rPr>
          <w:rFonts w:ascii="Arial" w:cs="Arial" w:eastAsia="Arial" w:hAnsi="Arial"/>
          <w:sz w:val="17"/>
          <w:szCs w:val="17"/>
          <w:color w:val="auto"/>
        </w:rPr>
        <w:t xml:space="preserve">Annual Meeting via the internet at </w:t>
      </w:r>
      <w:r>
        <w:rPr>
          <w:rFonts w:ascii="Arial" w:cs="Arial" w:eastAsia="Arial" w:hAnsi="Arial"/>
          <w:sz w:val="17"/>
          <w:szCs w:val="17"/>
          <w:i w:val="1"/>
          <w:iCs w:val="1"/>
          <w:color w:val="0171B9"/>
        </w:rPr>
        <w:t xml:space="preserve">www.virtualshareholdermeeting.com/AMGN2023 </w:t>
      </w:r>
      <w:r>
        <w:rPr>
          <w:rFonts w:ascii="Arial" w:cs="Arial" w:eastAsia="Arial" w:hAnsi="Arial"/>
          <w:sz w:val="17"/>
          <w:szCs w:val="17"/>
          <w:color w:val="000000"/>
        </w:rPr>
        <w:t>and using your</w:t>
      </w:r>
      <w:r>
        <w:rPr>
          <w:rFonts w:ascii="Arial" w:cs="Arial" w:eastAsia="Arial" w:hAnsi="Arial"/>
          <w:sz w:val="17"/>
          <w:szCs w:val="17"/>
          <w:i w:val="1"/>
          <w:iCs w:val="1"/>
          <w:color w:val="0171B9"/>
        </w:rPr>
        <w:t xml:space="preserve"> </w:t>
      </w:r>
      <w:r>
        <w:rPr>
          <w:rFonts w:ascii="Arial" w:cs="Arial" w:eastAsia="Arial" w:hAnsi="Arial"/>
          <w:sz w:val="17"/>
          <w:szCs w:val="17"/>
          <w:color w:val="000000"/>
        </w:rPr>
        <w:t>control number.</w:t>
      </w:r>
    </w:p>
    <w:p>
      <w:pPr>
        <w:spacing w:after="0" w:line="93"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Pursuant to the rules adopted by the Securities and Exchange Commission, we have elected to provide access to our proxy materials over the internet. Accordingly, we are sending a Notice Regarding the Availability of Proxy Materials, or Notice, to certain of our stockholders of record, and we are sending a paper copy of the proxy materials and proxy card to other stockholders of record who we believe would prefer receiving such materials in paper form. Brokers and other nominees who hold shares on behalf of beneficial owners will be sending their own similar Notice. Stockholders will have the ability to access the proxy materials on the website referred to in the Notice or request to receive a printed set of the proxy materials. Instructions on how to request a printed copy by mail or electronically may be found on the Notice and on the website referred to in the Notice, including an option to request paper copies on an ongoing basis. We intend to make this proxy statement available on the internet and to mail the Notice, or to mail the proxy statement and proxy card, as applicable, on or about April 6, 2023, to all stockholders entitled to notice of and to vote at the Annual Meeting.</w:t>
      </w:r>
    </w:p>
    <w:p>
      <w:pPr>
        <w:spacing w:after="0" w:line="74"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b w:val="1"/>
          <w:bCs w:val="1"/>
          <w:color w:val="auto"/>
        </w:rPr>
        <w:t>Important Notice Regarding the Availability of Proxy Materials for the 2023 Stockholder Meeting to Be Held on May 19, 2023.</w:t>
      </w:r>
    </w:p>
    <w:p>
      <w:pPr>
        <w:spacing w:after="0" w:line="51" w:lineRule="exact"/>
        <w:rPr>
          <w:sz w:val="20"/>
          <w:szCs w:val="20"/>
          <w:color w:val="auto"/>
        </w:rPr>
      </w:pPr>
    </w:p>
    <w:p>
      <w:pPr>
        <w:jc w:val="both"/>
        <w:ind w:left="120"/>
        <w:spacing w:after="0" w:line="237" w:lineRule="auto"/>
        <w:rPr>
          <w:sz w:val="20"/>
          <w:szCs w:val="20"/>
          <w:color w:val="auto"/>
        </w:rPr>
      </w:pPr>
      <w:r>
        <w:rPr>
          <w:rFonts w:ascii="Arial" w:cs="Arial" w:eastAsia="Arial" w:hAnsi="Arial"/>
          <w:sz w:val="17"/>
          <w:szCs w:val="17"/>
          <w:b w:val="1"/>
          <w:bCs w:val="1"/>
          <w:color w:val="auto"/>
        </w:rPr>
        <w:t xml:space="preserve">This proxy statement, our 2022 annual report and our other proxy materials are available at: </w:t>
      </w:r>
      <w:r>
        <w:rPr>
          <w:rFonts w:ascii="Arial" w:cs="Arial" w:eastAsia="Arial" w:hAnsi="Arial"/>
          <w:sz w:val="17"/>
          <w:szCs w:val="17"/>
          <w:i w:val="1"/>
          <w:iCs w:val="1"/>
          <w:color w:val="0171B9"/>
        </w:rPr>
        <w:t>www.proxyvote.com</w:t>
      </w:r>
      <w:r>
        <w:rPr>
          <w:rFonts w:ascii="Arial" w:cs="Arial" w:eastAsia="Arial" w:hAnsi="Arial"/>
          <w:sz w:val="17"/>
          <w:szCs w:val="17"/>
          <w:color w:val="auto"/>
        </w:rPr>
        <w:t>. At this</w:t>
      </w:r>
      <w:r>
        <w:rPr>
          <w:rFonts w:ascii="Arial" w:cs="Arial" w:eastAsia="Arial" w:hAnsi="Arial"/>
          <w:sz w:val="17"/>
          <w:szCs w:val="17"/>
          <w:b w:val="1"/>
          <w:bCs w:val="1"/>
          <w:color w:val="auto"/>
        </w:rPr>
        <w:t xml:space="preserve"> </w:t>
      </w:r>
      <w:r>
        <w:rPr>
          <w:rFonts w:ascii="Arial" w:cs="Arial" w:eastAsia="Arial" w:hAnsi="Arial"/>
          <w:sz w:val="17"/>
          <w:szCs w:val="17"/>
          <w:color w:val="auto"/>
        </w:rPr>
        <w:t>website, you will find a complete set of the following proxy materials: notice of 2023 Annual Meeting of Stockholders; proxy statement; 2022 annual report; and form proxy card. You are encouraged to access and review all of the important information contained in the proxy materials before submitting a proxy or voting at the Annual Meeting.</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What Are You Voting On?</w:t>
      </w:r>
    </w:p>
    <w:p>
      <w:pPr>
        <w:spacing w:after="0" w:line="115" w:lineRule="exact"/>
        <w:rPr>
          <w:sz w:val="20"/>
          <w:szCs w:val="20"/>
          <w:color w:val="auto"/>
        </w:rPr>
      </w:pPr>
    </w:p>
    <w:p>
      <w:pPr>
        <w:ind w:left="6" w:right="20"/>
        <w:spacing w:after="0" w:line="243" w:lineRule="auto"/>
        <w:rPr>
          <w:sz w:val="20"/>
          <w:szCs w:val="20"/>
          <w:color w:val="auto"/>
        </w:rPr>
      </w:pPr>
      <w:r>
        <w:rPr>
          <w:rFonts w:ascii="Arial" w:cs="Arial" w:eastAsia="Arial" w:hAnsi="Arial"/>
          <w:sz w:val="17"/>
          <w:szCs w:val="17"/>
          <w:color w:val="auto"/>
        </w:rPr>
        <w:t>You will be entitled to vote on the following proposals at the Annual Meeting:</w:t>
      </w:r>
    </w:p>
    <w:p>
      <w:pPr>
        <w:spacing w:after="0" w:line="104" w:lineRule="exact"/>
        <w:rPr>
          <w:sz w:val="20"/>
          <w:szCs w:val="20"/>
          <w:color w:val="auto"/>
        </w:rPr>
      </w:pPr>
    </w:p>
    <w:p>
      <w:pPr>
        <w:jc w:val="both"/>
        <w:ind w:left="266" w:right="20" w:hanging="266"/>
        <w:spacing w:after="0" w:line="238" w:lineRule="auto"/>
        <w:tabs>
          <w:tab w:leader="none" w:pos="266" w:val="left"/>
        </w:tabs>
        <w:numPr>
          <w:ilvl w:val="0"/>
          <w:numId w:val="146"/>
        </w:numPr>
        <w:rPr>
          <w:rFonts w:ascii="Arial" w:cs="Arial" w:eastAsia="Arial" w:hAnsi="Arial"/>
          <w:sz w:val="17"/>
          <w:szCs w:val="17"/>
          <w:color w:val="0171B9"/>
        </w:rPr>
      </w:pPr>
      <w:r>
        <w:rPr>
          <w:rFonts w:ascii="Arial" w:cs="Arial" w:eastAsia="Arial" w:hAnsi="Arial"/>
          <w:sz w:val="17"/>
          <w:szCs w:val="17"/>
          <w:color w:val="auto"/>
        </w:rPr>
        <w:t>The election of the 13 director nominees named herein to serve on our Board for a term of office expiring at the 2024 annual meeting of stockholders;</w:t>
      </w:r>
    </w:p>
    <w:p>
      <w:pPr>
        <w:spacing w:after="0" w:line="106" w:lineRule="exact"/>
        <w:rPr>
          <w:rFonts w:ascii="Arial" w:cs="Arial" w:eastAsia="Arial" w:hAnsi="Arial"/>
          <w:sz w:val="17"/>
          <w:szCs w:val="17"/>
          <w:color w:val="0171B9"/>
        </w:rPr>
      </w:pPr>
    </w:p>
    <w:p>
      <w:pPr>
        <w:ind w:left="266" w:right="20" w:hanging="266"/>
        <w:spacing w:after="0" w:line="243" w:lineRule="auto"/>
        <w:tabs>
          <w:tab w:leader="none" w:pos="266" w:val="left"/>
        </w:tabs>
        <w:numPr>
          <w:ilvl w:val="0"/>
          <w:numId w:val="146"/>
        </w:numPr>
        <w:rPr>
          <w:rFonts w:ascii="Arial" w:cs="Arial" w:eastAsia="Arial" w:hAnsi="Arial"/>
          <w:sz w:val="17"/>
          <w:szCs w:val="17"/>
          <w:color w:val="0171B9"/>
        </w:rPr>
      </w:pPr>
      <w:r>
        <w:rPr>
          <w:rFonts w:ascii="Arial" w:cs="Arial" w:eastAsia="Arial" w:hAnsi="Arial"/>
          <w:sz w:val="17"/>
          <w:szCs w:val="17"/>
          <w:color w:val="auto"/>
        </w:rPr>
        <w:t>The advisory vote on the frequency of future stockholder votes to approve executive compensation;</w:t>
      </w:r>
    </w:p>
    <w:p>
      <w:pPr>
        <w:spacing w:after="0" w:line="103" w:lineRule="exact"/>
        <w:rPr>
          <w:rFonts w:ascii="Arial" w:cs="Arial" w:eastAsia="Arial" w:hAnsi="Arial"/>
          <w:sz w:val="17"/>
          <w:szCs w:val="17"/>
          <w:color w:val="0171B9"/>
        </w:rPr>
      </w:pPr>
    </w:p>
    <w:p>
      <w:pPr>
        <w:ind w:left="266" w:hanging="266"/>
        <w:spacing w:after="0"/>
        <w:tabs>
          <w:tab w:leader="none" w:pos="266" w:val="left"/>
        </w:tabs>
        <w:numPr>
          <w:ilvl w:val="0"/>
          <w:numId w:val="146"/>
        </w:numPr>
        <w:rPr>
          <w:rFonts w:ascii="Arial" w:cs="Arial" w:eastAsia="Arial" w:hAnsi="Arial"/>
          <w:sz w:val="17"/>
          <w:szCs w:val="17"/>
          <w:color w:val="0171B9"/>
        </w:rPr>
      </w:pPr>
      <w:r>
        <w:rPr>
          <w:rFonts w:ascii="Arial" w:cs="Arial" w:eastAsia="Arial" w:hAnsi="Arial"/>
          <w:sz w:val="17"/>
          <w:szCs w:val="17"/>
          <w:color w:val="auto"/>
        </w:rPr>
        <w:t>The advisory vote to approve our executive compensation;</w:t>
      </w:r>
    </w:p>
    <w:p>
      <w:pPr>
        <w:spacing w:after="0" w:line="115" w:lineRule="exact"/>
        <w:rPr>
          <w:rFonts w:ascii="Arial" w:cs="Arial" w:eastAsia="Arial" w:hAnsi="Arial"/>
          <w:sz w:val="17"/>
          <w:szCs w:val="17"/>
          <w:color w:val="0171B9"/>
        </w:rPr>
      </w:pPr>
    </w:p>
    <w:p>
      <w:pPr>
        <w:jc w:val="both"/>
        <w:ind w:left="266" w:right="20" w:hanging="266"/>
        <w:spacing w:after="0" w:line="238" w:lineRule="auto"/>
        <w:tabs>
          <w:tab w:leader="none" w:pos="266" w:val="left"/>
        </w:tabs>
        <w:numPr>
          <w:ilvl w:val="0"/>
          <w:numId w:val="146"/>
        </w:numPr>
        <w:rPr>
          <w:rFonts w:ascii="Arial" w:cs="Arial" w:eastAsia="Arial" w:hAnsi="Arial"/>
          <w:sz w:val="17"/>
          <w:szCs w:val="17"/>
          <w:color w:val="0171B9"/>
        </w:rPr>
      </w:pPr>
      <w:r>
        <w:rPr>
          <w:rFonts w:ascii="Arial" w:cs="Arial" w:eastAsia="Arial" w:hAnsi="Arial"/>
          <w:sz w:val="17"/>
          <w:szCs w:val="17"/>
          <w:color w:val="auto"/>
        </w:rPr>
        <w:t>The ratification of the selection of Ernst &amp; Young LLP as our independent registered public accountants for the fiscal year ending December 31, 2023; and</w:t>
      </w:r>
    </w:p>
    <w:p>
      <w:pPr>
        <w:spacing w:after="0" w:line="106" w:lineRule="exact"/>
        <w:rPr>
          <w:rFonts w:ascii="Arial" w:cs="Arial" w:eastAsia="Arial" w:hAnsi="Arial"/>
          <w:sz w:val="17"/>
          <w:szCs w:val="17"/>
          <w:color w:val="0171B9"/>
        </w:rPr>
      </w:pPr>
    </w:p>
    <w:p>
      <w:pPr>
        <w:ind w:left="266" w:right="40" w:hanging="266"/>
        <w:spacing w:after="0" w:line="243" w:lineRule="auto"/>
        <w:tabs>
          <w:tab w:leader="none" w:pos="266" w:val="left"/>
        </w:tabs>
        <w:numPr>
          <w:ilvl w:val="0"/>
          <w:numId w:val="146"/>
        </w:numPr>
        <w:rPr>
          <w:rFonts w:ascii="Arial" w:cs="Arial" w:eastAsia="Arial" w:hAnsi="Arial"/>
          <w:sz w:val="17"/>
          <w:szCs w:val="17"/>
          <w:color w:val="0171B9"/>
        </w:rPr>
      </w:pPr>
      <w:r>
        <w:rPr>
          <w:rFonts w:ascii="Arial" w:cs="Arial" w:eastAsia="Arial" w:hAnsi="Arial"/>
          <w:sz w:val="17"/>
          <w:szCs w:val="17"/>
          <w:color w:val="auto"/>
        </w:rPr>
        <w:t>Any other business as may properly come before the Annual Meeting.</w:t>
      </w:r>
    </w:p>
    <w:p>
      <w:pPr>
        <w:spacing w:after="0" w:line="172"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Who Can Vote</w:t>
      </w:r>
    </w:p>
    <w:p>
      <w:pPr>
        <w:spacing w:after="0" w:line="124" w:lineRule="exact"/>
        <w:rPr>
          <w:sz w:val="20"/>
          <w:szCs w:val="20"/>
          <w:color w:val="auto"/>
        </w:rPr>
      </w:pPr>
    </w:p>
    <w:p>
      <w:pPr>
        <w:jc w:val="both"/>
        <w:ind w:left="6"/>
        <w:spacing w:after="0" w:line="234" w:lineRule="auto"/>
        <w:rPr>
          <w:sz w:val="20"/>
          <w:szCs w:val="20"/>
          <w:color w:val="auto"/>
        </w:rPr>
      </w:pPr>
      <w:r>
        <w:rPr>
          <w:rFonts w:ascii="Arial" w:cs="Arial" w:eastAsia="Arial" w:hAnsi="Arial"/>
          <w:sz w:val="17"/>
          <w:szCs w:val="17"/>
          <w:color w:val="auto"/>
        </w:rPr>
        <w:t>The Board has set March 20, 2023, as the record date for the Annual Meeting. You are entitled to notice and to vote if you were a stockholder of record of our Common Stock, $.0001 par value per share, or Common Stock, as of the close of business on March 20, 2023. You are entitled to one vote on each nominee’s election and on each other proposal for each share of Common Stock you held on the record date. Your shares may be voted at the Annual Meeting only if you are in attendance or your shares are represented by a valid proxy.</w:t>
      </w:r>
    </w:p>
    <w:p>
      <w:pPr>
        <w:spacing w:after="0" w:line="182" w:lineRule="exact"/>
        <w:rPr>
          <w:sz w:val="20"/>
          <w:szCs w:val="20"/>
          <w:color w:val="auto"/>
        </w:rPr>
      </w:pPr>
    </w:p>
    <w:p>
      <w:pPr>
        <w:ind w:left="6" w:right="660"/>
        <w:spacing w:after="0" w:line="257" w:lineRule="auto"/>
        <w:rPr>
          <w:sz w:val="20"/>
          <w:szCs w:val="20"/>
          <w:color w:val="auto"/>
        </w:rPr>
      </w:pPr>
      <w:r>
        <w:rPr>
          <w:rFonts w:ascii="Arial" w:cs="Arial" w:eastAsia="Arial" w:hAnsi="Arial"/>
          <w:sz w:val="20"/>
          <w:szCs w:val="20"/>
          <w:b w:val="1"/>
          <w:bCs w:val="1"/>
          <w:color w:val="auto"/>
        </w:rPr>
        <w:t>Difference Between a Stockholder of Record and a “Street Name” Holder</w:t>
      </w:r>
    </w:p>
    <w:p>
      <w:pPr>
        <w:spacing w:after="0" w:line="69" w:lineRule="exact"/>
        <w:rPr>
          <w:sz w:val="20"/>
          <w:szCs w:val="20"/>
          <w:color w:val="auto"/>
        </w:rPr>
      </w:pPr>
    </w:p>
    <w:p>
      <w:pPr>
        <w:jc w:val="both"/>
        <w:ind w:left="6"/>
        <w:spacing w:after="0" w:line="238" w:lineRule="auto"/>
        <w:rPr>
          <w:sz w:val="20"/>
          <w:szCs w:val="20"/>
          <w:color w:val="auto"/>
        </w:rPr>
      </w:pPr>
      <w:r>
        <w:rPr>
          <w:rFonts w:ascii="Arial" w:cs="Arial" w:eastAsia="Arial" w:hAnsi="Arial"/>
          <w:sz w:val="17"/>
          <w:szCs w:val="17"/>
          <w:color w:val="auto"/>
        </w:rPr>
        <w:t>If your shares are registered directly in your name in the records of the Company’s transfer agent, you are considered the stockholder of record with respect to those shares.</w:t>
      </w:r>
    </w:p>
    <w:p>
      <w:pPr>
        <w:spacing w:after="0" w:line="93" w:lineRule="exact"/>
        <w:rPr>
          <w:sz w:val="20"/>
          <w:szCs w:val="20"/>
          <w:color w:val="auto"/>
        </w:rPr>
      </w:pPr>
    </w:p>
    <w:p>
      <w:pPr>
        <w:jc w:val="both"/>
        <w:ind w:left="6" w:right="20"/>
        <w:spacing w:after="0" w:line="234" w:lineRule="auto"/>
        <w:rPr>
          <w:sz w:val="20"/>
          <w:szCs w:val="20"/>
          <w:color w:val="auto"/>
        </w:rPr>
      </w:pPr>
      <w:r>
        <w:rPr>
          <w:rFonts w:ascii="Arial" w:cs="Arial" w:eastAsia="Arial" w:hAnsi="Arial"/>
          <w:sz w:val="17"/>
          <w:szCs w:val="17"/>
          <w:color w:val="auto"/>
        </w:rPr>
        <w:t>If your shares are held in a stock brokerage account or by a bank, trust, or other nominee, then the broker, bank, trust, or other nominee is considered to be the stockholder of record with respect to those shares. However, you are still considered to be the beneficial owner of those shares, and your shares are said to be held in “street name.” Street name holders generally cannot submit a proxy or vote their shares directly and must instead instruct the broker, bank, trust, or other nominee how to vote their shares using the methods described below under “Voting Your Shares.”</w:t>
      </w:r>
    </w:p>
    <w:p>
      <w:pPr>
        <w:spacing w:after="0" w:line="1102" w:lineRule="exact"/>
        <w:rPr>
          <w:sz w:val="20"/>
          <w:szCs w:val="20"/>
          <w:color w:val="auto"/>
        </w:rPr>
      </w:pPr>
    </w:p>
    <w:p>
      <w:pPr>
        <w:sectPr>
          <w:pgSz w:w="11900" w:h="16838" w:orient="portrait"/>
          <w:cols w:equalWidth="0" w:num="2">
            <w:col w:w="5400" w:space="334"/>
            <w:col w:w="5406"/>
          </w:cols>
          <w:pgMar w:left="320" w:top="486" w:right="439" w:bottom="1440" w:gutter="0" w:footer="0" w:header="0"/>
          <w:type w:val="continuous"/>
        </w:sectPr>
      </w:pPr>
    </w:p>
    <w:p>
      <w:pPr>
        <w:spacing w:after="0" w:line="317" w:lineRule="exact"/>
        <w:rPr>
          <w:sz w:val="20"/>
          <w:szCs w:val="20"/>
          <w:color w:val="auto"/>
        </w:rPr>
      </w:pPr>
    </w:p>
    <w:p>
      <w:pPr>
        <w:ind w:left="8500"/>
        <w:spacing w:after="0"/>
        <w:tabs>
          <w:tab w:leader="none" w:pos="1078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20"/>
          <w:szCs w:val="20"/>
          <w:b w:val="1"/>
          <w:bCs w:val="1"/>
          <w:color w:val="474747"/>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-162560</wp:posOffset>
            </wp:positionV>
            <wp:extent cx="582930" cy="13716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Shares Outstanding and Quorum</w:t>
      </w:r>
    </w:p>
    <w:p>
      <w:pPr>
        <w:spacing w:after="0" w:line="124"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At the close of business on March 20, 2023, there were 534,215,408 shares of our Common Stock outstanding and entitled to vote at the Annual Meeting. The presence of the holders of a majority of the outstanding shares of our Common Stock entitled to vote constitutes a quorum, which is required to hold and conduct business at the Annual Meeting. Shares are counted as present at the Annual Meeting if:</w:t>
      </w:r>
    </w:p>
    <w:p>
      <w:pPr>
        <w:spacing w:after="0" w:line="110" w:lineRule="exact"/>
        <w:rPr>
          <w:sz w:val="20"/>
          <w:szCs w:val="20"/>
          <w:color w:val="auto"/>
        </w:rPr>
      </w:pPr>
    </w:p>
    <w:p>
      <w:pPr>
        <w:ind w:left="380" w:hanging="264"/>
        <w:spacing w:after="0"/>
        <w:tabs>
          <w:tab w:leader="none" w:pos="380" w:val="left"/>
        </w:tabs>
        <w:numPr>
          <w:ilvl w:val="0"/>
          <w:numId w:val="147"/>
        </w:numPr>
        <w:rPr>
          <w:rFonts w:ascii="Arial" w:cs="Arial" w:eastAsia="Arial" w:hAnsi="Arial"/>
          <w:sz w:val="17"/>
          <w:szCs w:val="17"/>
          <w:color w:val="0171B9"/>
        </w:rPr>
      </w:pPr>
      <w:r>
        <w:rPr>
          <w:rFonts w:ascii="Arial" w:cs="Arial" w:eastAsia="Arial" w:hAnsi="Arial"/>
          <w:sz w:val="17"/>
          <w:szCs w:val="17"/>
          <w:color w:val="auto"/>
        </w:rPr>
        <w:t>You are in attendance at the Annual Meeting; or</w:t>
      </w:r>
    </w:p>
    <w:p>
      <w:pPr>
        <w:spacing w:after="0" w:line="115" w:lineRule="exact"/>
        <w:rPr>
          <w:rFonts w:ascii="Arial" w:cs="Arial" w:eastAsia="Arial" w:hAnsi="Arial"/>
          <w:sz w:val="17"/>
          <w:szCs w:val="17"/>
          <w:color w:val="0171B9"/>
        </w:rPr>
      </w:pPr>
    </w:p>
    <w:p>
      <w:pPr>
        <w:jc w:val="both"/>
        <w:ind w:left="380" w:hanging="264"/>
        <w:spacing w:after="0" w:line="238" w:lineRule="auto"/>
        <w:tabs>
          <w:tab w:leader="none" w:pos="380" w:val="left"/>
        </w:tabs>
        <w:numPr>
          <w:ilvl w:val="0"/>
          <w:numId w:val="147"/>
        </w:numPr>
        <w:rPr>
          <w:rFonts w:ascii="Arial" w:cs="Arial" w:eastAsia="Arial" w:hAnsi="Arial"/>
          <w:sz w:val="17"/>
          <w:szCs w:val="17"/>
          <w:color w:val="0171B9"/>
        </w:rPr>
      </w:pPr>
      <w:r>
        <w:rPr>
          <w:rFonts w:ascii="Arial" w:cs="Arial" w:eastAsia="Arial" w:hAnsi="Arial"/>
          <w:sz w:val="17"/>
          <w:szCs w:val="17"/>
          <w:color w:val="auto"/>
        </w:rPr>
        <w:t>Your shares are represented by a properly authorized and submitted proxy (submitted by mail, by telephone, or over the internet).</w:t>
      </w:r>
    </w:p>
    <w:p>
      <w:pPr>
        <w:spacing w:after="0" w:line="93"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If you are a record holder and you submit your proxy, regardless of whether you abstain from voting on one or more matters, your shares will be counted as present at the Annual Meeting for the purpose of determining a quorum. If your shares are held in “street name,” your shares are counted as present for purposes of determining a quorum if your broker, bank, trust, or other nominee submits a proxy covering your shares. Your broker, bank, trust, or other nominee is entitled to submit a proxy covering your shares as to certain “routine” matters, even if you have not instructed your broker, bank, trust, or other nominee on how to vote on those matters. Please see the subsection “If You Do Not Specify How You Want Your Shares Voted” below. In the absence of a quorum, the Annual Meeting may be adjourned, from time to time, by the Chair of the meeting or by the vote of the holders of a majority of the shares represented thereat, but no other business shall be transacted at such meeting.</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Voting Your Shares</w:t>
      </w:r>
    </w:p>
    <w:p>
      <w:pPr>
        <w:spacing w:after="0" w:line="124" w:lineRule="exact"/>
        <w:rPr>
          <w:sz w:val="20"/>
          <w:szCs w:val="20"/>
          <w:color w:val="auto"/>
        </w:rPr>
      </w:pPr>
    </w:p>
    <w:p>
      <w:pPr>
        <w:jc w:val="both"/>
        <w:ind w:left="120"/>
        <w:spacing w:after="0" w:line="232" w:lineRule="auto"/>
        <w:rPr>
          <w:sz w:val="20"/>
          <w:szCs w:val="20"/>
          <w:color w:val="auto"/>
        </w:rPr>
      </w:pPr>
      <w:r>
        <w:rPr>
          <w:rFonts w:ascii="Arial" w:cs="Arial" w:eastAsia="Arial" w:hAnsi="Arial"/>
          <w:sz w:val="17"/>
          <w:szCs w:val="17"/>
          <w:color w:val="auto"/>
        </w:rPr>
        <w:t>You may vote by attending the Annual Meeting and voting or by submitting a proxy. The method of voting by proxy differs</w:t>
      </w:r>
    </w:p>
    <w:p>
      <w:pPr>
        <w:jc w:val="both"/>
        <w:ind w:left="120" w:hanging="4"/>
        <w:spacing w:after="0" w:line="238" w:lineRule="auto"/>
        <w:tabs>
          <w:tab w:leader="none" w:pos="37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depending on whether you are viewing this proxy statement on the internet or receiving a paper copy and (2) for shares held as a record holder and shares held in “street name.”</w:t>
      </w:r>
    </w:p>
    <w:p>
      <w:pPr>
        <w:spacing w:after="0" w:line="73"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b w:val="1"/>
          <w:bCs w:val="1"/>
          <w:i w:val="1"/>
          <w:iCs w:val="1"/>
          <w:color w:val="0171B9"/>
        </w:rPr>
        <w:t xml:space="preserve">Shares Held as a Record Holder. </w:t>
      </w:r>
      <w:r>
        <w:rPr>
          <w:rFonts w:ascii="Arial" w:cs="Arial" w:eastAsia="Arial" w:hAnsi="Arial"/>
          <w:sz w:val="17"/>
          <w:szCs w:val="17"/>
          <w:color w:val="000000"/>
        </w:rPr>
        <w:t>If you hold your shares of</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Common Stock as a record holder and you are viewing this proxy statement on the internet, you may submit a proxy over the internet by following the instructions on the website referred to in the Notice previously mailed to you. You will need your control number (contained on your Notice) to submit your proxy over the internet. You may request paper copies of the proxy statement and proxy card by following the instructions on the Notice. If you hold your shares of Common Stock as a record holder and you are reviewing a paper copy of this proxy statement, you may submit a proxy over the internet or by telephone by following the instructions on the proxy card, or by completing, dating, and signing the proxy card that was included with the proxy statement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185420</wp:posOffset>
            </wp:positionV>
            <wp:extent cx="77152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FFFFFF"/>
          <w:shd w:val="clear" w:color="auto" w:fill="0171B9"/>
        </w:rPr>
        <w:t>Information Concerning Voting and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-715010</wp:posOffset>
            </wp:positionV>
            <wp:extent cx="7174865" cy="552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64"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promptly returning it in the pre-addressed, postage-paid envelope provided to you. You will need your control number (contained on your Notice) to submit your proxy over the internet or over the telephone.</w:t>
      </w:r>
    </w:p>
    <w:p>
      <w:pPr>
        <w:spacing w:after="0" w:line="7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i w:val="1"/>
          <w:iCs w:val="1"/>
          <w:color w:val="0171B9"/>
        </w:rPr>
        <w:t xml:space="preserve">Shares Held in Street Name. </w:t>
      </w:r>
      <w:r>
        <w:rPr>
          <w:rFonts w:ascii="Arial" w:cs="Arial" w:eastAsia="Arial" w:hAnsi="Arial"/>
          <w:sz w:val="17"/>
          <w:szCs w:val="17"/>
          <w:color w:val="000000"/>
        </w:rPr>
        <w:t>If you hold your shares of Common</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Stock in street name, you will receive a Notice from your broker, bank, trust, or other nominee that includes instructions on how to vote your shares. Your broker, bank, trust, or other nominee may allow you to deliver your voting instructions over the internet and may also permit you to submit your voting instructions by telephone. In addition, you may request paper copies of the proxy statement and proxy card from your broker by following the instructions on the Notice provided by your broker, bank, trust, or other nominee.</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internet</w:t>
      </w:r>
      <w:r>
        <w:rPr>
          <w:rFonts w:ascii="Arial" w:cs="Arial" w:eastAsia="Arial" w:hAnsi="Arial"/>
          <w:sz w:val="12"/>
          <w:szCs w:val="12"/>
          <w:color w:val="auto"/>
        </w:rPr>
        <w:t>(1)</w:t>
      </w:r>
      <w:r>
        <w:rPr>
          <w:rFonts w:ascii="Arial" w:cs="Arial" w:eastAsia="Arial" w:hAnsi="Arial"/>
          <w:sz w:val="17"/>
          <w:szCs w:val="17"/>
          <w:color w:val="auto"/>
        </w:rPr>
        <w:t xml:space="preserve"> and telephone voting facilities will close at 11:59 P.M., Eastern Time, on May 18, 2023. Stockholders who submit a proxy by internet or telephone need not return a proxy card or the form forwarded by your broker, bank, trust, or other holder of record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3429000" cy="48831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429000" cy="48831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YOUR VOTE IS VERY IMPORTANT.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You should submit your proxy even if you plan to</w:t>
      </w:r>
    </w:p>
    <w:p>
      <w:pPr>
        <w:jc w:val="center"/>
        <w:spacing w:after="0"/>
        <w:rPr>
          <w:sz w:val="20"/>
          <w:szCs w:val="20"/>
          <w:color w:val="auto"/>
        </w:rPr>
      </w:pPr>
      <w:r>
        <w:rPr>
          <w:rFonts w:ascii="Arial" w:cs="Arial" w:eastAsia="Arial" w:hAnsi="Arial"/>
          <w:sz w:val="17"/>
          <w:szCs w:val="17"/>
          <w:b w:val="1"/>
          <w:bCs w:val="1"/>
          <w:color w:val="FFFFFF"/>
        </w:rPr>
        <w:t>attend the Annual Meeting.</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at the Annual Meeting</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As discussed previously, our Annual Meeting will be held solely by</w:t>
      </w:r>
    </w:p>
    <w:p>
      <w:pPr>
        <w:jc w:val="both"/>
        <w:spacing w:after="0" w:line="233" w:lineRule="auto"/>
        <w:rPr>
          <w:sz w:val="20"/>
          <w:szCs w:val="20"/>
          <w:color w:val="auto"/>
        </w:rPr>
      </w:pPr>
      <w:r>
        <w:rPr>
          <w:rFonts w:ascii="Arial" w:cs="Arial" w:eastAsia="Arial" w:hAnsi="Arial"/>
          <w:sz w:val="17"/>
          <w:szCs w:val="17"/>
          <w:color w:val="auto"/>
        </w:rPr>
        <w:t xml:space="preserve">remote communication via the internet at </w:t>
      </w:r>
      <w:r>
        <w:rPr>
          <w:rFonts w:ascii="Arial" w:cs="Arial" w:eastAsia="Arial" w:hAnsi="Arial"/>
          <w:sz w:val="17"/>
          <w:szCs w:val="17"/>
          <w:i w:val="1"/>
          <w:iCs w:val="1"/>
          <w:color w:val="0171B9"/>
        </w:rPr>
        <w:t>www.virtualshareholdermeeting.com/AMGN2023</w:t>
      </w:r>
      <w:r>
        <w:rPr>
          <w:rFonts w:ascii="Arial" w:cs="Arial" w:eastAsia="Arial" w:hAnsi="Arial"/>
          <w:sz w:val="17"/>
          <w:szCs w:val="17"/>
          <w:color w:val="000000"/>
        </w:rPr>
        <w:t>. Although the meeting</w:t>
      </w:r>
      <w:r>
        <w:rPr>
          <w:rFonts w:ascii="Arial" w:cs="Arial" w:eastAsia="Arial" w:hAnsi="Arial"/>
          <w:sz w:val="17"/>
          <w:szCs w:val="17"/>
          <w:i w:val="1"/>
          <w:iCs w:val="1"/>
          <w:color w:val="0171B9"/>
        </w:rPr>
        <w:t xml:space="preserve"> </w:t>
      </w:r>
      <w:r>
        <w:rPr>
          <w:rFonts w:ascii="Arial" w:cs="Arial" w:eastAsia="Arial" w:hAnsi="Arial"/>
          <w:sz w:val="17"/>
          <w:szCs w:val="17"/>
          <w:color w:val="000000"/>
        </w:rPr>
        <w:t xml:space="preserve">will not be held in person, stockholders will, to the extent possible, be afforded the same rights and opportunities to participate at the virtual meeting similarly to how they would participate at an in-person meeting. To participate and vote at the Annual Meeting, you will need to log-in to </w:t>
      </w:r>
      <w:r>
        <w:rPr>
          <w:rFonts w:ascii="Arial" w:cs="Arial" w:eastAsia="Arial" w:hAnsi="Arial"/>
          <w:sz w:val="17"/>
          <w:szCs w:val="17"/>
          <w:i w:val="1"/>
          <w:iCs w:val="1"/>
          <w:color w:val="0171B9"/>
        </w:rPr>
        <w:t>www.virtualshareholdermeeting.com/AMGN2023</w:t>
      </w:r>
      <w:r>
        <w:rPr>
          <w:rFonts w:ascii="Arial" w:cs="Arial" w:eastAsia="Arial" w:hAnsi="Arial"/>
          <w:sz w:val="17"/>
          <w:szCs w:val="17"/>
          <w:color w:val="000000"/>
        </w:rPr>
        <w:t xml:space="preserve"> using the control number on the Notice, proxy card, or voting instruction form. Please note that if your shares are held in street name (by a broker, bank, trust, or other nominee), and you decide to attend and vote at the Annual Meeting, your vote while in attendance at the Annual Meeting will not be effective unless you provide a legal proxy, issued in your name from the record holder (your broker, bank, trust, or other nominee). </w:t>
      </w:r>
      <w:r>
        <w:rPr>
          <w:rFonts w:ascii="Arial" w:cs="Arial" w:eastAsia="Arial" w:hAnsi="Arial"/>
          <w:sz w:val="17"/>
          <w:szCs w:val="17"/>
          <w:b w:val="1"/>
          <w:bCs w:val="1"/>
          <w:color w:val="000000"/>
        </w:rPr>
        <w:t>Even if you intend to attend the Annual Meeting, we</w:t>
      </w:r>
      <w:r>
        <w:rPr>
          <w:rFonts w:ascii="Arial" w:cs="Arial" w:eastAsia="Arial" w:hAnsi="Arial"/>
          <w:sz w:val="17"/>
          <w:szCs w:val="17"/>
          <w:color w:val="000000"/>
        </w:rPr>
        <w:t xml:space="preserve"> </w:t>
      </w:r>
      <w:r>
        <w:rPr>
          <w:rFonts w:ascii="Arial" w:cs="Arial" w:eastAsia="Arial" w:hAnsi="Arial"/>
          <w:sz w:val="17"/>
          <w:szCs w:val="17"/>
          <w:b w:val="1"/>
          <w:bCs w:val="1"/>
          <w:color w:val="000000"/>
        </w:rPr>
        <w:t xml:space="preserve">encourage you to submit your proxy in advance of the Annual Meeting. </w:t>
      </w:r>
      <w:r>
        <w:rPr>
          <w:rFonts w:ascii="Arial" w:cs="Arial" w:eastAsia="Arial" w:hAnsi="Arial"/>
          <w:sz w:val="17"/>
          <w:szCs w:val="17"/>
          <w:color w:val="000000"/>
        </w:rPr>
        <w:t>Please see the important instructions and requirements</w:t>
      </w:r>
      <w:r>
        <w:rPr>
          <w:rFonts w:ascii="Arial" w:cs="Arial" w:eastAsia="Arial" w:hAnsi="Arial"/>
          <w:sz w:val="17"/>
          <w:szCs w:val="17"/>
          <w:b w:val="1"/>
          <w:bCs w:val="1"/>
          <w:color w:val="000000"/>
        </w:rPr>
        <w:t xml:space="preserve"> </w:t>
      </w:r>
      <w:r>
        <w:rPr>
          <w:rFonts w:ascii="Arial" w:cs="Arial" w:eastAsia="Arial" w:hAnsi="Arial"/>
          <w:sz w:val="17"/>
          <w:szCs w:val="17"/>
          <w:color w:val="000000"/>
        </w:rPr>
        <w:t>below regarding “Attendance at the Annual Meeting.”</w:t>
      </w:r>
    </w:p>
    <w:p>
      <w:pPr>
        <w:spacing w:after="0" w:line="95"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 xml:space="preserve">To vote at the Annual Meeting, visit </w:t>
      </w:r>
      <w:r>
        <w:rPr>
          <w:rFonts w:ascii="Arial" w:cs="Arial" w:eastAsia="Arial" w:hAnsi="Arial"/>
          <w:sz w:val="17"/>
          <w:szCs w:val="17"/>
          <w:i w:val="1"/>
          <w:iCs w:val="1"/>
          <w:color w:val="0171B9"/>
        </w:rPr>
        <w:t>www.virtualshareholdermeeting.com/AMGN2023</w:t>
      </w:r>
      <w:r>
        <w:rPr>
          <w:rFonts w:ascii="Arial" w:cs="Arial" w:eastAsia="Arial" w:hAnsi="Arial"/>
          <w:sz w:val="17"/>
          <w:szCs w:val="17"/>
          <w:color w:val="000000"/>
        </w:rPr>
        <w:t>. For shares held as a</w:t>
      </w:r>
      <w:r>
        <w:rPr>
          <w:rFonts w:ascii="Arial" w:cs="Arial" w:eastAsia="Arial" w:hAnsi="Arial"/>
          <w:sz w:val="17"/>
          <w:szCs w:val="17"/>
          <w:i w:val="1"/>
          <w:iCs w:val="1"/>
          <w:color w:val="0171B9"/>
        </w:rPr>
        <w:t xml:space="preserve"> </w:t>
      </w:r>
      <w:r>
        <w:rPr>
          <w:rFonts w:ascii="Arial" w:cs="Arial" w:eastAsia="Arial" w:hAnsi="Arial"/>
          <w:sz w:val="17"/>
          <w:szCs w:val="17"/>
          <w:color w:val="000000"/>
        </w:rPr>
        <w:t xml:space="preserve">record holder </w:t>
      </w:r>
      <w:r>
        <w:rPr>
          <w:rFonts w:ascii="Arial" w:cs="Arial" w:eastAsia="Arial" w:hAnsi="Arial"/>
          <w:sz w:val="17"/>
          <w:szCs w:val="17"/>
          <w:u w:val="single" w:color="auto"/>
          <w:color w:val="000000"/>
        </w:rPr>
        <w:t>or</w:t>
      </w:r>
      <w:r>
        <w:rPr>
          <w:rFonts w:ascii="Arial" w:cs="Arial" w:eastAsia="Arial" w:hAnsi="Arial"/>
          <w:sz w:val="17"/>
          <w:szCs w:val="17"/>
          <w:color w:val="000000"/>
        </w:rPr>
        <w:t xml:space="preserve"> in street name, you will need the control number that appears on your Notice, proxy card, or voting instruction form.</w:t>
      </w:r>
    </w:p>
    <w:p>
      <w:pPr>
        <w:spacing w:after="0" w:line="954" w:lineRule="exact"/>
        <w:rPr>
          <w:sz w:val="20"/>
          <w:szCs w:val="20"/>
          <w:color w:val="auto"/>
        </w:rPr>
      </w:pPr>
    </w:p>
    <w:p>
      <w:pPr>
        <w:sectPr>
          <w:pgSz w:w="11900" w:h="16838" w:orient="portrait"/>
          <w:cols w:equalWidth="0" w:num="2">
            <w:col w:w="5400" w:space="340"/>
            <w:col w:w="5400"/>
          </w:cols>
          <w:pgMar w:left="320" w:top="486" w:right="439" w:bottom="1440" w:gutter="0" w:footer="0" w:header="0"/>
        </w:sectPr>
      </w:pPr>
    </w:p>
    <w:p>
      <w:pPr>
        <w:spacing w:after="0" w:line="137" w:lineRule="exact"/>
        <w:rPr>
          <w:sz w:val="20"/>
          <w:szCs w:val="20"/>
          <w:color w:val="auto"/>
        </w:rPr>
      </w:pPr>
    </w:p>
    <w:p>
      <w:pPr>
        <w:ind w:left="540" w:right="20" w:hanging="424"/>
        <w:spacing w:after="0" w:line="193" w:lineRule="auto"/>
        <w:tabs>
          <w:tab w:leader="none" w:pos="540" w:val="left"/>
        </w:tabs>
        <w:numPr>
          <w:ilvl w:val="0"/>
          <w:numId w:val="149"/>
        </w:numPr>
        <w:rPr>
          <w:rFonts w:ascii="Arial" w:cs="Arial" w:eastAsia="Arial" w:hAnsi="Arial"/>
          <w:sz w:val="22"/>
          <w:szCs w:val="22"/>
          <w:color w:val="auto"/>
          <w:vertAlign w:val="superscript"/>
        </w:rPr>
      </w:pPr>
      <w:r>
        <w:rPr>
          <w:rFonts w:ascii="Arial" w:cs="Arial" w:eastAsia="Arial" w:hAnsi="Arial"/>
          <w:sz w:val="14"/>
          <w:szCs w:val="14"/>
          <w:color w:val="auto"/>
        </w:rPr>
        <w:t>Stockholders who submit a proxy through the internet or telephone should be aware that they may incur costs to access the internet or telephone, such as usage charges from telephone companies or internet service providers and that these costs must be borne by the stockholder.</w:t>
      </w:r>
    </w:p>
    <w:p>
      <w:pPr>
        <w:spacing w:after="0" w:line="118" w:lineRule="exact"/>
        <w:rPr>
          <w:sz w:val="20"/>
          <w:szCs w:val="20"/>
          <w:color w:val="auto"/>
        </w:rPr>
      </w:pPr>
    </w:p>
    <w:p>
      <w:pPr>
        <w:ind w:left="120"/>
        <w:spacing w:after="0"/>
        <w:tabs>
          <w:tab w:leader="none" w:pos="703" w:val="left"/>
        </w:tabs>
        <w:rPr>
          <w:sz w:val="20"/>
          <w:szCs w:val="20"/>
          <w:color w:val="auto"/>
        </w:rPr>
      </w:pPr>
      <w:r>
        <w:rPr>
          <w:rFonts w:ascii="Arial" w:cs="Arial" w:eastAsia="Arial" w:hAnsi="Arial"/>
          <w:sz w:val="20"/>
          <w:szCs w:val="20"/>
          <w:b w:val="1"/>
          <w:bCs w:val="1"/>
          <w:color w:val="474747"/>
        </w:rPr>
        <w:t>104</w:t>
      </w:r>
      <w:r>
        <w:rPr>
          <w:sz w:val="20"/>
          <w:szCs w:val="20"/>
          <w:color w:val="auto"/>
        </w:rPr>
        <w:tab/>
      </w:r>
      <w:r>
        <w:rPr>
          <w:sz w:val="1"/>
          <w:szCs w:val="1"/>
          <w:color w:val="auto"/>
        </w:rPr>
        <w:drawing>
          <wp:inline distT="0" distB="0" distL="0" distR="0">
            <wp:extent cx="582930" cy="137160"/>
            <wp:effectExtent l="0" t="0" r="0" b="0"/>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Information Concerning Voting and Solicitation</w:t>
      </w:r>
    </w:p>
    <w:p>
      <w:pPr>
        <w:sectPr>
          <w:pgSz w:w="11900" w:h="16838" w:orient="portrait"/>
          <w:cols w:equalWidth="0" w:num="1">
            <w:col w:w="11140"/>
          </w:cols>
          <w:pgMar w:left="320" w:top="486" w:right="439" w:bottom="1440" w:gutter="0" w:footer="0" w:header="0"/>
        </w:sectPr>
      </w:pPr>
    </w:p>
    <w:p>
      <w:pPr>
        <w:spacing w:after="0" w:line="3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Changing Your Vote</w:t>
      </w:r>
    </w:p>
    <w:p>
      <w:pPr>
        <w:spacing w:after="0" w:line="124" w:lineRule="exact"/>
        <w:rPr>
          <w:sz w:val="20"/>
          <w:szCs w:val="20"/>
          <w:color w:val="auto"/>
        </w:rPr>
      </w:pPr>
    </w:p>
    <w:p>
      <w:pPr>
        <w:jc w:val="both"/>
        <w:ind w:left="120"/>
        <w:spacing w:after="0" w:line="232" w:lineRule="auto"/>
        <w:rPr>
          <w:sz w:val="20"/>
          <w:szCs w:val="20"/>
          <w:color w:val="auto"/>
        </w:rPr>
      </w:pPr>
      <w:r>
        <w:rPr>
          <w:rFonts w:ascii="Arial" w:cs="Arial" w:eastAsia="Arial" w:hAnsi="Arial"/>
          <w:sz w:val="17"/>
          <w:szCs w:val="17"/>
          <w:color w:val="auto"/>
        </w:rPr>
        <w:t>As a stockholder of record, if you submit a proxy, you may revoke that proxy at any time before it is voted at the Annual Meeting. Stockholders of record may revoke a proxy by (i) duly submitting a later-dated proxy over the internet, by mail, or by telephone,</w:t>
      </w:r>
    </w:p>
    <w:p>
      <w:pPr>
        <w:jc w:val="both"/>
        <w:ind w:left="120" w:hanging="4"/>
        <w:spacing w:after="0" w:line="234" w:lineRule="auto"/>
        <w:tabs>
          <w:tab w:leader="none" w:pos="39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delivering a written notice of revocation to the attention of the Secretary at our principal executive offices at One Amgen Center Drive, Thousand Oaks, California 91320-1799, or (iii) attending the Annual Meeting and voting at the Annual Meeting. Attendance at the Annual Meeting will not, by itself, revoke a proxy. If your shares are held in the name of a broker, bank, trust, or other nominee, you may change your voting instructions by following the instructions of your broker, bank, trust, or other nominee.</w:t>
      </w:r>
    </w:p>
    <w:p>
      <w:pPr>
        <w:spacing w:after="0" w:line="177" w:lineRule="exact"/>
        <w:rPr>
          <w:sz w:val="20"/>
          <w:szCs w:val="20"/>
          <w:color w:val="auto"/>
        </w:rPr>
      </w:pPr>
    </w:p>
    <w:p>
      <w:pPr>
        <w:ind w:left="120" w:right="700"/>
        <w:spacing w:after="0" w:line="261" w:lineRule="auto"/>
        <w:rPr>
          <w:sz w:val="20"/>
          <w:szCs w:val="20"/>
          <w:color w:val="auto"/>
        </w:rPr>
      </w:pPr>
      <w:r>
        <w:rPr>
          <w:rFonts w:ascii="Arial" w:cs="Arial" w:eastAsia="Arial" w:hAnsi="Arial"/>
          <w:sz w:val="22"/>
          <w:szCs w:val="22"/>
          <w:b w:val="1"/>
          <w:bCs w:val="1"/>
          <w:color w:val="auto"/>
        </w:rPr>
        <w:t>If You Receive More Than One Proxy Card or Notice</w:t>
      </w:r>
    </w:p>
    <w:p>
      <w:pPr>
        <w:spacing w:after="0" w:line="70"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If you receive more than one proxy card or Notice, it means you hold shares that are registered in more than one account. To ensure that all of your shares are voted, sign and return each proxy card or, if you submit a proxy by telephone or the internet, submit one proxy for each proxy card or Notice you receive.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How Will Your Shares Be Voted</w:t>
      </w:r>
    </w:p>
    <w:p>
      <w:pPr>
        <w:spacing w:after="0" w:line="124"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 xml:space="preserve">Stockholders of record as of the close of business on March 20, 2023, are entitled to one vote for each share of our Common Stock held on all matters to be voted upon at the Annual Meeting. All shares entitled to vote and represented by properly submitted proxies received before the polls are closed at the Annual Meeting, and not revoked or superseded, will be voted at the Annual Meeting in accordance with the instructions indicated on those proxies. </w:t>
      </w:r>
      <w:r>
        <w:rPr>
          <w:rFonts w:ascii="Arial" w:cs="Arial" w:eastAsia="Arial" w:hAnsi="Arial"/>
          <w:sz w:val="17"/>
          <w:szCs w:val="17"/>
          <w:b w:val="1"/>
          <w:bCs w:val="1"/>
          <w:color w:val="auto"/>
        </w:rPr>
        <w:t>YOUR</w:t>
      </w:r>
      <w:r>
        <w:rPr>
          <w:rFonts w:ascii="Arial" w:cs="Arial" w:eastAsia="Arial" w:hAnsi="Arial"/>
          <w:sz w:val="17"/>
          <w:szCs w:val="17"/>
          <w:color w:val="auto"/>
        </w:rPr>
        <w:t xml:space="preserve"> </w:t>
      </w:r>
      <w:r>
        <w:rPr>
          <w:rFonts w:ascii="Arial" w:cs="Arial" w:eastAsia="Arial" w:hAnsi="Arial"/>
          <w:sz w:val="17"/>
          <w:szCs w:val="17"/>
          <w:b w:val="1"/>
          <w:bCs w:val="1"/>
          <w:color w:val="auto"/>
        </w:rPr>
        <w:t>VOTE IS VERY IMPORTANT.</w:t>
      </w:r>
    </w:p>
    <w:p>
      <w:pPr>
        <w:spacing w:after="0" w:line="177" w:lineRule="exact"/>
        <w:rPr>
          <w:sz w:val="20"/>
          <w:szCs w:val="20"/>
          <w:color w:val="auto"/>
        </w:rPr>
      </w:pPr>
    </w:p>
    <w:p>
      <w:pPr>
        <w:ind w:left="120" w:right="240"/>
        <w:spacing w:after="0" w:line="261" w:lineRule="auto"/>
        <w:rPr>
          <w:sz w:val="20"/>
          <w:szCs w:val="20"/>
          <w:color w:val="auto"/>
        </w:rPr>
      </w:pPr>
      <w:r>
        <w:rPr>
          <w:rFonts w:ascii="Arial" w:cs="Arial" w:eastAsia="Arial" w:hAnsi="Arial"/>
          <w:sz w:val="22"/>
          <w:szCs w:val="22"/>
          <w:b w:val="1"/>
          <w:bCs w:val="1"/>
          <w:color w:val="auto"/>
        </w:rPr>
        <w:t>If You Do Not Specify How You Want Your Shares Voted</w:t>
      </w:r>
    </w:p>
    <w:p>
      <w:pPr>
        <w:spacing w:after="0" w:line="70"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As a stockholder of record, if you submit a signed proxy card or submit your proxy by telephone or internet and do not specify how you want your shares voted, the proxy holder will vote your shares:</w:t>
      </w:r>
    </w:p>
    <w:p>
      <w:pPr>
        <w:spacing w:after="0" w:line="107" w:lineRule="exact"/>
        <w:rPr>
          <w:sz w:val="20"/>
          <w:szCs w:val="20"/>
          <w:color w:val="auto"/>
        </w:rPr>
      </w:pPr>
    </w:p>
    <w:p>
      <w:pPr>
        <w:jc w:val="both"/>
        <w:ind w:left="380" w:hanging="264"/>
        <w:spacing w:after="0" w:line="238" w:lineRule="auto"/>
        <w:tabs>
          <w:tab w:leader="none" w:pos="380" w:val="left"/>
        </w:tabs>
        <w:numPr>
          <w:ilvl w:val="0"/>
          <w:numId w:val="151"/>
        </w:numPr>
        <w:rPr>
          <w:rFonts w:ascii="Arial" w:cs="Arial" w:eastAsia="Arial" w:hAnsi="Arial"/>
          <w:sz w:val="17"/>
          <w:szCs w:val="17"/>
          <w:color w:val="0171B9"/>
        </w:rPr>
      </w:pPr>
      <w:r>
        <w:rPr>
          <w:rFonts w:ascii="Arial" w:cs="Arial" w:eastAsia="Arial" w:hAnsi="Arial"/>
          <w:sz w:val="17"/>
          <w:szCs w:val="17"/>
          <w:color w:val="auto"/>
        </w:rPr>
        <w:t>FOR the election of the 13 nominees listed in this proxy statement to serve on our Board for a term of office expiring at the 2024 annual meeting of stockholders;</w:t>
      </w:r>
    </w:p>
    <w:p>
      <w:pPr>
        <w:spacing w:after="0" w:line="106" w:lineRule="exact"/>
        <w:rPr>
          <w:rFonts w:ascii="Arial" w:cs="Arial" w:eastAsia="Arial" w:hAnsi="Arial"/>
          <w:sz w:val="17"/>
          <w:szCs w:val="17"/>
          <w:color w:val="0171B9"/>
        </w:rPr>
      </w:pPr>
    </w:p>
    <w:p>
      <w:pPr>
        <w:jc w:val="both"/>
        <w:ind w:left="380" w:hanging="264"/>
        <w:spacing w:after="0" w:line="238" w:lineRule="auto"/>
        <w:tabs>
          <w:tab w:leader="none" w:pos="380" w:val="left"/>
        </w:tabs>
        <w:numPr>
          <w:ilvl w:val="0"/>
          <w:numId w:val="151"/>
        </w:numPr>
        <w:rPr>
          <w:rFonts w:ascii="Arial" w:cs="Arial" w:eastAsia="Arial" w:hAnsi="Arial"/>
          <w:sz w:val="17"/>
          <w:szCs w:val="17"/>
          <w:color w:val="0171B9"/>
        </w:rPr>
      </w:pPr>
      <w:r>
        <w:rPr>
          <w:rFonts w:ascii="Arial" w:cs="Arial" w:eastAsia="Arial" w:hAnsi="Arial"/>
          <w:sz w:val="17"/>
          <w:szCs w:val="17"/>
          <w:color w:val="auto"/>
        </w:rPr>
        <w:t>FOR holding the advisory vote on the frequency of future stockholder advisory votes to approve executive compensation every “ONE YEAR”;</w:t>
      </w:r>
    </w:p>
    <w:p>
      <w:pPr>
        <w:spacing w:after="0" w:line="106" w:lineRule="exact"/>
        <w:rPr>
          <w:rFonts w:ascii="Arial" w:cs="Arial" w:eastAsia="Arial" w:hAnsi="Arial"/>
          <w:sz w:val="17"/>
          <w:szCs w:val="17"/>
          <w:color w:val="0171B9"/>
        </w:rPr>
      </w:pPr>
    </w:p>
    <w:p>
      <w:pPr>
        <w:ind w:left="380" w:hanging="264"/>
        <w:spacing w:after="0" w:line="243" w:lineRule="auto"/>
        <w:tabs>
          <w:tab w:leader="none" w:pos="380" w:val="left"/>
        </w:tabs>
        <w:numPr>
          <w:ilvl w:val="0"/>
          <w:numId w:val="151"/>
        </w:numPr>
        <w:rPr>
          <w:rFonts w:ascii="Arial" w:cs="Arial" w:eastAsia="Arial" w:hAnsi="Arial"/>
          <w:sz w:val="17"/>
          <w:szCs w:val="17"/>
          <w:color w:val="0171B9"/>
        </w:rPr>
      </w:pPr>
      <w:r>
        <w:rPr>
          <w:rFonts w:ascii="Arial" w:cs="Arial" w:eastAsia="Arial" w:hAnsi="Arial"/>
          <w:sz w:val="17"/>
          <w:szCs w:val="17"/>
          <w:color w:val="auto"/>
        </w:rPr>
        <w:t>FOR the advisory vote to approve our executive compensation; and</w:t>
      </w:r>
    </w:p>
    <w:p>
      <w:pPr>
        <w:spacing w:after="0" w:line="103" w:lineRule="exact"/>
        <w:rPr>
          <w:rFonts w:ascii="Arial" w:cs="Arial" w:eastAsia="Arial" w:hAnsi="Arial"/>
          <w:sz w:val="17"/>
          <w:szCs w:val="17"/>
          <w:color w:val="0171B9"/>
        </w:rPr>
      </w:pPr>
    </w:p>
    <w:p>
      <w:pPr>
        <w:jc w:val="both"/>
        <w:ind w:left="380" w:hanging="264"/>
        <w:spacing w:after="0" w:line="238" w:lineRule="auto"/>
        <w:tabs>
          <w:tab w:leader="none" w:pos="380" w:val="left"/>
        </w:tabs>
        <w:numPr>
          <w:ilvl w:val="0"/>
          <w:numId w:val="151"/>
        </w:numPr>
        <w:rPr>
          <w:rFonts w:ascii="Arial" w:cs="Arial" w:eastAsia="Arial" w:hAnsi="Arial"/>
          <w:sz w:val="17"/>
          <w:szCs w:val="17"/>
          <w:color w:val="0171B9"/>
        </w:rPr>
      </w:pPr>
      <w:r>
        <w:rPr>
          <w:rFonts w:ascii="Arial" w:cs="Arial" w:eastAsia="Arial" w:hAnsi="Arial"/>
          <w:sz w:val="17"/>
          <w:szCs w:val="17"/>
          <w:color w:val="auto"/>
        </w:rPr>
        <w:t>FOR the ratification of the selection of Ernst &amp; Young LLP as our independent registered public accountants for the fiscal year ending December 31, 2023.</w:t>
      </w:r>
    </w:p>
    <w:p>
      <w:pPr>
        <w:spacing w:after="0" w:line="93"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A “broker non-vote” occurs when a nominee holding shares for a beneficial owner has not received voting instructions from the beneficial owner and the nominee does not have discretionary authority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both"/>
        <w:spacing w:after="0"/>
        <w:rPr>
          <w:sz w:val="20"/>
          <w:szCs w:val="20"/>
          <w:color w:val="auto"/>
        </w:rPr>
      </w:pPr>
      <w:r>
        <w:rPr>
          <w:rFonts w:ascii="Arial" w:cs="Arial" w:eastAsia="Arial" w:hAnsi="Arial"/>
          <w:sz w:val="17"/>
          <w:szCs w:val="17"/>
          <w:color w:val="auto"/>
        </w:rPr>
        <w:t>to vote the shares on that proposal. If you hold your shares in street name and do not provide voting instructions to your broker or other nominee, your shares will be considered to be broker non-votes and will not be voted on any proposal on which your broker or other nominee does not have discretionary authority to vote. Shares that constitute broker non-votes will be counted as present at the Annual Meeting for the purpose of determining a quorum, but will not be considered entitled to vote on the proposal in question and therefore will have no effect on the outcome of the vote. Brokers generally have discretionary authority to vote on the ratification of the selection of Ernst &amp; Young LLP as our independent registered public accountants, and thus broker non-votes are not likely on these proposals. Brokers, however, do not have discretionary authority to vote on (i) the election of directors to serve on our Board, (ii) the advisory vote concerning the frequency of future stockholder advisory votes to approve executive compensation, or (iii) the advisory vote to approve our executive compensation. Accordingly, broker non-votes will likely result on these four proposals.</w:t>
      </w:r>
    </w:p>
    <w:p>
      <w:pPr>
        <w:spacing w:after="0" w:line="187"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In their discretion, the proxy holders named in the proxy solicited by the Company are authorized to vote the proxies in their discretion on any other matters that may properly come before the Annual Meeting and any continuation, postponement, or adjournment thereof. The Board knows of no other items of business that will be presented for consideration at the Annual Meeting other than those described in this proxy statement. In addition, no stockholder nomination was received on a timely basis, so no such matter may be brought to a vote at the Annual Meeting.</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Inspector of Election and Counting of Votes</w:t>
      </w:r>
    </w:p>
    <w:p>
      <w:pPr>
        <w:spacing w:after="0" w:line="12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All votes will be tabulated as required by Delaware law, the state of our incorporation, by the inspector of election appointed for the Annual Meeting, who will separately tabulate affirmative and negative votes, abstentions, and broker non-votes. Shares held by persons attending the Annual Meeting but not voting, shares represented by proxies that reflect abstentions as to one or more proposals, and broker non-votes will be counted as present for purposes of determining a quorum.</w:t>
      </w:r>
    </w:p>
    <w:p>
      <w:pPr>
        <w:spacing w:after="0" w:line="7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b w:val="1"/>
          <w:bCs w:val="1"/>
          <w:i w:val="1"/>
          <w:iCs w:val="1"/>
          <w:color w:val="0171B9"/>
        </w:rPr>
        <w:t xml:space="preserve">Election of Directors. </w:t>
      </w:r>
      <w:r>
        <w:rPr>
          <w:rFonts w:ascii="Arial" w:cs="Arial" w:eastAsia="Arial" w:hAnsi="Arial"/>
          <w:sz w:val="17"/>
          <w:szCs w:val="17"/>
          <w:color w:val="000000"/>
        </w:rPr>
        <w:t>We have a majority voting standard for the</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election of directors in an uncontested election, which is generally defined as an election in which the number of nominees does not exceed the number of directors to be elected at the meeting. In the election of directors, you may either vote “for,” “against,” or “abstain” for each nominee. Cumulative voting is not permitted. Under our majority voting standard, in uncontested elections of directors, such as this election, each director must be elected by the affirmative vote of a majority of the votes cast by the shares in attendance at the Annual Meeting or represented by proxy. A “majority of the votes cast” means that the number of votes cast “for” a director nominee exceeds the number of votes cast “against” the nominee. For these purposes, abstentions and broker non-votes will not count as a vote “for” or “against” a nominee’s election and thus will have no effect in determining whether a director nominee has received a majority of the votes cast. Brokers do not have discretionary authority to vote on this proposal.</w:t>
      </w:r>
    </w:p>
    <w:p>
      <w:pPr>
        <w:spacing w:after="0" w:line="1056"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73" w:lineRule="exact"/>
        <w:rPr>
          <w:sz w:val="20"/>
          <w:szCs w:val="20"/>
          <w:color w:val="auto"/>
        </w:rPr>
      </w:pPr>
    </w:p>
    <w:p>
      <w:pPr>
        <w:ind w:left="8500"/>
        <w:spacing w:after="0"/>
        <w:tabs>
          <w:tab w:leader="none" w:pos="1078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20"/>
          <w:szCs w:val="20"/>
          <w:b w:val="1"/>
          <w:bCs w:val="1"/>
          <w:color w:val="474747"/>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-162560</wp:posOffset>
            </wp:positionV>
            <wp:extent cx="582930" cy="13716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Information Concerning Voting and Solicitation</w:t>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If a director nominee is an incumbent director and does not receive a majority of the votes cast in an uncontested election, that director will continue to serve on the Board as a “holdover” director, but must tender his or her resignation contingent upon acceptance by the Board to the Board promptly after certification of the election results of the stockholder vote. The Governance and Nominating Committee of the Board will then recommend to the Board whether to accept the resignation or whether other action should be taken. The Board will act on the tendered resignation, taking into account the recommendation of the Governance and Nominating Committee, and the Board’s decision will be publicly disclosed within 90 days after certification of the election results of the stockholder vote. A director who tenders his or her resignation after failing to receive a majority of the votes cast will not participate in the recommendation of the Governance and Nominating Committee or the decision of the Board with respect to his or her resignation.</w:t>
      </w:r>
    </w:p>
    <w:p>
      <w:pPr>
        <w:spacing w:after="0" w:line="76"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b w:val="1"/>
          <w:bCs w:val="1"/>
          <w:i w:val="1"/>
          <w:iCs w:val="1"/>
          <w:color w:val="0171B9"/>
        </w:rPr>
        <w:t xml:space="preserve">Management Proposals (Advisory Vote on the Frequency of Future Stockholder Advisory Votes to Approve Executive Compensation, Advisory Vote to Approve Our Executive Compensation, and Ratification of Ernst &amp; Young LLP). </w:t>
      </w:r>
      <w:r>
        <w:rPr>
          <w:rFonts w:ascii="Arial" w:cs="Arial" w:eastAsia="Arial" w:hAnsi="Arial"/>
          <w:sz w:val="17"/>
          <w:szCs w:val="17"/>
          <w:color w:val="000000"/>
        </w:rPr>
        <w:t>The</w:t>
      </w:r>
      <w:r>
        <w:rPr>
          <w:rFonts w:ascii="Arial" w:cs="Arial" w:eastAsia="Arial" w:hAnsi="Arial"/>
          <w:sz w:val="17"/>
          <w:szCs w:val="17"/>
          <w:b w:val="1"/>
          <w:bCs w:val="1"/>
          <w:i w:val="1"/>
          <w:iCs w:val="1"/>
          <w:color w:val="0171B9"/>
        </w:rPr>
        <w:t xml:space="preserve"> </w:t>
      </w:r>
      <w:r>
        <w:rPr>
          <w:rFonts w:ascii="Arial" w:cs="Arial" w:eastAsia="Arial" w:hAnsi="Arial"/>
          <w:sz w:val="17"/>
          <w:szCs w:val="17"/>
          <w:color w:val="000000"/>
        </w:rPr>
        <w:t>approval of the advisory vote on the frequency of future stockholder advisory votes to approve executive compensation, advisory vote to approve our executive compensation, and the ratification of the selection of Ernst &amp; Young LLP requires the affirmative votes of the holders of a majority of the shares present or represented by proxy at the Annual Meeting and entitled to vote on the matter. Abstentions will have the same effect as votes “against” each proposal.</w:t>
      </w:r>
    </w:p>
    <w:p>
      <w:pPr>
        <w:spacing w:after="0" w:line="93"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Because brokers have discretionary authority to vote on the ratification of the selection of Ernst &amp; Young LLP, we do not expect any broker non-votes in connection with the ratification. Brokers do not have discretionary authority to vote on the advisory vote on the frequency of future stockholder advisory votes to approve executive compensation, or the advisory vote to approve our executive compensation. Broker non-votes on these proposals will have no effect on these proposals as brokers are not entitled to vote on such proposal in the absence of voting instructions from the beneficial owner. With respect to the approval of the advisory vote on the frequency of future stockholder advisory votes to approve executive compensation, if none of the frequency alternatives (one year, two years or three years) receives a majority vote, we will consider the frequency that receives the highest number of votes by stockholders to be the frequency that has been selected by our stockholders on an advisory basis.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Solicitation of Proxies</w:t>
      </w:r>
    </w:p>
    <w:p>
      <w:pPr>
        <w:spacing w:after="0" w:line="124"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We will bear the entire cost of solicitation of proxies, including preparation, assembly, and mailing of this proxy statement, the proxy card, the Notice, and any additional information furnished to stockholders. Copies of solicitation materials will be furnished to banks, brokerage houses, fiduciaries, and custodians holding shares of our Common Stock in their names that are beneficially owned by others to forward to those beneficial owners. We may reimburse persons representing beneficial owners for their costs of forwarding the solicitation materials to the beneficial owners. Original solicitation of</w:t>
      </w:r>
    </w:p>
    <w:p>
      <w:pPr>
        <w:spacing w:after="0" w:line="278" w:lineRule="exact"/>
        <w:rPr>
          <w:sz w:val="20"/>
          <w:szCs w:val="20"/>
          <w:color w:val="auto"/>
        </w:rPr>
      </w:pPr>
    </w:p>
    <w:p>
      <w:pPr>
        <w:ind w:left="120"/>
        <w:spacing w:after="0"/>
        <w:tabs>
          <w:tab w:leader="none" w:pos="703" w:val="left"/>
        </w:tabs>
        <w:rPr>
          <w:sz w:val="20"/>
          <w:szCs w:val="20"/>
          <w:color w:val="auto"/>
        </w:rPr>
      </w:pPr>
      <w:r>
        <w:rPr>
          <w:rFonts w:ascii="Arial" w:cs="Arial" w:eastAsia="Arial" w:hAnsi="Arial"/>
          <w:sz w:val="20"/>
          <w:szCs w:val="20"/>
          <w:b w:val="1"/>
          <w:bCs w:val="1"/>
          <w:color w:val="474747"/>
        </w:rPr>
        <w:t>106</w:t>
      </w:r>
      <w:r>
        <w:rPr>
          <w:sz w:val="20"/>
          <w:szCs w:val="20"/>
          <w:color w:val="auto"/>
        </w:rPr>
        <w:tab/>
      </w:r>
      <w:r>
        <w:rPr>
          <w:sz w:val="1"/>
          <w:szCs w:val="1"/>
          <w:color w:val="auto"/>
        </w:rPr>
        <w:drawing>
          <wp:inline distT="0" distB="0" distL="0" distR="0">
            <wp:extent cx="582930" cy="137160"/>
            <wp:effectExtent l="0" t="0" r="0" b="0"/>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proxies may be supplemented by telephone, facsimile, electronic mail, or personal solicitation by our directors, officers, or staff members. No additional compensation will be paid to our directors, officers, or staff members for such services. In addition, we have retained D.F. King &amp; Co. to assist in the solicitation of proxies for a fee of approximately $100,000 plus distribution costs and other costs and expenses. A list of stockholders entitled to vote at the Annual Meeting will be available upon request to our Secretary for examination by any stockholder for any purpose germane to the Annual Meeting at the Company’s principal executive offices at One Amgen Center Drive, Thousand Oaks, California 91320-1799 during ordinary business hours for the ten days prior to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Attendance at the Annual Meeting</w:t>
      </w:r>
    </w:p>
    <w:p>
      <w:pPr>
        <w:spacing w:after="0" w:line="12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 xml:space="preserve">Our Annual Meeting will be held solely by remote communication via the internet at </w:t>
      </w:r>
      <w:r>
        <w:rPr>
          <w:rFonts w:ascii="Arial" w:cs="Arial" w:eastAsia="Arial" w:hAnsi="Arial"/>
          <w:sz w:val="17"/>
          <w:szCs w:val="17"/>
          <w:i w:val="1"/>
          <w:iCs w:val="1"/>
          <w:color w:val="0171B9"/>
        </w:rPr>
        <w:t>www.virtualshareholdermeeting.com/AMGN2023</w:t>
      </w:r>
      <w:r>
        <w:rPr>
          <w:rFonts w:ascii="Arial" w:cs="Arial" w:eastAsia="Arial" w:hAnsi="Arial"/>
          <w:sz w:val="17"/>
          <w:szCs w:val="17"/>
          <w:color w:val="auto"/>
        </w:rPr>
        <w:t xml:space="preserve">. You will be able to attend the Annual Meeting virtually, but not in person. The live audio webcast of the Annual Meeting will begin promptly at 11:00 A.M., Pacific Time. Stockholders or their proxyholders may participate and vote at our Annual Meeting via the internet at </w:t>
      </w:r>
      <w:r>
        <w:rPr>
          <w:rFonts w:ascii="Arial" w:cs="Arial" w:eastAsia="Arial" w:hAnsi="Arial"/>
          <w:sz w:val="17"/>
          <w:szCs w:val="17"/>
          <w:i w:val="1"/>
          <w:iCs w:val="1"/>
          <w:color w:val="0171B9"/>
        </w:rPr>
        <w:t xml:space="preserve">www.virtualshareholdermeeting.com/AMGN2023 </w:t>
      </w:r>
      <w:r>
        <w:rPr>
          <w:rFonts w:ascii="Arial" w:cs="Arial" w:eastAsia="Arial" w:hAnsi="Arial"/>
          <w:sz w:val="17"/>
          <w:szCs w:val="17"/>
          <w:color w:val="000000"/>
        </w:rPr>
        <w:t>and using your</w:t>
      </w:r>
      <w:r>
        <w:rPr>
          <w:rFonts w:ascii="Arial" w:cs="Arial" w:eastAsia="Arial" w:hAnsi="Arial"/>
          <w:sz w:val="17"/>
          <w:szCs w:val="17"/>
          <w:i w:val="1"/>
          <w:iCs w:val="1"/>
          <w:color w:val="0171B9"/>
        </w:rPr>
        <w:t xml:space="preserve"> </w:t>
      </w:r>
      <w:r>
        <w:rPr>
          <w:rFonts w:ascii="Arial" w:cs="Arial" w:eastAsia="Arial" w:hAnsi="Arial"/>
          <w:sz w:val="17"/>
          <w:szCs w:val="17"/>
          <w:color w:val="000000"/>
        </w:rPr>
        <w:t>control number. We encourage our stockholders to access the meeting approximately 15 minutes in advance of the designated start time to test their devices’ audio systems.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Submitting Questions at the Annual Meeting</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Once online access to the Annual Meeting is open, stockholders may</w:t>
      </w:r>
    </w:p>
    <w:p>
      <w:pPr>
        <w:jc w:val="both"/>
        <w:ind w:right="20"/>
        <w:spacing w:after="0" w:line="234" w:lineRule="auto"/>
        <w:rPr>
          <w:sz w:val="20"/>
          <w:szCs w:val="20"/>
          <w:color w:val="auto"/>
        </w:rPr>
      </w:pPr>
      <w:r>
        <w:rPr>
          <w:rFonts w:ascii="Arial" w:cs="Arial" w:eastAsia="Arial" w:hAnsi="Arial"/>
          <w:sz w:val="17"/>
          <w:szCs w:val="17"/>
          <w:color w:val="auto"/>
        </w:rPr>
        <w:t xml:space="preserve">submit questions, if any, on </w:t>
      </w:r>
      <w:r>
        <w:rPr>
          <w:rFonts w:ascii="Arial" w:cs="Arial" w:eastAsia="Arial" w:hAnsi="Arial"/>
          <w:sz w:val="17"/>
          <w:szCs w:val="17"/>
          <w:i w:val="1"/>
          <w:iCs w:val="1"/>
          <w:color w:val="0171B9"/>
        </w:rPr>
        <w:t>www.virtualshareholdermeeting.com/AMGN2023</w:t>
      </w:r>
      <w:r>
        <w:rPr>
          <w:rFonts w:ascii="Arial" w:cs="Arial" w:eastAsia="Arial" w:hAnsi="Arial"/>
          <w:sz w:val="17"/>
          <w:szCs w:val="17"/>
          <w:color w:val="000000"/>
        </w:rPr>
        <w:t>. To demonstrate proof</w:t>
      </w:r>
      <w:r>
        <w:rPr>
          <w:rFonts w:ascii="Arial" w:cs="Arial" w:eastAsia="Arial" w:hAnsi="Arial"/>
          <w:sz w:val="17"/>
          <w:szCs w:val="17"/>
          <w:i w:val="1"/>
          <w:iCs w:val="1"/>
          <w:color w:val="0171B9"/>
        </w:rPr>
        <w:t xml:space="preserve"> </w:t>
      </w:r>
      <w:r>
        <w:rPr>
          <w:rFonts w:ascii="Arial" w:cs="Arial" w:eastAsia="Arial" w:hAnsi="Arial"/>
          <w:sz w:val="17"/>
          <w:szCs w:val="17"/>
          <w:color w:val="000000"/>
        </w:rPr>
        <w:t>of stock ownership, you will need to enter the control number provided with your Notice, proxy card, or voting instruction form to submit questions and vote at our Annual Meeting. Questions pertinent to meeting matters and that are submitted in accordance with our Rules of Conduct for the Annual Meeting will be answered during the meeting, subject to applicable time constraints.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3394710" cy="10712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394710" cy="1071245"/>
                    </a:xfrm>
                    <a:prstGeom prst="rect">
                      <a:avLst/>
                    </a:prstGeom>
                    <a:noFill/>
                  </pic:spPr>
                </pic:pic>
              </a:graphicData>
            </a:graphic>
          </wp:anchor>
        </w:drawing>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Technical Assistance</w:t>
      </w:r>
    </w:p>
    <w:p>
      <w:pPr>
        <w:spacing w:after="0" w:line="138" w:lineRule="exact"/>
        <w:rPr>
          <w:sz w:val="20"/>
          <w:szCs w:val="20"/>
          <w:color w:val="auto"/>
        </w:rPr>
      </w:pPr>
    </w:p>
    <w:p>
      <w:pPr>
        <w:jc w:val="both"/>
        <w:ind w:left="160" w:right="200"/>
        <w:spacing w:after="0" w:line="235" w:lineRule="auto"/>
        <w:rPr>
          <w:sz w:val="20"/>
          <w:szCs w:val="20"/>
          <w:color w:val="auto"/>
        </w:rPr>
      </w:pPr>
      <w:r>
        <w:rPr>
          <w:rFonts w:ascii="Arial" w:cs="Arial" w:eastAsia="Arial" w:hAnsi="Arial"/>
          <w:sz w:val="17"/>
          <w:szCs w:val="17"/>
          <w:color w:val="auto"/>
        </w:rPr>
        <w:t>Beginning immediately prior to the start of and during the virtual Annual Meeting, we will have a support team ready to assist stockholders with any technical difficulties they may have accessing or hearing the virtual meeting. If you encounter any difficulties accessing the virtual meeting, please call our support team at 844-976-0738 (U.S.) or 303-562-9301 (International).</w:t>
      </w:r>
    </w:p>
    <w:p>
      <w:pPr>
        <w:sectPr>
          <w:pgSz w:w="11900" w:h="16838" w:orient="portrait"/>
          <w:cols w:equalWidth="0" w:num="2">
            <w:col w:w="5400" w:space="340"/>
            <w:col w:w="5400"/>
          </w:cols>
          <w:pgMar w:left="320" w:top="486" w:right="4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205740</wp:posOffset>
            </wp:positionV>
            <wp:extent cx="1028700" cy="21463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028700" cy="214630"/>
                    </a:xfrm>
                    <a:prstGeom prst="rect">
                      <a:avLst/>
                    </a:prstGeom>
                    <a:noFill/>
                  </pic:spPr>
                </pic:pic>
              </a:graphicData>
            </a:graphic>
          </wp:anchor>
        </w:drawing>
      </w: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rPr>
        <w:t>Other Matters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Other Matters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5"/>
          <w:szCs w:val="25"/>
          <w:b w:val="1"/>
          <w:bCs w:val="1"/>
          <w:i w:val="1"/>
          <w:iCs w:val="1"/>
          <w:color w:val="0171B9"/>
        </w:rPr>
        <w:t>Stockholder Proposals for the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58420</wp:posOffset>
            </wp:positionV>
            <wp:extent cx="699516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94" w:lineRule="exact"/>
        <w:rPr>
          <w:sz w:val="20"/>
          <w:szCs w:val="20"/>
          <w:color w:val="auto"/>
        </w:rPr>
      </w:pPr>
    </w:p>
    <w:p>
      <w:pPr>
        <w:ind w:left="120" w:right="580"/>
        <w:spacing w:after="0" w:line="257" w:lineRule="auto"/>
        <w:rPr>
          <w:sz w:val="20"/>
          <w:szCs w:val="20"/>
          <w:color w:val="auto"/>
        </w:rPr>
      </w:pPr>
      <w:r>
        <w:rPr>
          <w:rFonts w:ascii="Arial" w:cs="Arial" w:eastAsia="Arial" w:hAnsi="Arial"/>
          <w:sz w:val="20"/>
          <w:szCs w:val="20"/>
          <w:b w:val="1"/>
          <w:bCs w:val="1"/>
          <w:color w:val="auto"/>
        </w:rPr>
        <w:t>Stockholder Proposals and Director Nominees for Inclusion in our 2024 Proxy Statement</w:t>
      </w:r>
    </w:p>
    <w:p>
      <w:pPr>
        <w:spacing w:after="0" w:line="51"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i w:val="1"/>
          <w:iCs w:val="1"/>
          <w:color w:val="0171B9"/>
        </w:rPr>
        <w:t>Proposals Pursuant to Rule 14a-8</w:t>
      </w:r>
      <w:r>
        <w:rPr>
          <w:rFonts w:ascii="Arial" w:cs="Arial" w:eastAsia="Arial" w:hAnsi="Arial"/>
          <w:sz w:val="17"/>
          <w:szCs w:val="17"/>
          <w:color w:val="000000"/>
        </w:rPr>
        <w:t>. Pursuant to Rule 14a-8 under the</w:t>
      </w:r>
      <w:r>
        <w:rPr>
          <w:rFonts w:ascii="Arial" w:cs="Arial" w:eastAsia="Arial" w:hAnsi="Arial"/>
          <w:sz w:val="17"/>
          <w:szCs w:val="17"/>
          <w:i w:val="1"/>
          <w:iCs w:val="1"/>
          <w:color w:val="0171B9"/>
        </w:rPr>
        <w:t xml:space="preserve"> </w:t>
      </w:r>
      <w:r>
        <w:rPr>
          <w:rFonts w:ascii="Arial" w:cs="Arial" w:eastAsia="Arial" w:hAnsi="Arial"/>
          <w:sz w:val="17"/>
          <w:szCs w:val="17"/>
          <w:color w:val="000000"/>
        </w:rPr>
        <w:t>Exchange Act, stockholders may present proper proposals for inclusion in our proxy statement and for consideration at our 2024 annual meeting of stockholders. To be eligible for inclusion in our 2024 proxy statement, your proposal must be received by our Secretary at our principal executive offices at One Amgen Center Drive, Thousand Oaks, California 91320-1799 or by facsimile number</w:t>
      </w:r>
    </w:p>
    <w:p>
      <w:pPr>
        <w:spacing w:after="0" w:line="1" w:lineRule="exact"/>
        <w:rPr>
          <w:sz w:val="20"/>
          <w:szCs w:val="20"/>
          <w:color w:val="auto"/>
        </w:rPr>
      </w:pPr>
    </w:p>
    <w:p>
      <w:pPr>
        <w:jc w:val="both"/>
        <w:ind w:left="120" w:hanging="4"/>
        <w:spacing w:after="0" w:line="235" w:lineRule="auto"/>
        <w:tabs>
          <w:tab w:leader="none" w:pos="56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499-6751, no later than December 8, 2023, and must otherwise comply with Rule 14a-8 under the Exchange Act. While our Board of Directors, or Board, will consider stockholder proposals, we reserve the right to omit from our proxy statement stockholder proposals that we are not required to include under the Exchange Act, including Rule 14a-8.</w:t>
      </w:r>
    </w:p>
    <w:p>
      <w:pPr>
        <w:spacing w:after="0" w:line="76"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i w:val="1"/>
          <w:iCs w:val="1"/>
          <w:color w:val="0171B9"/>
        </w:rPr>
        <w:t>Director Nominations Pursuant to Our Bylaws</w:t>
      </w:r>
      <w:r>
        <w:rPr>
          <w:rFonts w:ascii="Arial" w:cs="Arial" w:eastAsia="Arial" w:hAnsi="Arial"/>
          <w:sz w:val="17"/>
          <w:szCs w:val="17"/>
          <w:color w:val="000000"/>
        </w:rPr>
        <w:t>. Our Amended and</w:t>
      </w:r>
      <w:r>
        <w:rPr>
          <w:rFonts w:ascii="Arial" w:cs="Arial" w:eastAsia="Arial" w:hAnsi="Arial"/>
          <w:sz w:val="17"/>
          <w:szCs w:val="17"/>
          <w:i w:val="1"/>
          <w:iCs w:val="1"/>
          <w:color w:val="0171B9"/>
        </w:rPr>
        <w:t xml:space="preserve"> </w:t>
      </w:r>
      <w:r>
        <w:rPr>
          <w:rFonts w:ascii="Arial" w:cs="Arial" w:eastAsia="Arial" w:hAnsi="Arial"/>
          <w:sz w:val="17"/>
          <w:szCs w:val="17"/>
          <w:color w:val="000000"/>
        </w:rPr>
        <w:t>Restated Bylaws of Amgen Inc., or Bylaws, permit an eligible stockholder, or group of up to 20 eligible stockholders, owning Amgen stock continuously for at least three years and shares representing an aggregate of at least 3% of our outstanding shares, to nominate and include in Amgen’s proxy materials director nominees constituting up to the greater of 20% of the Board or two directors, provided that the stockholder(s) and nominee(s) satisfy the requirements of the Bylaws (“Proxy Access”). To nominate a director pursuant to Proxy Access at the 2024 annual meeting of stockholders, you must comply with all of the procedures, information requirements, qualifications and conditions set forth in our Bylaws. A fully compliant nomination notice must be received by us no earlier than November 8, 2023, and no later than December 8, 2023, assuming the date of the 2024 annual meeting of stockholders is not more than thirty days before and not more than seventy days after the anniversary date of the 2023 Annual Meeting of Stockholders, or Annual Meeting, and such nomination notice must be delivered to our Secretary at our principal executive offices at One Amgen Center Drive, Thousand Oaks, California 91320-1799 or by facsimile number (805) 499-6751.</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both"/>
        <w:ind w:left="6"/>
        <w:spacing w:after="0" w:line="232" w:lineRule="auto"/>
        <w:rPr>
          <w:sz w:val="20"/>
          <w:szCs w:val="20"/>
          <w:color w:val="auto"/>
        </w:rPr>
      </w:pPr>
      <w:r>
        <w:rPr>
          <w:rFonts w:ascii="Arial" w:cs="Arial" w:eastAsia="Arial" w:hAnsi="Arial"/>
          <w:sz w:val="17"/>
          <w:szCs w:val="17"/>
          <w:color w:val="auto"/>
        </w:rPr>
        <w:t>provisions of our Bylaws, you must comply with all of the procedures, information requirements, qualifications and conditions set forth in our Bylaws. In addition, assuming the date of the 2024 annual meeting of stockholders is not more than thirty days before and not more than seventy days after the anniversary date of the Annual Meeting, you must notify us in writing and such notice must be delivered to our Secretary at our principal executive offices at One Amgen Center Drive, Thousand Oaks, California 91320-1799 or by facsimile number</w:t>
      </w:r>
    </w:p>
    <w:p>
      <w:pPr>
        <w:ind w:left="6" w:right="20" w:hanging="6"/>
        <w:spacing w:after="0" w:line="243" w:lineRule="auto"/>
        <w:tabs>
          <w:tab w:leader="none" w:pos="479" w:val="left"/>
        </w:tabs>
        <w:numPr>
          <w:ilvl w:val="0"/>
          <w:numId w:val="153"/>
        </w:numPr>
        <w:rPr>
          <w:rFonts w:ascii="Arial" w:cs="Arial" w:eastAsia="Arial" w:hAnsi="Arial"/>
          <w:sz w:val="17"/>
          <w:szCs w:val="17"/>
          <w:color w:val="auto"/>
        </w:rPr>
      </w:pPr>
      <w:r>
        <w:rPr>
          <w:rFonts w:ascii="Arial" w:cs="Arial" w:eastAsia="Arial" w:hAnsi="Arial"/>
          <w:sz w:val="17"/>
          <w:szCs w:val="17"/>
          <w:color w:val="auto"/>
        </w:rPr>
        <w:t>499-6751 no earlier than January 20, 2024, and no later than February 19, 2024.</w:t>
      </w:r>
    </w:p>
    <w:p>
      <w:pPr>
        <w:spacing w:after="0" w:line="90" w:lineRule="exact"/>
        <w:rPr>
          <w:sz w:val="20"/>
          <w:szCs w:val="20"/>
          <w:color w:val="auto"/>
        </w:rPr>
      </w:pPr>
    </w:p>
    <w:p>
      <w:pPr>
        <w:jc w:val="both"/>
        <w:ind w:left="6"/>
        <w:spacing w:after="0" w:line="234" w:lineRule="auto"/>
        <w:rPr>
          <w:sz w:val="20"/>
          <w:szCs w:val="20"/>
          <w:color w:val="auto"/>
        </w:rPr>
      </w:pPr>
      <w:r>
        <w:rPr>
          <w:rFonts w:ascii="Arial" w:cs="Arial" w:eastAsia="Arial" w:hAnsi="Arial"/>
          <w:sz w:val="17"/>
          <w:szCs w:val="17"/>
          <w:color w:val="auto"/>
        </w:rPr>
        <w:t>You may write to our Secretary at our principal executive offices at One Amgen Center Drive, Thousand Oaks, California 91320-1799 or by facsimile number (805) 499-6751, to deliver the notices discussed above and for a copy of the relevant Bylaw provisions regarding the requirements for making stockholder proposals and nominating director candidates pursuant to our Bylaws. Also, our Bylaws are filed with the SEC as an exhibit to our Exchange Act reports and can be accessed through the SEC’s EDGAR system.</w:t>
      </w:r>
    </w:p>
    <w:p>
      <w:pPr>
        <w:spacing w:after="0" w:line="95" w:lineRule="exact"/>
        <w:rPr>
          <w:sz w:val="20"/>
          <w:szCs w:val="20"/>
          <w:color w:val="auto"/>
        </w:rPr>
      </w:pPr>
    </w:p>
    <w:p>
      <w:pPr>
        <w:jc w:val="both"/>
        <w:ind w:left="6"/>
        <w:spacing w:after="0" w:line="233" w:lineRule="auto"/>
        <w:rPr>
          <w:sz w:val="20"/>
          <w:szCs w:val="20"/>
          <w:color w:val="auto"/>
        </w:rPr>
      </w:pPr>
      <w:r>
        <w:rPr>
          <w:rFonts w:ascii="Arial" w:cs="Arial" w:eastAsia="Arial" w:hAnsi="Arial"/>
          <w:sz w:val="17"/>
          <w:szCs w:val="17"/>
          <w:color w:val="auto"/>
        </w:rPr>
        <w:t>The Chair of the Annual Meeting has the sole authority to determine whether any nomination or other proposal has been properly brought before the meeting in accordance with our Bylaws. If we receive a proposal other than pursuant to Rule 14a-8 or a nomination for the 2024 annual meeting of stockholders, and such nomination or other proposal is not delivered within the time frame specified in our Bylaws, then the person(s) appointed by the Board and named in the proxies for the 2024 annual meeting of stockholders may exercise discretionary voting power if a vote is taken with respect to that nomination or other proposal.</w:t>
      </w:r>
    </w:p>
    <w:p>
      <w:pPr>
        <w:spacing w:after="0" w:line="100" w:lineRule="exact"/>
        <w:rPr>
          <w:sz w:val="20"/>
          <w:szCs w:val="20"/>
          <w:color w:val="auto"/>
        </w:rPr>
      </w:pPr>
    </w:p>
    <w:p>
      <w:pPr>
        <w:jc w:val="both"/>
        <w:ind w:left="6"/>
        <w:spacing w:after="0"/>
        <w:rPr>
          <w:sz w:val="20"/>
          <w:szCs w:val="20"/>
          <w:color w:val="auto"/>
        </w:rPr>
      </w:pPr>
      <w:r>
        <w:rPr>
          <w:rFonts w:ascii="Arial" w:cs="Arial" w:eastAsia="Arial" w:hAnsi="Arial"/>
          <w:sz w:val="17"/>
          <w:szCs w:val="17"/>
          <w:color w:val="auto"/>
        </w:rPr>
        <w:t>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no later than March 20, 2024.</w:t>
      </w:r>
    </w:p>
    <w:p>
      <w:pPr>
        <w:spacing w:after="0" w:line="351" w:lineRule="exact"/>
        <w:rPr>
          <w:sz w:val="20"/>
          <w:szCs w:val="20"/>
          <w:color w:val="auto"/>
        </w:rPr>
      </w:pPr>
    </w:p>
    <w:p>
      <w:pPr>
        <w:sectPr>
          <w:pgSz w:w="11900" w:h="16838" w:orient="portrait"/>
          <w:cols w:equalWidth="0" w:num="2">
            <w:col w:w="5400" w:space="334"/>
            <w:col w:w="5406"/>
          </w:cols>
          <w:pgMar w:left="320" w:top="486" w:right="439" w:bottom="1440" w:gutter="0" w:footer="0" w:header="0"/>
          <w:type w:val="continuous"/>
        </w:sectPr>
      </w:pPr>
    </w:p>
    <w:p>
      <w:pPr>
        <w:spacing w:after="0" w:line="135" w:lineRule="exact"/>
        <w:rPr>
          <w:sz w:val="20"/>
          <w:szCs w:val="20"/>
          <w:color w:val="auto"/>
        </w:rPr>
      </w:pPr>
    </w:p>
    <w:p>
      <w:pPr>
        <w:ind w:left="120" w:right="320"/>
        <w:spacing w:after="0" w:line="241" w:lineRule="auto"/>
        <w:rPr>
          <w:sz w:val="20"/>
          <w:szCs w:val="20"/>
          <w:color w:val="auto"/>
        </w:rPr>
      </w:pPr>
      <w:r>
        <w:rPr>
          <w:rFonts w:ascii="Arial" w:cs="Arial" w:eastAsia="Arial" w:hAnsi="Arial"/>
          <w:sz w:val="20"/>
          <w:szCs w:val="20"/>
          <w:b w:val="1"/>
          <w:bCs w:val="1"/>
          <w:color w:val="auto"/>
        </w:rPr>
        <w:t>Stockholder Proposals and Nominees Brought at the 2024 Annual Meeting Without Inclusion in our 2024 Proxy Statement</w:t>
      </w:r>
    </w:p>
    <w:p>
      <w:pPr>
        <w:spacing w:after="0" w:line="67" w:lineRule="exact"/>
        <w:rPr>
          <w:sz w:val="20"/>
          <w:szCs w:val="20"/>
          <w:color w:val="auto"/>
        </w:rPr>
      </w:pPr>
    </w:p>
    <w:p>
      <w:pPr>
        <w:jc w:val="both"/>
        <w:ind w:left="120"/>
        <w:spacing w:after="0"/>
        <w:rPr>
          <w:sz w:val="20"/>
          <w:szCs w:val="20"/>
          <w:color w:val="auto"/>
        </w:rPr>
      </w:pPr>
      <w:r>
        <w:rPr>
          <w:rFonts w:ascii="Arial" w:cs="Arial" w:eastAsia="Arial" w:hAnsi="Arial"/>
          <w:sz w:val="17"/>
          <w:szCs w:val="17"/>
          <w:i w:val="1"/>
          <w:iCs w:val="1"/>
          <w:color w:val="0171B9"/>
        </w:rPr>
        <w:t>Business Proposals and Nominations Pursuant to our Bylaws</w:t>
      </w:r>
      <w:r>
        <w:rPr>
          <w:rFonts w:ascii="Arial" w:cs="Arial" w:eastAsia="Arial" w:hAnsi="Arial"/>
          <w:sz w:val="17"/>
          <w:szCs w:val="17"/>
          <w:color w:val="000000"/>
        </w:rPr>
        <w:t>. To</w:t>
      </w:r>
      <w:r>
        <w:rPr>
          <w:rFonts w:ascii="Arial" w:cs="Arial" w:eastAsia="Arial" w:hAnsi="Arial"/>
          <w:sz w:val="17"/>
          <w:szCs w:val="17"/>
          <w:i w:val="1"/>
          <w:iCs w:val="1"/>
          <w:color w:val="0171B9"/>
        </w:rPr>
        <w:t xml:space="preserve"> </w:t>
      </w:r>
      <w:r>
        <w:rPr>
          <w:rFonts w:ascii="Arial" w:cs="Arial" w:eastAsia="Arial" w:hAnsi="Arial"/>
          <w:sz w:val="17"/>
          <w:szCs w:val="17"/>
          <w:color w:val="000000"/>
        </w:rPr>
        <w:t>nominate a director or bring any other business before the stockholders at the 2024 annual meeting of stockholders that will not be included in our 2024 proxy statement pursuant to Rule 14a-8 or the Proxy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328930</wp:posOffset>
            </wp:positionV>
            <wp:extent cx="77152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2024 Annual Meeting</w:t>
      </w:r>
    </w:p>
    <w:p>
      <w:pPr>
        <w:spacing w:after="0" w:line="11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intend to file a Proxy Statement and WHITE proxy card with the SEC in connection with its solicitation of proxies for our 2024 annual meeting of stockholders. Stockholders may obtain our Proxy Statement (and any amendments and supplements thereto) and other documents as and when filed by the Company with the SEC without charge from the SEC’s website at: www.sec.gov.</w:t>
      </w:r>
      <w:r>
        <w:rPr>
          <w:rFonts w:ascii="Arial" w:cs="Arial" w:eastAsia="Arial" w:hAnsi="Arial"/>
          <w:sz w:val="12"/>
          <w:szCs w:val="12"/>
          <w:color w:val="auto"/>
        </w:rPr>
        <w:t>(1)</w:t>
      </w:r>
    </w:p>
    <w:p>
      <w:pPr>
        <w:spacing w:after="0" w:line="577"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366" w:lineRule="exact"/>
        <w:rPr>
          <w:sz w:val="20"/>
          <w:szCs w:val="20"/>
          <w:color w:val="auto"/>
        </w:rPr>
      </w:pPr>
    </w:p>
    <w:p>
      <w:pPr>
        <w:ind w:left="340" w:right="20" w:hanging="224"/>
        <w:spacing w:after="0" w:line="243" w:lineRule="auto"/>
        <w:tabs>
          <w:tab w:leader="none" w:pos="340" w:val="left"/>
        </w:tabs>
        <w:numPr>
          <w:ilvl w:val="0"/>
          <w:numId w:val="154"/>
        </w:numPr>
        <w:rPr>
          <w:rFonts w:ascii="Arial" w:cs="Arial" w:eastAsia="Arial" w:hAnsi="Arial"/>
          <w:sz w:val="13"/>
          <w:szCs w:val="13"/>
          <w:color w:val="auto"/>
        </w:rPr>
      </w:pPr>
      <w:r>
        <w:rPr>
          <w:rFonts w:ascii="Arial" w:cs="Arial" w:eastAsia="Arial" w:hAnsi="Arial"/>
          <w:sz w:val="17"/>
          <w:szCs w:val="17"/>
          <w:color w:val="auto"/>
        </w:rPr>
        <w:t>Reference to the SEC website is not intended to function as a hyperlink and the information contained on the SEC website is not intended to be part of this proxy statement.</w:t>
      </w:r>
    </w:p>
    <w:p>
      <w:pPr>
        <w:spacing w:after="0" w:line="120"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20"/>
          <w:szCs w:val="20"/>
          <w:b w:val="1"/>
          <w:bCs w:val="1"/>
          <w:color w:val="474747"/>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-162560</wp:posOffset>
            </wp:positionV>
            <wp:extent cx="582930" cy="13716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205740</wp:posOffset>
            </wp:positionV>
            <wp:extent cx="1028700" cy="21463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028700" cy="214630"/>
                    </a:xfrm>
                    <a:prstGeom prst="rect">
                      <a:avLst/>
                    </a:prstGeom>
                    <a:noFill/>
                  </pic:spPr>
                </pic:pic>
              </a:graphicData>
            </a:graphic>
          </wp:anchor>
        </w:drawing>
      </w: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rPr>
        <w:t>Other Matters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25"/>
          <w:szCs w:val="25"/>
          <w:b w:val="1"/>
          <w:bCs w:val="1"/>
          <w:i w:val="1"/>
          <w:iCs w:val="1"/>
          <w:color w:val="0171B9"/>
        </w:rPr>
        <w:t>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58420</wp:posOffset>
            </wp:positionV>
            <wp:extent cx="699516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315"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The SEC has adopted rules that permit companies and intermediaries (such as brokers and banks) to satisfy the delivery requirements for proxy statements and annual reports with respect to two or more stockholders sharing the same address by delivering a single proxy statement addressed to those stockholders. This process, which is commonly referred to as “householding,” is also permissible under the General Corporation Law of the State of Delaware and potentially means extra convenience for stockholders and cost savings for companies.</w:t>
      </w:r>
    </w:p>
    <w:p>
      <w:pPr>
        <w:spacing w:after="0" w:line="94"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This year, a number of brokers and banks with account holders who are our stockholders will be householding our proxy materials. A single Notice of Annual Meeting of Stockholders or proxy statement will be delivered to multiple stockholders sharing an address unless contrary instructions have been received from the affected stockholders. Once</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both"/>
        <w:ind w:right="20"/>
        <w:spacing w:after="0" w:line="234" w:lineRule="auto"/>
        <w:rPr>
          <w:sz w:val="20"/>
          <w:szCs w:val="20"/>
          <w:color w:val="auto"/>
        </w:rPr>
      </w:pPr>
      <w:r>
        <w:rPr>
          <w:rFonts w:ascii="Arial" w:cs="Arial" w:eastAsia="Arial" w:hAnsi="Arial"/>
          <w:sz w:val="17"/>
          <w:szCs w:val="17"/>
          <w:color w:val="auto"/>
        </w:rPr>
        <w:t>you have received notice from your broker or bank that it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broker or bank. If you currently receive multiple copies of the proxy statement at your address from your broker or bank and would like to request householding of their communications, please contact your broker or bank.</w:t>
      </w:r>
    </w:p>
    <w:p>
      <w:pPr>
        <w:spacing w:after="0" w:line="94"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Stockholders of record who currently receive multiple copies of the proxy statement at their address and would like to request householding should contact Investor Relations, One Amgen Center Drive, Thousand Oaks, CA 91320-1799, or by telephone at (805) 447-1060 or email at investor.relations@amgen.com.</w:t>
      </w:r>
    </w:p>
    <w:p>
      <w:pPr>
        <w:spacing w:after="0" w:line="391"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No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p>
      <w:pPr>
        <w:spacing w:after="0" w:line="304"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To the extent that this proxy statement is incorporated by reference into any other filing by us under the Securities Act of 1933 or the Exchange Act, the sections of this proxy statement entitled “Compensation Committee Report,” “Pay Versus Performance,” or “Audit Committee Report,” to the extent permitted by the rules of the SEC, will not be deemed incorporated, unless specifically provided otherwise in such filing.</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addition, references to our website are not intended to function as a hyperlink and the information contained on our website is not intended to be part of this proxy statement. Information on our website, other than our proxy statement, Notice of Annual Meeting of Stockholders, and form of proxy, is not part of the proxy soliciting material and is not incorporated herein by reference.</w:t>
      </w:r>
    </w:p>
    <w:p>
      <w:pPr>
        <w:spacing w:after="0" w:line="385"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Disclaimer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p>
      <w:pPr>
        <w:spacing w:after="0" w:line="317"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This proxy statement contains statements regarding future individual and Company performance targets and Company performance goals. These targets and Company performance goals are disclosed in the limited context of our compensation programs and should not be</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understood to be statements of management’s expectations or estimates of results or other guidance. We specifically caution investors not to apply these statements to other contexts.</w:t>
      </w:r>
    </w:p>
    <w:p>
      <w:pPr>
        <w:spacing w:after="0" w:line="387"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26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p>
      <w:pPr>
        <w:spacing w:after="0" w:line="317" w:lineRule="exact"/>
        <w:rPr>
          <w:sz w:val="20"/>
          <w:szCs w:val="20"/>
          <w:color w:val="auto"/>
        </w:rPr>
      </w:pPr>
    </w:p>
    <w:p>
      <w:pPr>
        <w:jc w:val="both"/>
        <w:ind w:left="120"/>
        <w:spacing w:after="0" w:line="233" w:lineRule="auto"/>
        <w:rPr>
          <w:sz w:val="20"/>
          <w:szCs w:val="20"/>
          <w:color w:val="auto"/>
        </w:rPr>
      </w:pPr>
      <w:r>
        <w:rPr>
          <w:rFonts w:ascii="Arial" w:cs="Arial" w:eastAsia="Arial" w:hAnsi="Arial"/>
          <w:sz w:val="17"/>
          <w:szCs w:val="17"/>
          <w:color w:val="auto"/>
        </w:rPr>
        <w:t>This proxy statement contains forward-looking statements that are based on the current expectations and beliefs of Amgen. All statements, other than statements of historical fact, are statements that could be deemed forward-looking statements, including any statements on the outcome, benefits and synergies of collaborations, or potential collaborations, with any other company (including BeiGene, Ltd., Kyowa-Kirin Co., Ltd., or any collaboration to manufacture therapeutic antibodies against COVID-19), the performance of Otezla</w:t>
      </w:r>
      <w:r>
        <w:rPr>
          <w:rFonts w:ascii="Arial" w:cs="Arial" w:eastAsia="Arial" w:hAnsi="Arial"/>
          <w:sz w:val="12"/>
          <w:szCs w:val="12"/>
          <w:color w:val="auto"/>
        </w:rPr>
        <w:t>®</w:t>
      </w:r>
      <w:r>
        <w:rPr>
          <w:rFonts w:ascii="Arial" w:cs="Arial" w:eastAsia="Arial" w:hAnsi="Arial"/>
          <w:sz w:val="17"/>
          <w:szCs w:val="17"/>
          <w:color w:val="auto"/>
        </w:rPr>
        <w:t xml:space="preserve"> (apremilast) (including anticipated Otezla sales growth and the timing of non-GAAP EPS accretion), the Five Prime Therapeutics, Inc. acquisition, the Teneobio, Inc. acquisition, the ChemoCentryx, Inc. acquisition, or the proposed acquisition of Horizon Therapeutics plc, as well as estimates of revenues, operating margins, capital expenditures, cash, other financial metrics, expected legal, arbitration, political, regulatory or clinical results or practices, customer and prescriber patterns or practices, reimbursement activities and outcomes, effects of pandemics or other widespread health problems such as the ongoing COVID-19 pandemic on our business, and other such estimates and results. Forward-looking statements involve significant risks and</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uncertainties, including those discussed below and more fully described in the Securities and Exchange Commission reports filed by Amgen, including our most recent annual report on Form 10-K and any subsequent periodic reports on Form 10-Q and current reports on Form 8-K. Unless otherwise noted, Amgen is providing this information as of the date of this proxy statement and does not undertake any obligation to update any forward-looking statements contained in this document as a result of new information, future events or otherwise.</w:t>
      </w:r>
    </w:p>
    <w:p>
      <w:pPr>
        <w:spacing w:after="0" w:line="9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No forward-looking statement can be guaranteed and actual results may differ materially from those we project. Our results may be affected by our ability to successfully market both new and existing products domestically and internationally, clinical and regulatory developments involving current and future products, sales growth of recently launched products, competition from other products including biosimilars, difficulties or delays in manufacturing our products and global economic conditions. In addition, sales of our products are affected by pricing pressure, political and public scrutiny and reimbursement policies imposed by third-party payers, including</w:t>
      </w:r>
    </w:p>
    <w:p>
      <w:pPr>
        <w:spacing w:after="0" w:line="477"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71" w:lineRule="exact"/>
        <w:rPr>
          <w:sz w:val="20"/>
          <w:szCs w:val="20"/>
          <w:color w:val="auto"/>
        </w:rPr>
      </w:pPr>
    </w:p>
    <w:p>
      <w:pPr>
        <w:ind w:left="120"/>
        <w:spacing w:after="0"/>
        <w:tabs>
          <w:tab w:leader="none" w:pos="703" w:val="left"/>
        </w:tabs>
        <w:rPr>
          <w:sz w:val="20"/>
          <w:szCs w:val="20"/>
          <w:color w:val="auto"/>
        </w:rPr>
      </w:pPr>
      <w:r>
        <w:rPr>
          <w:rFonts w:ascii="Arial" w:cs="Arial" w:eastAsia="Arial" w:hAnsi="Arial"/>
          <w:sz w:val="20"/>
          <w:szCs w:val="20"/>
          <w:b w:val="1"/>
          <w:bCs w:val="1"/>
          <w:color w:val="474747"/>
        </w:rPr>
        <w:t>108</w:t>
      </w:r>
      <w:r>
        <w:rPr>
          <w:sz w:val="20"/>
          <w:szCs w:val="20"/>
          <w:color w:val="auto"/>
        </w:rPr>
        <w:tab/>
      </w:r>
      <w:r>
        <w:rPr>
          <w:sz w:val="1"/>
          <w:szCs w:val="1"/>
          <w:color w:val="auto"/>
        </w:rPr>
        <w:drawing>
          <wp:inline distT="0" distB="0" distL="0" distR="0">
            <wp:extent cx="582930" cy="137160"/>
            <wp:effectExtent l="0" t="0" r="0" b="0"/>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205740</wp:posOffset>
            </wp:positionV>
            <wp:extent cx="1028700" cy="21463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028700" cy="214630"/>
                    </a:xfrm>
                    <a:prstGeom prst="rect">
                      <a:avLst/>
                    </a:prstGeom>
                    <a:noFill/>
                  </pic:spPr>
                </pic:pic>
              </a:graphicData>
            </a:graphic>
          </wp:anchor>
        </w:drawing>
      </w:r>
    </w:p>
    <w:p>
      <w:pPr>
        <w:spacing w:after="0" w:line="31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rPr>
        <w:t>Other Matters</w:t>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both"/>
        <w:ind w:left="120"/>
        <w:spacing w:after="0" w:line="232" w:lineRule="auto"/>
        <w:rPr>
          <w:sz w:val="20"/>
          <w:szCs w:val="20"/>
          <w:color w:val="auto"/>
        </w:rPr>
      </w:pPr>
      <w:r>
        <w:rPr>
          <w:rFonts w:ascii="Arial" w:cs="Arial" w:eastAsia="Arial" w:hAnsi="Arial"/>
          <w:sz w:val="17"/>
          <w:szCs w:val="17"/>
          <w:color w:val="auto"/>
        </w:rPr>
        <w:t>governments, private insurance plans and managed care providers and may be affected by regulatory, clinical and guideline developments and domestic and international trends toward managed care and healthcare cost containment. Furthermore, our research, testing, pricing, marketing and other operations are subject to extensive regulation by domestic and foreign government regulatory authorities. We or others could identify safety, side effects or manufacturing problems with our products, including our devices, after they are on the market. Our business may be impacted by government investigations, litigation and product liability claims. In addition, our business may be impacted by the adoption of new tax legislation or exposure to additional tax liabilities. If we fail to meet the compliance obligations in the corporate integrity agreement between us and the U.S. government, we could become subject to significant sanctions. Further, while we routinely obtain patents for our products and technology, the protection offered by our patents and patent applications may be challenged, invalidated or circumvented by our competitors, or we may fail to prevail in present and future intellectual property litigation. We perform a substantial amount of our commercial manufacturing activities at a few key facilities, including in Puerto Rico, and also depend on third parties for a portion of our manufacturing activities, and limits on supply may constrain sales of certain of our current products and product candidate development. An outbreak of disease or similar public health threat, such as COVID-19, and the public and governmental effort to mitigate against the spread of such disease, could have a significant adverse effect on the supply of materials for our manufacturing activities, the distribution of our products, the commercialization of our product candidates, and our clinical trial operations, and any such events may have a material adverse effect on our product development, product sales, business and results of operations. We rely on collaborations with third parties for the development of some of our product candidates and for the commercialization and sales of some of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commercial products. In addition, we compete with other companies with respect to many of our marketed products as well as for the discovery and development of new products. Discovery or identification of new product candidates or development of new indications for existing products cannot be guaranteed and movement from concept to product is uncertain; consequently, there can be no guarantee that any particular product candidate or development of a new indication for an existing product will be successful and become a commercial product. Further, some raw materials, medical devices and component parts for our products are supplied by sole third-party suppliers. Certain of our distributors, customers and payers have substantial purchasing leverage in their dealings with us. The discovery of significant problems with a product similar to one of our products that implicate an entire class of products could have a material adverse effect on sales of the affected products and on our business and results of operations. Our efforts to collaborate with or acquire other companies, products or technology, and to integrate the operations of companies or to support the products or technology we have acquired, may not be successful. A breakdown, cyberattack or information security breach could compromise the confidentiality, integrity and availability of our systems and our data. Our stock price is volatile and may be affected by a number of events. Our business and operations may be negatively affected by the failure, or perceived failure, of achieving our environmental, social and governance objectives. The effects of global climate change and related natural disasters could negatively affect our business and operations. Global economic conditions may magnify certain risks that affect our business. Our business performance could affect or limit the ability of our Board of Directors to declare a dividend or our ability to pay a dividend or repurchase our common stock. We may not be able to access the capital and credit markets on terms that are favorable to us, or at all.</w:t>
      </w:r>
    </w:p>
    <w:p>
      <w:pPr>
        <w:spacing w:after="0" w:line="577" w:lineRule="exact"/>
        <w:rPr>
          <w:sz w:val="20"/>
          <w:szCs w:val="20"/>
          <w:color w:val="auto"/>
        </w:rPr>
      </w:pPr>
    </w:p>
    <w:p>
      <w:pPr>
        <w:sectPr>
          <w:pgSz w:w="11900" w:h="16838" w:orient="portrait"/>
          <w:cols w:equalWidth="0" w:num="2">
            <w:col w:w="5400" w:space="340"/>
            <w:col w:w="5400"/>
          </w:cols>
          <w:pgMar w:left="320" w:top="486" w:right="439" w:bottom="1440" w:gutter="0" w:footer="0" w:header="0"/>
          <w:type w:val="continuous"/>
        </w:sect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171B9"/>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The Board knows of no matters other than those listed in the attached Notice of Annual Meeting of Stockholders that are likely to be brought before the Annual Meeting. However, if any other matter properly comes before the Annual Meeting, the persons named on the enclosed proxy card will vote the proxy in accordance with their best judgment on such matter.</w:t>
      </w:r>
    </w:p>
    <w:p>
      <w:pPr>
        <w:spacing w:after="0" w:line="201"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154305</wp:posOffset>
            </wp:positionV>
            <wp:extent cx="1345565" cy="62547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34556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160"/>
        <w:spacing w:after="0"/>
        <w:rPr>
          <w:sz w:val="20"/>
          <w:szCs w:val="20"/>
          <w:color w:val="auto"/>
        </w:rPr>
      </w:pPr>
      <w:r>
        <w:rPr>
          <w:rFonts w:ascii="Arial" w:cs="Arial" w:eastAsia="Arial" w:hAnsi="Arial"/>
          <w:sz w:val="17"/>
          <w:szCs w:val="17"/>
          <w:b w:val="1"/>
          <w:bCs w:val="1"/>
          <w:color w:val="auto"/>
        </w:rPr>
        <w:t>Jonathan P. Graham</w:t>
      </w:r>
    </w:p>
    <w:p>
      <w:pPr>
        <w:spacing w:after="0" w:line="14" w:lineRule="exact"/>
        <w:rPr>
          <w:sz w:val="20"/>
          <w:szCs w:val="20"/>
          <w:color w:val="auto"/>
        </w:rPr>
      </w:pPr>
    </w:p>
    <w:p>
      <w:pPr>
        <w:ind w:left="7160"/>
        <w:spacing w:after="0"/>
        <w:rPr>
          <w:sz w:val="20"/>
          <w:szCs w:val="20"/>
          <w:color w:val="auto"/>
        </w:rPr>
      </w:pPr>
      <w:r>
        <w:rPr>
          <w:rFonts w:ascii="Arial" w:cs="Arial" w:eastAsia="Arial" w:hAnsi="Arial"/>
          <w:sz w:val="17"/>
          <w:szCs w:val="17"/>
          <w:i w:val="1"/>
          <w:iCs w:val="1"/>
          <w:color w:val="auto"/>
        </w:rPr>
        <w:t>Secretary</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April 6, 2023</w:t>
      </w:r>
    </w:p>
    <w:p>
      <w:pPr>
        <w:spacing w:after="0" w:line="131"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20"/>
          <w:szCs w:val="20"/>
          <w:b w:val="1"/>
          <w:bCs w:val="1"/>
          <w:color w:val="474747"/>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-162560</wp:posOffset>
            </wp:positionV>
            <wp:extent cx="582930" cy="13716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ind w:left="9880"/>
        <w:spacing w:after="0"/>
        <w:rPr>
          <w:sz w:val="20"/>
          <w:szCs w:val="20"/>
          <w:color w:val="auto"/>
        </w:rPr>
      </w:pPr>
      <w:r>
        <w:rPr>
          <w:rFonts w:ascii="Arial" w:cs="Arial" w:eastAsia="Arial" w:hAnsi="Arial"/>
          <w:sz w:val="22"/>
          <w:szCs w:val="22"/>
          <w:b w:val="1"/>
          <w:bCs w:val="1"/>
          <w:color w:val="FFFFFF"/>
          <w:shd w:val="clear" w:color="auto" w:fill="0171B9"/>
        </w:rPr>
        <w:t>Appendix A</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Appendix A</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34"/>
          <w:szCs w:val="34"/>
          <w:b w:val="1"/>
          <w:bCs w:val="1"/>
          <w:color w:val="0171B9"/>
        </w:rPr>
        <w:t>Amgen Inc. Board of Directors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34"/>
          <w:szCs w:val="34"/>
          <w:b w:val="1"/>
          <w:bCs w:val="1"/>
          <w:color w:val="0171B9"/>
        </w:rPr>
        <w:t>Guidelines for Director Qualifications and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699516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7"/>
          <w:szCs w:val="17"/>
          <w:color w:val="auto"/>
        </w:rPr>
        <w:t>These guidelines set forth (1) the minimum qualifications that the Governance and Nominating Committee of the Board of Directors (the “Committee”) of Amgen Inc. (“Amgen”) believes are important for directors to possess, and (2) a description of the Committee’s process for identifying and evaluating nominees for director, including nominees recommended by stockholders. These guidelines are only guidelines and may be waived and/or changed by the Committee and/or the Board of Directors as appropriate.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 Candidate Qualifications</w:t>
      </w:r>
    </w:p>
    <w:p>
      <w:pPr>
        <w:spacing w:after="0" w:line="124" w:lineRule="exact"/>
        <w:rPr>
          <w:sz w:val="20"/>
          <w:szCs w:val="20"/>
          <w:color w:val="auto"/>
        </w:rPr>
      </w:pPr>
    </w:p>
    <w:p>
      <w:pPr>
        <w:jc w:val="both"/>
        <w:ind w:left="120" w:right="20"/>
        <w:spacing w:after="0" w:line="243" w:lineRule="auto"/>
        <w:rPr>
          <w:sz w:val="20"/>
          <w:szCs w:val="20"/>
          <w:color w:val="auto"/>
        </w:rPr>
      </w:pPr>
      <w:r>
        <w:rPr>
          <w:rFonts w:ascii="Arial" w:cs="Arial" w:eastAsia="Arial" w:hAnsi="Arial"/>
          <w:sz w:val="17"/>
          <w:szCs w:val="17"/>
          <w:color w:val="auto"/>
        </w:rPr>
        <w:t>In seeking individuals to join the Board of Directors or to fill director vacancies on the Board of Directors, the Committee considers the following to be minimum qualifications that a candidate must possess:</w:t>
      </w:r>
    </w:p>
    <w:p>
      <w:pPr>
        <w:spacing w:after="0" w:line="104" w:lineRule="exact"/>
        <w:rPr>
          <w:sz w:val="20"/>
          <w:szCs w:val="20"/>
          <w:color w:val="auto"/>
        </w:rPr>
      </w:pPr>
    </w:p>
    <w:p>
      <w:pPr>
        <w:ind w:left="440" w:right="20" w:hanging="324"/>
        <w:spacing w:after="0" w:line="243" w:lineRule="auto"/>
        <w:tabs>
          <w:tab w:leader="none" w:pos="440" w:val="left"/>
        </w:tabs>
        <w:numPr>
          <w:ilvl w:val="0"/>
          <w:numId w:val="155"/>
        </w:numPr>
        <w:rPr>
          <w:rFonts w:ascii="Arial" w:cs="Arial" w:eastAsia="Arial" w:hAnsi="Arial"/>
          <w:sz w:val="17"/>
          <w:szCs w:val="17"/>
          <w:color w:val="0171B9"/>
        </w:rPr>
      </w:pPr>
      <w:r>
        <w:rPr>
          <w:rFonts w:ascii="Arial" w:cs="Arial" w:eastAsia="Arial" w:hAnsi="Arial"/>
          <w:sz w:val="17"/>
          <w:szCs w:val="17"/>
          <w:color w:val="auto"/>
        </w:rPr>
        <w:t>Demonstrated breadth and depth of management and leadership experience, preferably in a senior leadership role in a large or recognized organization;</w:t>
      </w:r>
    </w:p>
    <w:p>
      <w:pPr>
        <w:spacing w:after="0" w:line="103" w:lineRule="exact"/>
        <w:rPr>
          <w:rFonts w:ascii="Arial" w:cs="Arial" w:eastAsia="Arial" w:hAnsi="Arial"/>
          <w:sz w:val="17"/>
          <w:szCs w:val="17"/>
          <w:color w:val="0171B9"/>
        </w:rPr>
      </w:pPr>
    </w:p>
    <w:p>
      <w:pPr>
        <w:ind w:left="440" w:hanging="324"/>
        <w:spacing w:after="0"/>
        <w:tabs>
          <w:tab w:leader="none" w:pos="440" w:val="left"/>
        </w:tabs>
        <w:numPr>
          <w:ilvl w:val="0"/>
          <w:numId w:val="155"/>
        </w:numPr>
        <w:rPr>
          <w:rFonts w:ascii="Arial" w:cs="Arial" w:eastAsia="Arial" w:hAnsi="Arial"/>
          <w:sz w:val="17"/>
          <w:szCs w:val="17"/>
          <w:color w:val="0171B9"/>
        </w:rPr>
      </w:pPr>
      <w:r>
        <w:rPr>
          <w:rFonts w:ascii="Arial" w:cs="Arial" w:eastAsia="Arial" w:hAnsi="Arial"/>
          <w:sz w:val="17"/>
          <w:szCs w:val="17"/>
          <w:color w:val="auto"/>
        </w:rPr>
        <w:t>Financial and/or business acumen or relevant industry or scientific experience;</w:t>
      </w:r>
    </w:p>
    <w:p>
      <w:pPr>
        <w:spacing w:after="0" w:line="115" w:lineRule="exact"/>
        <w:rPr>
          <w:rFonts w:ascii="Arial" w:cs="Arial" w:eastAsia="Arial" w:hAnsi="Arial"/>
          <w:sz w:val="17"/>
          <w:szCs w:val="17"/>
          <w:color w:val="0171B9"/>
        </w:rPr>
      </w:pPr>
    </w:p>
    <w:p>
      <w:pPr>
        <w:ind w:left="440" w:hanging="324"/>
        <w:spacing w:after="0"/>
        <w:tabs>
          <w:tab w:leader="none" w:pos="440" w:val="left"/>
        </w:tabs>
        <w:numPr>
          <w:ilvl w:val="0"/>
          <w:numId w:val="155"/>
        </w:numPr>
        <w:rPr>
          <w:rFonts w:ascii="Arial" w:cs="Arial" w:eastAsia="Arial" w:hAnsi="Arial"/>
          <w:sz w:val="17"/>
          <w:szCs w:val="17"/>
          <w:color w:val="0171B9"/>
        </w:rPr>
      </w:pPr>
      <w:r>
        <w:rPr>
          <w:rFonts w:ascii="Arial" w:cs="Arial" w:eastAsia="Arial" w:hAnsi="Arial"/>
          <w:sz w:val="17"/>
          <w:szCs w:val="17"/>
          <w:color w:val="auto"/>
        </w:rPr>
        <w:t>Integrity and high ethical standards;</w:t>
      </w:r>
    </w:p>
    <w:p>
      <w:pPr>
        <w:spacing w:after="0" w:line="115" w:lineRule="exact"/>
        <w:rPr>
          <w:rFonts w:ascii="Arial" w:cs="Arial" w:eastAsia="Arial" w:hAnsi="Arial"/>
          <w:sz w:val="17"/>
          <w:szCs w:val="17"/>
          <w:color w:val="0171B9"/>
        </w:rPr>
      </w:pPr>
    </w:p>
    <w:p>
      <w:pPr>
        <w:ind w:left="440" w:hanging="324"/>
        <w:spacing w:after="0"/>
        <w:tabs>
          <w:tab w:leader="none" w:pos="440" w:val="left"/>
        </w:tabs>
        <w:numPr>
          <w:ilvl w:val="0"/>
          <w:numId w:val="155"/>
        </w:numPr>
        <w:rPr>
          <w:rFonts w:ascii="Arial" w:cs="Arial" w:eastAsia="Arial" w:hAnsi="Arial"/>
          <w:sz w:val="17"/>
          <w:szCs w:val="17"/>
          <w:color w:val="0171B9"/>
        </w:rPr>
      </w:pPr>
      <w:r>
        <w:rPr>
          <w:rFonts w:ascii="Arial" w:cs="Arial" w:eastAsia="Arial" w:hAnsi="Arial"/>
          <w:sz w:val="17"/>
          <w:szCs w:val="17"/>
          <w:color w:val="auto"/>
        </w:rPr>
        <w:t>Sufficient time to devote to Amgen’s business as a member of the Board;</w:t>
      </w:r>
    </w:p>
    <w:p>
      <w:pPr>
        <w:spacing w:after="0" w:line="115" w:lineRule="exact"/>
        <w:rPr>
          <w:rFonts w:ascii="Arial" w:cs="Arial" w:eastAsia="Arial" w:hAnsi="Arial"/>
          <w:sz w:val="17"/>
          <w:szCs w:val="17"/>
          <w:color w:val="0171B9"/>
        </w:rPr>
      </w:pPr>
    </w:p>
    <w:p>
      <w:pPr>
        <w:ind w:left="440" w:hanging="324"/>
        <w:spacing w:after="0"/>
        <w:tabs>
          <w:tab w:leader="none" w:pos="440" w:val="left"/>
        </w:tabs>
        <w:numPr>
          <w:ilvl w:val="0"/>
          <w:numId w:val="155"/>
        </w:numPr>
        <w:rPr>
          <w:rFonts w:ascii="Arial" w:cs="Arial" w:eastAsia="Arial" w:hAnsi="Arial"/>
          <w:sz w:val="17"/>
          <w:szCs w:val="17"/>
          <w:color w:val="0171B9"/>
        </w:rPr>
      </w:pPr>
      <w:r>
        <w:rPr>
          <w:rFonts w:ascii="Arial" w:cs="Arial" w:eastAsia="Arial" w:hAnsi="Arial"/>
          <w:sz w:val="17"/>
          <w:szCs w:val="17"/>
          <w:color w:val="auto"/>
        </w:rPr>
        <w:t>Ability to oversee, as a director, Amgen’s business and affairs for the benefit of Amgen’s stockholders;</w:t>
      </w:r>
    </w:p>
    <w:p>
      <w:pPr>
        <w:spacing w:after="0" w:line="115" w:lineRule="exact"/>
        <w:rPr>
          <w:rFonts w:ascii="Arial" w:cs="Arial" w:eastAsia="Arial" w:hAnsi="Arial"/>
          <w:sz w:val="17"/>
          <w:szCs w:val="17"/>
          <w:color w:val="0171B9"/>
        </w:rPr>
      </w:pPr>
    </w:p>
    <w:p>
      <w:pPr>
        <w:ind w:left="440" w:hanging="324"/>
        <w:spacing w:after="0"/>
        <w:tabs>
          <w:tab w:leader="none" w:pos="440" w:val="left"/>
        </w:tabs>
        <w:numPr>
          <w:ilvl w:val="0"/>
          <w:numId w:val="155"/>
        </w:numPr>
        <w:rPr>
          <w:rFonts w:ascii="Arial" w:cs="Arial" w:eastAsia="Arial" w:hAnsi="Arial"/>
          <w:sz w:val="17"/>
          <w:szCs w:val="17"/>
          <w:color w:val="0171B9"/>
        </w:rPr>
      </w:pPr>
      <w:r>
        <w:rPr>
          <w:rFonts w:ascii="Arial" w:cs="Arial" w:eastAsia="Arial" w:hAnsi="Arial"/>
          <w:sz w:val="17"/>
          <w:szCs w:val="17"/>
          <w:color w:val="auto"/>
        </w:rPr>
        <w:t>Ability to comply with the Board’s Code of Conduct; and</w:t>
      </w:r>
    </w:p>
    <w:p>
      <w:pPr>
        <w:spacing w:after="0" w:line="115" w:lineRule="exact"/>
        <w:rPr>
          <w:rFonts w:ascii="Arial" w:cs="Arial" w:eastAsia="Arial" w:hAnsi="Arial"/>
          <w:sz w:val="17"/>
          <w:szCs w:val="17"/>
          <w:color w:val="0171B9"/>
        </w:rPr>
      </w:pPr>
    </w:p>
    <w:p>
      <w:pPr>
        <w:ind w:left="440" w:hanging="324"/>
        <w:spacing w:after="0"/>
        <w:tabs>
          <w:tab w:leader="none" w:pos="440" w:val="left"/>
        </w:tabs>
        <w:numPr>
          <w:ilvl w:val="0"/>
          <w:numId w:val="155"/>
        </w:numPr>
        <w:rPr>
          <w:rFonts w:ascii="Arial" w:cs="Arial" w:eastAsia="Arial" w:hAnsi="Arial"/>
          <w:sz w:val="17"/>
          <w:szCs w:val="17"/>
          <w:color w:val="0171B9"/>
        </w:rPr>
      </w:pPr>
      <w:r>
        <w:rPr>
          <w:rFonts w:ascii="Arial" w:cs="Arial" w:eastAsia="Arial" w:hAnsi="Arial"/>
          <w:sz w:val="17"/>
          <w:szCs w:val="17"/>
          <w:color w:val="auto"/>
        </w:rPr>
        <w:t>Demonstrated ability to think independently and work collaboratively.</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the Committee may consider the following where necessary and appropriate:</w:t>
      </w:r>
    </w:p>
    <w:p>
      <w:pPr>
        <w:spacing w:after="0" w:line="115" w:lineRule="exact"/>
        <w:rPr>
          <w:sz w:val="20"/>
          <w:szCs w:val="20"/>
          <w:color w:val="auto"/>
        </w:rPr>
      </w:pPr>
    </w:p>
    <w:p>
      <w:pPr>
        <w:ind w:left="440" w:hanging="324"/>
        <w:spacing w:after="0"/>
        <w:tabs>
          <w:tab w:leader="none" w:pos="440" w:val="left"/>
        </w:tabs>
        <w:numPr>
          <w:ilvl w:val="0"/>
          <w:numId w:val="156"/>
        </w:numPr>
        <w:rPr>
          <w:rFonts w:ascii="Arial" w:cs="Arial" w:eastAsia="Arial" w:hAnsi="Arial"/>
          <w:sz w:val="17"/>
          <w:szCs w:val="17"/>
          <w:color w:val="0171B9"/>
        </w:rPr>
      </w:pPr>
      <w:r>
        <w:rPr>
          <w:rFonts w:ascii="Arial" w:cs="Arial" w:eastAsia="Arial" w:hAnsi="Arial"/>
          <w:sz w:val="17"/>
          <w:szCs w:val="17"/>
          <w:color w:val="auto"/>
        </w:rPr>
        <w:t>A candidate’s independence, as defined by The NASDAQ Stock Market, Inc.;</w:t>
      </w:r>
    </w:p>
    <w:p>
      <w:pPr>
        <w:spacing w:after="0" w:line="115" w:lineRule="exact"/>
        <w:rPr>
          <w:rFonts w:ascii="Arial" w:cs="Arial" w:eastAsia="Arial" w:hAnsi="Arial"/>
          <w:sz w:val="17"/>
          <w:szCs w:val="17"/>
          <w:color w:val="0171B9"/>
        </w:rPr>
      </w:pPr>
    </w:p>
    <w:p>
      <w:pPr>
        <w:ind w:left="440" w:right="20" w:hanging="324"/>
        <w:spacing w:after="0" w:line="243" w:lineRule="auto"/>
        <w:tabs>
          <w:tab w:leader="none" w:pos="440" w:val="left"/>
        </w:tabs>
        <w:numPr>
          <w:ilvl w:val="0"/>
          <w:numId w:val="156"/>
        </w:numPr>
        <w:rPr>
          <w:rFonts w:ascii="Arial" w:cs="Arial" w:eastAsia="Arial" w:hAnsi="Arial"/>
          <w:sz w:val="17"/>
          <w:szCs w:val="17"/>
          <w:color w:val="0171B9"/>
        </w:rPr>
      </w:pPr>
      <w:r>
        <w:rPr>
          <w:rFonts w:ascii="Arial" w:cs="Arial" w:eastAsia="Arial" w:hAnsi="Arial"/>
          <w:sz w:val="17"/>
          <w:szCs w:val="17"/>
          <w:color w:val="auto"/>
        </w:rPr>
        <w:t>A candidate’s ability to satisfy the composition requirements for the Audit Committee and the Compensation and Management Development Committee;</w:t>
      </w:r>
    </w:p>
    <w:p>
      <w:pPr>
        <w:spacing w:after="0" w:line="103" w:lineRule="exact"/>
        <w:rPr>
          <w:rFonts w:ascii="Arial" w:cs="Arial" w:eastAsia="Arial" w:hAnsi="Arial"/>
          <w:sz w:val="17"/>
          <w:szCs w:val="17"/>
          <w:color w:val="0171B9"/>
        </w:rPr>
      </w:pPr>
    </w:p>
    <w:p>
      <w:pPr>
        <w:ind w:left="440" w:hanging="324"/>
        <w:spacing w:after="0"/>
        <w:tabs>
          <w:tab w:leader="none" w:pos="440" w:val="left"/>
        </w:tabs>
        <w:numPr>
          <w:ilvl w:val="0"/>
          <w:numId w:val="156"/>
        </w:numPr>
        <w:rPr>
          <w:rFonts w:ascii="Arial" w:cs="Arial" w:eastAsia="Arial" w:hAnsi="Arial"/>
          <w:sz w:val="17"/>
          <w:szCs w:val="17"/>
          <w:color w:val="0171B9"/>
        </w:rPr>
      </w:pPr>
      <w:r>
        <w:rPr>
          <w:rFonts w:ascii="Arial" w:cs="Arial" w:eastAsia="Arial" w:hAnsi="Arial"/>
          <w:sz w:val="17"/>
          <w:szCs w:val="17"/>
          <w:color w:val="auto"/>
        </w:rPr>
        <w:t>Maintaining a Board that reflects diversity; and</w:t>
      </w:r>
    </w:p>
    <w:p>
      <w:pPr>
        <w:spacing w:after="0" w:line="115" w:lineRule="exact"/>
        <w:rPr>
          <w:rFonts w:ascii="Arial" w:cs="Arial" w:eastAsia="Arial" w:hAnsi="Arial"/>
          <w:sz w:val="17"/>
          <w:szCs w:val="17"/>
          <w:color w:val="0171B9"/>
        </w:rPr>
      </w:pPr>
    </w:p>
    <w:p>
      <w:pPr>
        <w:ind w:left="440" w:hanging="324"/>
        <w:spacing w:after="0"/>
        <w:tabs>
          <w:tab w:leader="none" w:pos="440" w:val="left"/>
        </w:tabs>
        <w:numPr>
          <w:ilvl w:val="0"/>
          <w:numId w:val="156"/>
        </w:numPr>
        <w:rPr>
          <w:rFonts w:ascii="Arial" w:cs="Arial" w:eastAsia="Arial" w:hAnsi="Arial"/>
          <w:sz w:val="17"/>
          <w:szCs w:val="17"/>
          <w:color w:val="0171B9"/>
        </w:rPr>
      </w:pPr>
      <w:r>
        <w:rPr>
          <w:rFonts w:ascii="Arial" w:cs="Arial" w:eastAsia="Arial" w:hAnsi="Arial"/>
          <w:sz w:val="17"/>
          <w:szCs w:val="17"/>
          <w:color w:val="auto"/>
        </w:rPr>
        <w:t>The Board’s overall size, structure and composition.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 Candidate Identification and Evaluation Process</w:t>
      </w:r>
    </w:p>
    <w:p>
      <w:pPr>
        <w:spacing w:after="0" w:line="124" w:lineRule="exact"/>
        <w:rPr>
          <w:sz w:val="20"/>
          <w:szCs w:val="20"/>
          <w:color w:val="auto"/>
        </w:rPr>
      </w:pPr>
    </w:p>
    <w:p>
      <w:pPr>
        <w:jc w:val="both"/>
        <w:ind w:left="120" w:right="20" w:hanging="4"/>
        <w:spacing w:after="0"/>
        <w:tabs>
          <w:tab w:leader="none" w:pos="377" w:val="left"/>
        </w:tabs>
        <w:numPr>
          <w:ilvl w:val="0"/>
          <w:numId w:val="157"/>
        </w:numPr>
        <w:rPr>
          <w:rFonts w:ascii="Arial" w:cs="Arial" w:eastAsia="Arial" w:hAnsi="Arial"/>
          <w:sz w:val="17"/>
          <w:szCs w:val="17"/>
          <w:color w:val="auto"/>
        </w:rPr>
      </w:pPr>
      <w:r>
        <w:rPr>
          <w:rFonts w:ascii="Arial" w:cs="Arial" w:eastAsia="Arial" w:hAnsi="Arial"/>
          <w:sz w:val="17"/>
          <w:szCs w:val="17"/>
          <w:color w:val="auto"/>
        </w:rPr>
        <w:t>For purposes of identifying nominees for the Board of Directors, the Committee relies on professional and personal contacts of the Committee, other members of the Board of Directors and senior management, as well as candidates recommended by independent search firms retained by the Committee from time to time. The Committee also will consider candidates recommended by stockholders. Any director nominations submitted by stockholders will be evaluated in the same manner that nominees suggested by Board members, management or other parties are evaluated.</w:t>
      </w:r>
    </w:p>
    <w:p>
      <w:pPr>
        <w:spacing w:after="0" w:line="271" w:lineRule="exact"/>
        <w:rPr>
          <w:rFonts w:ascii="Arial" w:cs="Arial" w:eastAsia="Arial" w:hAnsi="Arial"/>
          <w:sz w:val="17"/>
          <w:szCs w:val="17"/>
          <w:color w:val="auto"/>
        </w:rPr>
      </w:pPr>
    </w:p>
    <w:p>
      <w:pPr>
        <w:jc w:val="both"/>
        <w:ind w:left="120" w:hanging="4"/>
        <w:spacing w:after="0" w:line="238" w:lineRule="auto"/>
        <w:tabs>
          <w:tab w:leader="none" w:pos="392"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In evaluating potential candidates, the Committee will determine whether the candidate is qualified for service on the Board of Directors by evaluating the candidate under the guidelines set forth above and by determining if any individual candidate suits the Committee’s and the Board of Director’s overall objectives at the time the candidate is being evaluated.</w:t>
      </w:r>
    </w:p>
    <w:p>
      <w:pPr>
        <w:spacing w:after="0" w:line="123"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-162560</wp:posOffset>
            </wp:positionV>
            <wp:extent cx="582930" cy="13716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jc w:val="right"/>
        <w:ind w:right="80"/>
        <w:spacing w:after="0"/>
        <w:rPr>
          <w:sz w:val="20"/>
          <w:szCs w:val="20"/>
          <w:color w:val="auto"/>
        </w:rPr>
      </w:pPr>
      <w:r>
        <w:rPr>
          <w:rFonts w:ascii="Arial" w:cs="Arial" w:eastAsia="Arial" w:hAnsi="Arial"/>
          <w:sz w:val="22"/>
          <w:szCs w:val="22"/>
          <w:b w:val="1"/>
          <w:bCs w:val="1"/>
          <w:color w:val="FFFFFF"/>
          <w:shd w:val="clear" w:color="auto" w:fill="0171B9"/>
        </w:rPr>
        <w:t>Appendix B</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0171B9"/>
        </w:rPr>
        <w:t>Appendix B</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34"/>
          <w:szCs w:val="34"/>
          <w:b w:val="1"/>
          <w:bCs w:val="1"/>
          <w:color w:val="0171B9"/>
        </w:rPr>
        <w:t>Reconciliations of GAAP to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699516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Amgen Inc.</w:t>
      </w:r>
    </w:p>
    <w:p>
      <w:pPr>
        <w:ind w:left="120"/>
        <w:spacing w:after="0" w:line="235" w:lineRule="auto"/>
        <w:rPr>
          <w:sz w:val="20"/>
          <w:szCs w:val="20"/>
          <w:color w:val="auto"/>
        </w:rPr>
      </w:pPr>
      <w:r>
        <w:rPr>
          <w:rFonts w:ascii="Arial" w:cs="Arial" w:eastAsia="Arial" w:hAnsi="Arial"/>
          <w:sz w:val="20"/>
          <w:szCs w:val="20"/>
          <w:b w:val="1"/>
          <w:bCs w:val="1"/>
          <w:color w:val="auto"/>
        </w:rPr>
        <w:t>GAAP to Non-GAAP Reconciliations</w:t>
      </w:r>
    </w:p>
    <w:p>
      <w:pPr>
        <w:ind w:left="120"/>
        <w:spacing w:after="0" w:line="226" w:lineRule="auto"/>
        <w:rPr>
          <w:sz w:val="20"/>
          <w:szCs w:val="20"/>
          <w:color w:val="auto"/>
        </w:rPr>
      </w:pPr>
      <w:r>
        <w:rPr>
          <w:rFonts w:ascii="Arial" w:cs="Arial" w:eastAsia="Arial" w:hAnsi="Arial"/>
          <w:sz w:val="20"/>
          <w:szCs w:val="20"/>
          <w:b w:val="1"/>
          <w:bCs w:val="1"/>
          <w:color w:val="auto"/>
        </w:rPr>
        <w:t>(Dollars in millions)</w:t>
      </w:r>
    </w:p>
    <w:p>
      <w:pPr>
        <w:ind w:left="120"/>
        <w:spacing w:after="0"/>
        <w:rPr>
          <w:sz w:val="20"/>
          <w:szCs w:val="20"/>
          <w:color w:val="auto"/>
        </w:rPr>
      </w:pPr>
      <w:r>
        <w:rPr>
          <w:rFonts w:ascii="Arial" w:cs="Arial" w:eastAsia="Arial" w:hAnsi="Arial"/>
          <w:sz w:val="20"/>
          <w:szCs w:val="20"/>
          <w:b w:val="1"/>
          <w:bCs w:val="1"/>
          <w:color w:val="auto"/>
        </w:rPr>
        <w:t>(Unaudited)</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228"/>
        </w:trPr>
        <w:tc>
          <w:tcPr>
            <w:tcW w:w="5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ind w:left="860"/>
              <w:spacing w:after="0"/>
              <w:rPr>
                <w:sz w:val="20"/>
                <w:szCs w:val="20"/>
                <w:color w:val="auto"/>
              </w:rPr>
            </w:pPr>
            <w:r>
              <w:rPr>
                <w:rFonts w:ascii="Arial" w:cs="Arial" w:eastAsia="Arial" w:hAnsi="Arial"/>
                <w:sz w:val="16"/>
                <w:szCs w:val="16"/>
                <w:b w:val="1"/>
                <w:bCs w:val="1"/>
                <w:color w:val="auto"/>
              </w:rPr>
              <w:t>Years ended December 31,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00" w:type="dxa"/>
            <w:vAlign w:val="bottom"/>
            <w:vMerge w:val="restart"/>
          </w:tcPr>
          <w:p>
            <w:pPr>
              <w:spacing w:after="0"/>
              <w:rPr>
                <w:sz w:val="20"/>
                <w:szCs w:val="20"/>
                <w:color w:val="auto"/>
              </w:rPr>
            </w:pPr>
            <w:r>
              <w:rPr>
                <w:rFonts w:ascii="Arial" w:cs="Arial" w:eastAsia="Arial" w:hAnsi="Arial"/>
                <w:sz w:val="16"/>
                <w:szCs w:val="16"/>
                <w:b w:val="1"/>
                <w:bCs w:val="1"/>
                <w:color w:val="auto"/>
              </w:rPr>
              <w:t>GAAP cost of sales</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9"/>
              <w:spacing w:after="0" w:line="175" w:lineRule="exact"/>
              <w:rPr>
                <w:sz w:val="20"/>
                <w:szCs w:val="20"/>
                <w:color w:val="auto"/>
              </w:rPr>
            </w:pPr>
            <w:r>
              <w:rPr>
                <w:rFonts w:ascii="Arial" w:cs="Arial" w:eastAsia="Arial" w:hAnsi="Arial"/>
                <w:sz w:val="16"/>
                <w:szCs w:val="16"/>
                <w:b w:val="1"/>
                <w:bCs w:val="1"/>
                <w:color w:val="auto"/>
              </w:rPr>
              <w:t>2022</w:t>
            </w:r>
          </w:p>
        </w:tc>
        <w:tc>
          <w:tcPr>
            <w:tcW w:w="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9"/>
              <w:spacing w:after="0" w:line="175" w:lineRule="exact"/>
              <w:rPr>
                <w:sz w:val="20"/>
                <w:szCs w:val="20"/>
                <w:color w:val="auto"/>
              </w:rPr>
            </w:pPr>
            <w:r>
              <w:rPr>
                <w:rFonts w:ascii="Arial" w:cs="Arial" w:eastAsia="Arial" w:hAnsi="Arial"/>
                <w:sz w:val="16"/>
                <w:szCs w:val="16"/>
                <w:b w:val="1"/>
                <w:bCs w:val="1"/>
                <w:color w:val="auto"/>
              </w:rPr>
              <w:t>2021</w:t>
            </w:r>
          </w:p>
        </w:tc>
        <w:tc>
          <w:tcPr>
            <w:tcW w:w="4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9"/>
              <w:spacing w:after="0" w:line="175"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64"/>
        </w:trPr>
        <w:tc>
          <w:tcPr>
            <w:tcW w:w="5700" w:type="dxa"/>
            <w:vAlign w:val="bottom"/>
            <w:vMerge w:val="continue"/>
          </w:tcPr>
          <w:p>
            <w:pPr>
              <w:spacing w:after="0"/>
              <w:rPr>
                <w:sz w:val="14"/>
                <w:szCs w:val="14"/>
                <w:color w:val="auto"/>
              </w:rPr>
            </w:pPr>
          </w:p>
        </w:tc>
        <w:tc>
          <w:tcPr>
            <w:tcW w:w="300" w:type="dxa"/>
            <w:vAlign w:val="bottom"/>
          </w:tcPr>
          <w:p>
            <w:pPr>
              <w:jc w:val="right"/>
              <w:ind w:right="39"/>
              <w:spacing w:after="0" w:line="165"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line="165" w:lineRule="exact"/>
              <w:rPr>
                <w:sz w:val="20"/>
                <w:szCs w:val="20"/>
                <w:color w:val="auto"/>
              </w:rPr>
            </w:pPr>
            <w:r>
              <w:rPr>
                <w:rFonts w:ascii="Arial" w:cs="Arial" w:eastAsia="Arial" w:hAnsi="Arial"/>
                <w:sz w:val="16"/>
                <w:szCs w:val="16"/>
                <w:color w:val="auto"/>
              </w:rPr>
              <w:t>6,406</w:t>
            </w:r>
          </w:p>
        </w:tc>
        <w:tc>
          <w:tcPr>
            <w:tcW w:w="420" w:type="dxa"/>
            <w:vAlign w:val="bottom"/>
          </w:tcPr>
          <w:p>
            <w:pPr>
              <w:spacing w:after="0"/>
              <w:rPr>
                <w:sz w:val="14"/>
                <w:szCs w:val="14"/>
                <w:color w:val="auto"/>
              </w:rPr>
            </w:pPr>
          </w:p>
        </w:tc>
        <w:tc>
          <w:tcPr>
            <w:tcW w:w="280" w:type="dxa"/>
            <w:vAlign w:val="bottom"/>
          </w:tcPr>
          <w:p>
            <w:pPr>
              <w:jc w:val="right"/>
              <w:ind w:right="19"/>
              <w:spacing w:after="0" w:line="165"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line="165" w:lineRule="exact"/>
              <w:rPr>
                <w:sz w:val="20"/>
                <w:szCs w:val="20"/>
                <w:color w:val="auto"/>
              </w:rPr>
            </w:pPr>
            <w:r>
              <w:rPr>
                <w:rFonts w:ascii="Arial" w:cs="Arial" w:eastAsia="Arial" w:hAnsi="Arial"/>
                <w:sz w:val="16"/>
                <w:szCs w:val="16"/>
                <w:color w:val="auto"/>
              </w:rPr>
              <w:t>6,454</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jc w:val="right"/>
              <w:ind w:right="39"/>
              <w:spacing w:after="0" w:line="165"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line="165" w:lineRule="exact"/>
              <w:rPr>
                <w:sz w:val="20"/>
                <w:szCs w:val="20"/>
                <w:color w:val="auto"/>
              </w:rPr>
            </w:pPr>
            <w:r>
              <w:rPr>
                <w:rFonts w:ascii="Arial" w:cs="Arial" w:eastAsia="Arial" w:hAnsi="Arial"/>
                <w:sz w:val="16"/>
                <w:szCs w:val="16"/>
                <w:color w:val="auto"/>
              </w:rPr>
              <w:t>6,159</w:t>
            </w:r>
          </w:p>
        </w:tc>
        <w:tc>
          <w:tcPr>
            <w:tcW w:w="0" w:type="dxa"/>
            <w:vAlign w:val="bottom"/>
          </w:tcPr>
          <w:p>
            <w:pPr>
              <w:spacing w:after="0"/>
              <w:rPr>
                <w:sz w:val="1"/>
                <w:szCs w:val="1"/>
                <w:color w:val="auto"/>
              </w:rPr>
            </w:pPr>
          </w:p>
        </w:tc>
      </w:tr>
      <w:tr>
        <w:trPr>
          <w:trHeight w:val="189"/>
        </w:trPr>
        <w:tc>
          <w:tcPr>
            <w:tcW w:w="5700" w:type="dxa"/>
            <w:vAlign w:val="bottom"/>
          </w:tcPr>
          <w:p>
            <w:pPr>
              <w:ind w:left="160"/>
              <w:spacing w:after="0"/>
              <w:rPr>
                <w:sz w:val="20"/>
                <w:szCs w:val="20"/>
                <w:color w:val="auto"/>
              </w:rPr>
            </w:pPr>
            <w:r>
              <w:rPr>
                <w:rFonts w:ascii="Arial" w:cs="Arial" w:eastAsia="Arial" w:hAnsi="Arial"/>
                <w:sz w:val="16"/>
                <w:szCs w:val="16"/>
                <w:b w:val="1"/>
                <w:bCs w:val="1"/>
                <w:color w:val="auto"/>
              </w:rPr>
              <w:t>Adjustments to cost of sales:</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320"/>
              <w:spacing w:after="0"/>
              <w:rPr>
                <w:sz w:val="20"/>
                <w:szCs w:val="20"/>
                <w:color w:val="auto"/>
              </w:rPr>
            </w:pPr>
            <w:r>
              <w:rPr>
                <w:rFonts w:ascii="Arial" w:cs="Arial" w:eastAsia="Arial" w:hAnsi="Arial"/>
                <w:sz w:val="16"/>
                <w:szCs w:val="16"/>
                <w:color w:val="auto"/>
              </w:rPr>
              <w:t xml:space="preserve">Acquisition-related expenses </w:t>
            </w:r>
            <w:r>
              <w:rPr>
                <w:rFonts w:ascii="Arial" w:cs="Arial" w:eastAsia="Arial" w:hAnsi="Arial"/>
                <w:sz w:val="16"/>
                <w:szCs w:val="16"/>
                <w:b w:val="1"/>
                <w:bCs w:val="1"/>
                <w:color w:val="auto"/>
              </w:rPr>
              <w:t>(a)</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(2,455)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(2,443)</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(2,797)</w:t>
            </w:r>
          </w:p>
        </w:tc>
        <w:tc>
          <w:tcPr>
            <w:tcW w:w="0" w:type="dxa"/>
            <w:vAlign w:val="bottom"/>
          </w:tcPr>
          <w:p>
            <w:pPr>
              <w:spacing w:after="0"/>
              <w:rPr>
                <w:sz w:val="1"/>
                <w:szCs w:val="1"/>
                <w:color w:val="auto"/>
              </w:rPr>
            </w:pPr>
          </w:p>
        </w:tc>
      </w:tr>
      <w:tr>
        <w:trPr>
          <w:trHeight w:val="187"/>
        </w:trPr>
        <w:tc>
          <w:tcPr>
            <w:tcW w:w="5700" w:type="dxa"/>
            <w:vAlign w:val="bottom"/>
          </w:tcPr>
          <w:p>
            <w:pPr>
              <w:ind w:left="3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6"/>
                <w:szCs w:val="16"/>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700" w:type="dxa"/>
            <w:vAlign w:val="bottom"/>
          </w:tcPr>
          <w:p>
            <w:pPr>
              <w:ind w:left="480"/>
              <w:spacing w:after="0"/>
              <w:rPr>
                <w:sz w:val="20"/>
                <w:szCs w:val="20"/>
                <w:color w:val="auto"/>
              </w:rPr>
            </w:pPr>
            <w:r>
              <w:rPr>
                <w:rFonts w:ascii="Arial" w:cs="Arial" w:eastAsia="Arial" w:hAnsi="Arial"/>
                <w:sz w:val="16"/>
                <w:szCs w:val="16"/>
                <w:b w:val="1"/>
                <w:bCs w:val="1"/>
                <w:color w:val="auto"/>
              </w:rPr>
              <w:t>Total adjustments to cost of sales</w:t>
            </w:r>
          </w:p>
        </w:tc>
        <w:tc>
          <w:tcPr>
            <w:tcW w:w="3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(2,455)</w:t>
            </w:r>
          </w:p>
        </w:tc>
        <w:tc>
          <w:tcPr>
            <w:tcW w:w="4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(2,460)</w:t>
            </w:r>
          </w:p>
        </w:tc>
        <w:tc>
          <w:tcPr>
            <w:tcW w:w="40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(2,797)</w:t>
            </w:r>
          </w:p>
        </w:tc>
        <w:tc>
          <w:tcPr>
            <w:tcW w:w="0" w:type="dxa"/>
            <w:vAlign w:val="bottom"/>
          </w:tcPr>
          <w:p>
            <w:pPr>
              <w:spacing w:after="0"/>
              <w:rPr>
                <w:sz w:val="1"/>
                <w:szCs w:val="1"/>
                <w:color w:val="auto"/>
              </w:rPr>
            </w:pPr>
          </w:p>
        </w:tc>
      </w:tr>
      <w:tr>
        <w:trPr>
          <w:trHeight w:val="196"/>
        </w:trPr>
        <w:tc>
          <w:tcPr>
            <w:tcW w:w="5700" w:type="dxa"/>
            <w:vAlign w:val="bottom"/>
          </w:tcPr>
          <w:p>
            <w:pPr>
              <w:spacing w:after="0"/>
              <w:rPr>
                <w:sz w:val="20"/>
                <w:szCs w:val="20"/>
                <w:color w:val="auto"/>
              </w:rPr>
            </w:pPr>
            <w:r>
              <w:rPr>
                <w:rFonts w:ascii="Arial" w:cs="Arial" w:eastAsia="Arial" w:hAnsi="Arial"/>
                <w:sz w:val="16"/>
                <w:szCs w:val="16"/>
                <w:b w:val="1"/>
                <w:bCs w:val="1"/>
                <w:color w:val="auto"/>
              </w:rPr>
              <w:t>Non-GAAP cost of sales</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3,951</w:t>
            </w:r>
          </w:p>
        </w:tc>
        <w:tc>
          <w:tcPr>
            <w:tcW w:w="420" w:type="dxa"/>
            <w:vAlign w:val="bottom"/>
          </w:tcPr>
          <w:p>
            <w:pPr>
              <w:spacing w:after="0"/>
              <w:rPr>
                <w:sz w:val="17"/>
                <w:szCs w:val="17"/>
                <w:color w:val="auto"/>
              </w:rPr>
            </w:pP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3,994</w:t>
            </w:r>
          </w:p>
        </w:tc>
        <w:tc>
          <w:tcPr>
            <w:tcW w:w="4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3,362</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6"/>
                <w:szCs w:val="16"/>
                <w:b w:val="1"/>
                <w:bCs w:val="1"/>
                <w:color w:val="auto"/>
              </w:rPr>
              <w:t>GAAP cost of sales as a percentage of product sales</w:t>
            </w: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70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6"/>
                <w:szCs w:val="16"/>
                <w:color w:val="auto"/>
              </w:rPr>
              <w:t>25.8%</w:t>
            </w:r>
          </w:p>
        </w:tc>
        <w:tc>
          <w:tcPr>
            <w:tcW w:w="280" w:type="dxa"/>
            <w:vAlign w:val="bottom"/>
          </w:tcPr>
          <w:p>
            <w:pPr>
              <w:spacing w:after="0"/>
              <w:rPr>
                <w:sz w:val="23"/>
                <w:szCs w:val="2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color w:val="auto"/>
              </w:rPr>
              <w:t>26.6%</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09"/>
        </w:trPr>
        <w:tc>
          <w:tcPr>
            <w:tcW w:w="5700" w:type="dxa"/>
            <w:vAlign w:val="bottom"/>
          </w:tcPr>
          <w:p>
            <w:pPr>
              <w:ind w:left="320"/>
              <w:spacing w:after="0"/>
              <w:rPr>
                <w:sz w:val="20"/>
                <w:szCs w:val="20"/>
                <w:color w:val="auto"/>
              </w:rPr>
            </w:pPr>
            <w:r>
              <w:rPr>
                <w:rFonts w:ascii="Arial" w:cs="Arial" w:eastAsia="Arial" w:hAnsi="Arial"/>
                <w:sz w:val="16"/>
                <w:szCs w:val="16"/>
                <w:color w:val="auto"/>
              </w:rPr>
              <w:t xml:space="preserve">Acquisition-related expenses </w:t>
            </w:r>
            <w:r>
              <w:rPr>
                <w:rFonts w:ascii="Arial" w:cs="Arial" w:eastAsia="Arial" w:hAnsi="Arial"/>
                <w:sz w:val="16"/>
                <w:szCs w:val="16"/>
                <w:b w:val="1"/>
                <w:bCs w:val="1"/>
                <w:color w:val="auto"/>
              </w:rPr>
              <w:t>(a)</w:t>
            </w:r>
          </w:p>
        </w:tc>
        <w:tc>
          <w:tcPr>
            <w:tcW w:w="3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-10.1</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87"/>
        </w:trPr>
        <w:tc>
          <w:tcPr>
            <w:tcW w:w="5700" w:type="dxa"/>
            <w:vAlign w:val="bottom"/>
          </w:tcPr>
          <w:p>
            <w:pPr>
              <w:ind w:left="3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w:t>
            </w:r>
          </w:p>
        </w:tc>
        <w:tc>
          <w:tcPr>
            <w:tcW w:w="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4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6"/>
        </w:trPr>
        <w:tc>
          <w:tcPr>
            <w:tcW w:w="5700" w:type="dxa"/>
            <w:vAlign w:val="bottom"/>
          </w:tcPr>
          <w:p>
            <w:pPr>
              <w:spacing w:after="0"/>
              <w:rPr>
                <w:sz w:val="20"/>
                <w:szCs w:val="20"/>
                <w:color w:val="auto"/>
              </w:rPr>
            </w:pPr>
            <w:r>
              <w:rPr>
                <w:rFonts w:ascii="Arial" w:cs="Arial" w:eastAsia="Arial" w:hAnsi="Arial"/>
                <w:sz w:val="16"/>
                <w:szCs w:val="16"/>
                <w:b w:val="1"/>
                <w:bCs w:val="1"/>
                <w:color w:val="auto"/>
              </w:rPr>
              <w:t>Non-GAAP cost of sales as a percentage of product sales</w:t>
            </w:r>
          </w:p>
        </w:tc>
        <w:tc>
          <w:tcPr>
            <w:tcW w:w="300" w:type="dxa"/>
            <w:vAlign w:val="bottom"/>
          </w:tcPr>
          <w:p>
            <w:pPr>
              <w:spacing w:after="0"/>
              <w:rPr>
                <w:sz w:val="17"/>
                <w:szCs w:val="17"/>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6"/>
                <w:szCs w:val="16"/>
                <w:color w:val="auto"/>
              </w:rPr>
              <w:t>15.9%</w:t>
            </w:r>
          </w:p>
        </w:tc>
        <w:tc>
          <w:tcPr>
            <w:tcW w:w="280" w:type="dxa"/>
            <w:vAlign w:val="bottom"/>
          </w:tcPr>
          <w:p>
            <w:pPr>
              <w:spacing w:after="0"/>
              <w:rPr>
                <w:sz w:val="17"/>
                <w:szCs w:val="17"/>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color w:val="auto"/>
              </w:rPr>
              <w:t>16.4%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6"/>
                <w:szCs w:val="16"/>
                <w:b w:val="1"/>
                <w:bCs w:val="1"/>
                <w:color w:val="auto"/>
              </w:rPr>
              <w:t>GAAP research and development expenses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700" w:type="dxa"/>
            <w:vAlign w:val="bottom"/>
            <w:vMerge w:val="continue"/>
          </w:tcPr>
          <w:p>
            <w:pPr>
              <w:spacing w:after="0"/>
              <w:rPr>
                <w:sz w:val="23"/>
                <w:szCs w:val="23"/>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4,434</w:t>
            </w:r>
          </w:p>
        </w:tc>
        <w:tc>
          <w:tcPr>
            <w:tcW w:w="42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4,819</w:t>
            </w: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4,207</w:t>
            </w:r>
          </w:p>
        </w:tc>
        <w:tc>
          <w:tcPr>
            <w:tcW w:w="0" w:type="dxa"/>
            <w:vAlign w:val="bottom"/>
          </w:tcPr>
          <w:p>
            <w:pPr>
              <w:spacing w:after="0"/>
              <w:rPr>
                <w:sz w:val="1"/>
                <w:szCs w:val="1"/>
                <w:color w:val="auto"/>
              </w:rPr>
            </w:pPr>
          </w:p>
        </w:tc>
      </w:tr>
      <w:tr>
        <w:trPr>
          <w:trHeight w:val="189"/>
        </w:trPr>
        <w:tc>
          <w:tcPr>
            <w:tcW w:w="5700" w:type="dxa"/>
            <w:vAlign w:val="bottom"/>
          </w:tcPr>
          <w:p>
            <w:pPr>
              <w:ind w:left="160"/>
              <w:spacing w:after="0"/>
              <w:rPr>
                <w:sz w:val="20"/>
                <w:szCs w:val="20"/>
                <w:color w:val="auto"/>
              </w:rPr>
            </w:pPr>
            <w:r>
              <w:rPr>
                <w:rFonts w:ascii="Arial" w:cs="Arial" w:eastAsia="Arial" w:hAnsi="Arial"/>
                <w:sz w:val="16"/>
                <w:szCs w:val="16"/>
                <w:b w:val="1"/>
                <w:bCs w:val="1"/>
                <w:color w:val="auto"/>
              </w:rPr>
              <w:t>Adjustments to research and development expenses:</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320"/>
              <w:spacing w:after="0"/>
              <w:rPr>
                <w:sz w:val="20"/>
                <w:szCs w:val="20"/>
                <w:color w:val="auto"/>
              </w:rPr>
            </w:pPr>
            <w:r>
              <w:rPr>
                <w:rFonts w:ascii="Arial" w:cs="Arial" w:eastAsia="Arial" w:hAnsi="Arial"/>
                <w:sz w:val="16"/>
                <w:szCs w:val="16"/>
                <w:color w:val="auto"/>
              </w:rPr>
              <w:t xml:space="preserve">Licensing- and acquisition-related expenses </w:t>
            </w:r>
            <w:r>
              <w:rPr>
                <w:rFonts w:ascii="Arial" w:cs="Arial" w:eastAsia="Arial" w:hAnsi="Arial"/>
                <w:sz w:val="16"/>
                <w:szCs w:val="16"/>
                <w:b w:val="1"/>
                <w:bCs w:val="1"/>
                <w:color w:val="auto"/>
              </w:rPr>
              <w:t>(a)</w:t>
            </w:r>
            <w:r>
              <w:rPr>
                <w:rFonts w:ascii="Arial" w:cs="Arial" w:eastAsia="Arial" w:hAnsi="Arial"/>
                <w:sz w:val="16"/>
                <w:szCs w:val="16"/>
                <w:color w:val="auto"/>
              </w:rPr>
              <w:t>,</w:t>
            </w:r>
            <w:r>
              <w:rPr>
                <w:rFonts w:ascii="Arial" w:cs="Arial" w:eastAsia="Arial" w:hAnsi="Arial"/>
                <w:sz w:val="16"/>
                <w:szCs w:val="16"/>
                <w:b w:val="1"/>
                <w:bCs w:val="1"/>
                <w:color w:val="auto"/>
              </w:rPr>
              <w:t>(b)</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(523)</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89"/>
        </w:trPr>
        <w:tc>
          <w:tcPr>
            <w:tcW w:w="5700" w:type="dxa"/>
            <w:vAlign w:val="bottom"/>
          </w:tcPr>
          <w:p>
            <w:pPr>
              <w:ind w:left="320"/>
              <w:spacing w:after="0"/>
              <w:rPr>
                <w:sz w:val="20"/>
                <w:szCs w:val="20"/>
                <w:color w:val="auto"/>
              </w:rPr>
            </w:pPr>
            <w:r>
              <w:rPr>
                <w:rFonts w:ascii="Arial" w:cs="Arial" w:eastAsia="Arial" w:hAnsi="Arial"/>
                <w:sz w:val="16"/>
                <w:szCs w:val="16"/>
                <w:color w:val="auto"/>
              </w:rPr>
              <w:t>Certain net charges pursuant to our cost savings and other</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700" w:type="dxa"/>
            <w:vAlign w:val="bottom"/>
          </w:tcPr>
          <w:p>
            <w:pPr>
              <w:ind w:left="480"/>
              <w:spacing w:after="0"/>
              <w:rPr>
                <w:sz w:val="20"/>
                <w:szCs w:val="20"/>
                <w:color w:val="auto"/>
              </w:rPr>
            </w:pPr>
            <w:r>
              <w:rPr>
                <w:rFonts w:ascii="Arial" w:cs="Arial" w:eastAsia="Arial" w:hAnsi="Arial"/>
                <w:sz w:val="16"/>
                <w:szCs w:val="16"/>
                <w:color w:val="auto"/>
              </w:rPr>
              <w:t>restructuring initiatives</w:t>
            </w:r>
          </w:p>
        </w:tc>
        <w:tc>
          <w:tcPr>
            <w:tcW w:w="300" w:type="dxa"/>
            <w:vAlign w:val="bottom"/>
          </w:tcPr>
          <w:p>
            <w:pPr>
              <w:spacing w:after="0"/>
              <w:rPr>
                <w:sz w:val="16"/>
                <w:szCs w:val="16"/>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6"/>
        </w:trPr>
        <w:tc>
          <w:tcPr>
            <w:tcW w:w="5700" w:type="dxa"/>
            <w:vAlign w:val="bottom"/>
          </w:tcPr>
          <w:p>
            <w:pPr>
              <w:ind w:left="480"/>
              <w:spacing w:after="0"/>
              <w:rPr>
                <w:sz w:val="20"/>
                <w:szCs w:val="20"/>
                <w:color w:val="auto"/>
              </w:rPr>
            </w:pPr>
            <w:r>
              <w:rPr>
                <w:rFonts w:ascii="Arial" w:cs="Arial" w:eastAsia="Arial" w:hAnsi="Arial"/>
                <w:sz w:val="16"/>
                <w:szCs w:val="16"/>
                <w:b w:val="1"/>
                <w:bCs w:val="1"/>
                <w:color w:val="auto"/>
              </w:rPr>
              <w:t>Total adjustments to research and development expenses</w:t>
            </w:r>
          </w:p>
        </w:tc>
        <w:tc>
          <w:tcPr>
            <w:tcW w:w="3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4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(523)</w:t>
            </w:r>
          </w:p>
        </w:tc>
        <w:tc>
          <w:tcPr>
            <w:tcW w:w="40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96"/>
        </w:trPr>
        <w:tc>
          <w:tcPr>
            <w:tcW w:w="5700" w:type="dxa"/>
            <w:vAlign w:val="bottom"/>
          </w:tcPr>
          <w:p>
            <w:pPr>
              <w:spacing w:after="0"/>
              <w:rPr>
                <w:sz w:val="20"/>
                <w:szCs w:val="20"/>
                <w:color w:val="auto"/>
              </w:rPr>
            </w:pPr>
            <w:r>
              <w:rPr>
                <w:rFonts w:ascii="Arial" w:cs="Arial" w:eastAsia="Arial" w:hAnsi="Arial"/>
                <w:sz w:val="16"/>
                <w:szCs w:val="16"/>
                <w:b w:val="1"/>
                <w:bCs w:val="1"/>
                <w:color w:val="auto"/>
              </w:rPr>
              <w:t>Non-GAAP research and development expenses</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4,341</w:t>
            </w:r>
          </w:p>
        </w:tc>
        <w:tc>
          <w:tcPr>
            <w:tcW w:w="420" w:type="dxa"/>
            <w:vAlign w:val="bottom"/>
          </w:tcPr>
          <w:p>
            <w:pPr>
              <w:spacing w:after="0"/>
              <w:rPr>
                <w:sz w:val="17"/>
                <w:szCs w:val="17"/>
                <w:color w:val="auto"/>
              </w:rPr>
            </w:pP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4,296</w:t>
            </w:r>
          </w:p>
        </w:tc>
        <w:tc>
          <w:tcPr>
            <w:tcW w:w="4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4,085</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6"/>
                <w:szCs w:val="16"/>
                <w:b w:val="1"/>
                <w:bCs w:val="1"/>
                <w:color w:val="auto"/>
              </w:rPr>
              <w:t>GAAP research and development expenses as a percentage of</w:t>
            </w: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70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160"/>
              <w:spacing w:after="0"/>
              <w:rPr>
                <w:sz w:val="20"/>
                <w:szCs w:val="20"/>
                <w:color w:val="auto"/>
              </w:rPr>
            </w:pPr>
            <w:r>
              <w:rPr>
                <w:rFonts w:ascii="Arial" w:cs="Arial" w:eastAsia="Arial" w:hAnsi="Arial"/>
                <w:sz w:val="16"/>
                <w:szCs w:val="16"/>
                <w:b w:val="1"/>
                <w:bCs w:val="1"/>
                <w:color w:val="auto"/>
              </w:rPr>
              <w:t>product sales</w:t>
            </w:r>
          </w:p>
        </w:tc>
        <w:tc>
          <w:tcPr>
            <w:tcW w:w="300" w:type="dxa"/>
            <w:vAlign w:val="bottom"/>
          </w:tcPr>
          <w:p>
            <w:pPr>
              <w:spacing w:after="0"/>
              <w:rPr>
                <w:sz w:val="16"/>
                <w:szCs w:val="16"/>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6"/>
                <w:szCs w:val="16"/>
                <w:color w:val="auto"/>
              </w:rPr>
              <w:t>17.9%</w:t>
            </w:r>
          </w:p>
        </w:tc>
        <w:tc>
          <w:tcPr>
            <w:tcW w:w="280" w:type="dxa"/>
            <w:vAlign w:val="bottom"/>
          </w:tcPr>
          <w:p>
            <w:pPr>
              <w:spacing w:after="0"/>
              <w:rPr>
                <w:sz w:val="16"/>
                <w:szCs w:val="16"/>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color w:val="auto"/>
              </w:rPr>
              <w:t>19.8%</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9"/>
        </w:trPr>
        <w:tc>
          <w:tcPr>
            <w:tcW w:w="5700" w:type="dxa"/>
            <w:vAlign w:val="bottom"/>
          </w:tcPr>
          <w:p>
            <w:pPr>
              <w:ind w:left="320"/>
              <w:spacing w:after="0"/>
              <w:rPr>
                <w:sz w:val="20"/>
                <w:szCs w:val="20"/>
                <w:color w:val="auto"/>
              </w:rPr>
            </w:pPr>
            <w:r>
              <w:rPr>
                <w:rFonts w:ascii="Arial" w:cs="Arial" w:eastAsia="Arial" w:hAnsi="Arial"/>
                <w:sz w:val="16"/>
                <w:szCs w:val="16"/>
                <w:color w:val="auto"/>
              </w:rPr>
              <w:t xml:space="preserve">Licensing- and acquisition-related expenses </w:t>
            </w:r>
            <w:r>
              <w:rPr>
                <w:rFonts w:ascii="Arial" w:cs="Arial" w:eastAsia="Arial" w:hAnsi="Arial"/>
                <w:sz w:val="16"/>
                <w:szCs w:val="16"/>
                <w:b w:val="1"/>
                <w:bCs w:val="1"/>
                <w:color w:val="auto"/>
              </w:rPr>
              <w:t>(a)</w:t>
            </w:r>
            <w:r>
              <w:rPr>
                <w:rFonts w:ascii="Arial" w:cs="Arial" w:eastAsia="Arial" w:hAnsi="Arial"/>
                <w:sz w:val="16"/>
                <w:szCs w:val="16"/>
                <w:color w:val="auto"/>
              </w:rPr>
              <w:t>,</w:t>
            </w:r>
            <w:r>
              <w:rPr>
                <w:rFonts w:ascii="Arial" w:cs="Arial" w:eastAsia="Arial" w:hAnsi="Arial"/>
                <w:sz w:val="16"/>
                <w:szCs w:val="16"/>
                <w:b w:val="1"/>
                <w:bCs w:val="1"/>
                <w:color w:val="auto"/>
              </w:rPr>
              <w:t>(b)</w:t>
            </w:r>
          </w:p>
        </w:tc>
        <w:tc>
          <w:tcPr>
            <w:tcW w:w="3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89"/>
        </w:trPr>
        <w:tc>
          <w:tcPr>
            <w:tcW w:w="5700" w:type="dxa"/>
            <w:vAlign w:val="bottom"/>
          </w:tcPr>
          <w:p>
            <w:pPr>
              <w:ind w:left="320"/>
              <w:spacing w:after="0"/>
              <w:rPr>
                <w:sz w:val="20"/>
                <w:szCs w:val="20"/>
                <w:color w:val="auto"/>
              </w:rPr>
            </w:pPr>
            <w:r>
              <w:rPr>
                <w:rFonts w:ascii="Arial" w:cs="Arial" w:eastAsia="Arial" w:hAnsi="Arial"/>
                <w:sz w:val="16"/>
                <w:szCs w:val="16"/>
                <w:color w:val="auto"/>
              </w:rPr>
              <w:t>Certain net charges pursuant to our cost savings and other</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700" w:type="dxa"/>
            <w:vAlign w:val="bottom"/>
          </w:tcPr>
          <w:p>
            <w:pPr>
              <w:ind w:left="480"/>
              <w:spacing w:after="0"/>
              <w:rPr>
                <w:sz w:val="20"/>
                <w:szCs w:val="20"/>
                <w:color w:val="auto"/>
              </w:rPr>
            </w:pPr>
            <w:r>
              <w:rPr>
                <w:rFonts w:ascii="Arial" w:cs="Arial" w:eastAsia="Arial" w:hAnsi="Arial"/>
                <w:sz w:val="16"/>
                <w:szCs w:val="16"/>
                <w:color w:val="auto"/>
              </w:rPr>
              <w:t>restructuring initiatives</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w:t>
            </w:r>
          </w:p>
        </w:tc>
        <w:tc>
          <w:tcPr>
            <w:tcW w:w="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0.0</w:t>
            </w:r>
          </w:p>
        </w:tc>
        <w:tc>
          <w:tcPr>
            <w:tcW w:w="4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8"/>
        </w:trPr>
        <w:tc>
          <w:tcPr>
            <w:tcW w:w="5700" w:type="dxa"/>
            <w:vAlign w:val="bottom"/>
          </w:tcPr>
          <w:p>
            <w:pPr>
              <w:spacing w:after="0" w:line="178" w:lineRule="exact"/>
              <w:rPr>
                <w:sz w:val="20"/>
                <w:szCs w:val="20"/>
                <w:color w:val="auto"/>
              </w:rPr>
            </w:pPr>
            <w:r>
              <w:rPr>
                <w:rFonts w:ascii="Arial" w:cs="Arial" w:eastAsia="Arial" w:hAnsi="Arial"/>
                <w:sz w:val="16"/>
                <w:szCs w:val="16"/>
                <w:b w:val="1"/>
                <w:bCs w:val="1"/>
                <w:color w:val="auto"/>
              </w:rPr>
              <w:t>Non-GAAP research and development expenses as a percentage of</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700" w:type="dxa"/>
            <w:vAlign w:val="bottom"/>
          </w:tcPr>
          <w:p>
            <w:pPr>
              <w:ind w:left="160"/>
              <w:spacing w:after="0"/>
              <w:rPr>
                <w:sz w:val="20"/>
                <w:szCs w:val="20"/>
                <w:color w:val="auto"/>
              </w:rPr>
            </w:pPr>
            <w:r>
              <w:rPr>
                <w:rFonts w:ascii="Arial" w:cs="Arial" w:eastAsia="Arial" w:hAnsi="Arial"/>
                <w:sz w:val="16"/>
                <w:szCs w:val="16"/>
                <w:b w:val="1"/>
                <w:bCs w:val="1"/>
                <w:color w:val="auto"/>
              </w:rPr>
              <w:t>product sales</w:t>
            </w:r>
          </w:p>
        </w:tc>
        <w:tc>
          <w:tcPr>
            <w:tcW w:w="3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6"/>
                <w:szCs w:val="16"/>
                <w:color w:val="auto"/>
              </w:rPr>
              <w:t>17.5%</w:t>
            </w:r>
          </w:p>
        </w:tc>
        <w:tc>
          <w:tcPr>
            <w:tcW w:w="28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color w:val="auto"/>
              </w:rPr>
              <w:t>17.7%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6"/>
                <w:szCs w:val="16"/>
                <w:b w:val="1"/>
                <w:bCs w:val="1"/>
                <w:color w:val="auto"/>
              </w:rPr>
              <w:t>GAAP acquired IPR&amp;D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700" w:type="dxa"/>
            <w:vAlign w:val="bottom"/>
            <w:vMerge w:val="continue"/>
          </w:tcPr>
          <w:p>
            <w:pPr>
              <w:spacing w:after="0"/>
              <w:rPr>
                <w:sz w:val="23"/>
                <w:szCs w:val="23"/>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1,505</w:t>
            </w: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700" w:type="dxa"/>
            <w:vAlign w:val="bottom"/>
          </w:tcPr>
          <w:p>
            <w:pPr>
              <w:ind w:left="160"/>
              <w:spacing w:after="0"/>
              <w:rPr>
                <w:sz w:val="20"/>
                <w:szCs w:val="20"/>
                <w:color w:val="auto"/>
              </w:rPr>
            </w:pPr>
            <w:r>
              <w:rPr>
                <w:rFonts w:ascii="Arial" w:cs="Arial" w:eastAsia="Arial" w:hAnsi="Arial"/>
                <w:sz w:val="16"/>
                <w:szCs w:val="16"/>
                <w:b w:val="1"/>
                <w:bCs w:val="1"/>
                <w:color w:val="auto"/>
              </w:rPr>
              <w:t>Adjustments to acquired IPR&amp;D:</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700" w:type="dxa"/>
            <w:vAlign w:val="bottom"/>
          </w:tcPr>
          <w:p>
            <w:pPr>
              <w:ind w:left="320"/>
              <w:spacing w:after="0"/>
              <w:rPr>
                <w:sz w:val="20"/>
                <w:szCs w:val="20"/>
                <w:color w:val="auto"/>
              </w:rPr>
            </w:pPr>
            <w:r>
              <w:rPr>
                <w:rFonts w:ascii="Arial" w:cs="Arial" w:eastAsia="Arial" w:hAnsi="Arial"/>
                <w:sz w:val="16"/>
                <w:szCs w:val="16"/>
                <w:color w:val="auto"/>
              </w:rPr>
              <w:t xml:space="preserve">Five Prime acquisition IPR&amp;D expense </w:t>
            </w:r>
            <w:r>
              <w:rPr>
                <w:rFonts w:ascii="Arial" w:cs="Arial" w:eastAsia="Arial" w:hAnsi="Arial"/>
                <w:sz w:val="16"/>
                <w:szCs w:val="16"/>
                <w:b w:val="1"/>
                <w:bCs w:val="1"/>
                <w:color w:val="auto"/>
              </w:rPr>
              <w:t>(b)</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(1,505)</w:t>
            </w:r>
          </w:p>
        </w:tc>
        <w:tc>
          <w:tcPr>
            <w:tcW w:w="4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700" w:type="dxa"/>
            <w:vAlign w:val="bottom"/>
          </w:tcPr>
          <w:p>
            <w:pPr>
              <w:spacing w:after="0"/>
              <w:rPr>
                <w:sz w:val="20"/>
                <w:szCs w:val="20"/>
                <w:color w:val="auto"/>
              </w:rPr>
            </w:pPr>
            <w:r>
              <w:rPr>
                <w:rFonts w:ascii="Arial" w:cs="Arial" w:eastAsia="Arial" w:hAnsi="Arial"/>
                <w:sz w:val="16"/>
                <w:szCs w:val="16"/>
                <w:b w:val="1"/>
                <w:bCs w:val="1"/>
                <w:color w:val="auto"/>
              </w:rPr>
              <w:t>Non-GAAP acquired IPR&amp;D</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6"/>
        </w:trPr>
        <w:tc>
          <w:tcPr>
            <w:tcW w:w="5700" w:type="dxa"/>
            <w:vAlign w:val="bottom"/>
          </w:tcPr>
          <w:p>
            <w:pPr>
              <w:spacing w:after="0"/>
              <w:rPr>
                <w:sz w:val="20"/>
                <w:szCs w:val="20"/>
                <w:color w:val="auto"/>
              </w:rPr>
            </w:pPr>
            <w:r>
              <w:rPr>
                <w:rFonts w:ascii="Arial" w:cs="Arial" w:eastAsia="Arial" w:hAnsi="Arial"/>
                <w:sz w:val="16"/>
                <w:szCs w:val="16"/>
                <w:b w:val="1"/>
                <w:bCs w:val="1"/>
                <w:color w:val="auto"/>
              </w:rPr>
              <w:t>GAAP acquired IPR&amp;D expenses as a percentage of product sales</w:t>
            </w:r>
          </w:p>
        </w:tc>
        <w:tc>
          <w:tcPr>
            <w:tcW w:w="300" w:type="dxa"/>
            <w:vAlign w:val="bottom"/>
          </w:tcPr>
          <w:p>
            <w:pPr>
              <w:spacing w:after="0"/>
              <w:rPr>
                <w:sz w:val="24"/>
                <w:szCs w:val="2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6"/>
                <w:szCs w:val="16"/>
                <w:color w:val="auto"/>
              </w:rPr>
              <w:t>0.0%</w:t>
            </w:r>
          </w:p>
        </w:tc>
        <w:tc>
          <w:tcPr>
            <w:tcW w:w="280" w:type="dxa"/>
            <w:vAlign w:val="bottom"/>
          </w:tcPr>
          <w:p>
            <w:pPr>
              <w:spacing w:after="0"/>
              <w:rPr>
                <w:sz w:val="24"/>
                <w:szCs w:val="2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color w:val="auto"/>
              </w:rPr>
              <w:t>6.2%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7"/>
        </w:trPr>
        <w:tc>
          <w:tcPr>
            <w:tcW w:w="5700" w:type="dxa"/>
            <w:vAlign w:val="bottom"/>
          </w:tcPr>
          <w:p>
            <w:pPr>
              <w:ind w:left="320"/>
              <w:spacing w:after="0"/>
              <w:rPr>
                <w:sz w:val="20"/>
                <w:szCs w:val="20"/>
                <w:color w:val="auto"/>
              </w:rPr>
            </w:pPr>
            <w:r>
              <w:rPr>
                <w:rFonts w:ascii="Arial" w:cs="Arial" w:eastAsia="Arial" w:hAnsi="Arial"/>
                <w:sz w:val="16"/>
                <w:szCs w:val="16"/>
                <w:color w:val="auto"/>
              </w:rPr>
              <w:t xml:space="preserve">Five Prime acquisition IPR&amp;D expense </w:t>
            </w:r>
            <w:r>
              <w:rPr>
                <w:rFonts w:ascii="Arial" w:cs="Arial" w:eastAsia="Arial" w:hAnsi="Arial"/>
                <w:sz w:val="16"/>
                <w:szCs w:val="16"/>
                <w:b w:val="1"/>
                <w:bCs w:val="1"/>
                <w:color w:val="auto"/>
              </w:rPr>
              <w:t>(b)</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w:t>
            </w:r>
          </w:p>
        </w:tc>
        <w:tc>
          <w:tcPr>
            <w:tcW w:w="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-6.2</w:t>
            </w:r>
          </w:p>
        </w:tc>
        <w:tc>
          <w:tcPr>
            <w:tcW w:w="4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8"/>
        </w:trPr>
        <w:tc>
          <w:tcPr>
            <w:tcW w:w="5700" w:type="dxa"/>
            <w:vAlign w:val="bottom"/>
          </w:tcPr>
          <w:p>
            <w:pPr>
              <w:spacing w:after="0" w:line="178" w:lineRule="exact"/>
              <w:rPr>
                <w:sz w:val="20"/>
                <w:szCs w:val="20"/>
                <w:color w:val="auto"/>
              </w:rPr>
            </w:pPr>
            <w:r>
              <w:rPr>
                <w:rFonts w:ascii="Arial" w:cs="Arial" w:eastAsia="Arial" w:hAnsi="Arial"/>
                <w:sz w:val="16"/>
                <w:szCs w:val="16"/>
                <w:b w:val="1"/>
                <w:bCs w:val="1"/>
                <w:color w:val="auto"/>
              </w:rPr>
              <w:t>Non-GAAP acquired IPR&amp;D expenses as a percentage of product</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700" w:type="dxa"/>
            <w:vAlign w:val="bottom"/>
          </w:tcPr>
          <w:p>
            <w:pPr>
              <w:ind w:left="160"/>
              <w:spacing w:after="0"/>
              <w:rPr>
                <w:sz w:val="20"/>
                <w:szCs w:val="20"/>
                <w:color w:val="auto"/>
              </w:rPr>
            </w:pPr>
            <w:r>
              <w:rPr>
                <w:rFonts w:ascii="Arial" w:cs="Arial" w:eastAsia="Arial" w:hAnsi="Arial"/>
                <w:sz w:val="16"/>
                <w:szCs w:val="16"/>
                <w:b w:val="1"/>
                <w:bCs w:val="1"/>
                <w:color w:val="auto"/>
              </w:rPr>
              <w:t>sales</w:t>
            </w:r>
          </w:p>
        </w:tc>
        <w:tc>
          <w:tcPr>
            <w:tcW w:w="3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6"/>
                <w:szCs w:val="16"/>
                <w:color w:val="auto"/>
              </w:rPr>
              <w:t>0.0%</w:t>
            </w:r>
          </w:p>
        </w:tc>
        <w:tc>
          <w:tcPr>
            <w:tcW w:w="28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color w:val="auto"/>
              </w:rPr>
              <w:t>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6"/>
                <w:szCs w:val="16"/>
                <w:b w:val="1"/>
                <w:bCs w:val="1"/>
                <w:color w:val="auto"/>
              </w:rPr>
              <w:t>GAAP selling, general and administrative expenses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700" w:type="dxa"/>
            <w:vAlign w:val="bottom"/>
            <w:vMerge w:val="continue"/>
          </w:tcPr>
          <w:p>
            <w:pPr>
              <w:spacing w:after="0"/>
              <w:rPr>
                <w:sz w:val="23"/>
                <w:szCs w:val="23"/>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5,414</w:t>
            </w:r>
          </w:p>
        </w:tc>
        <w:tc>
          <w:tcPr>
            <w:tcW w:w="42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5,368</w:t>
            </w: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5,730</w:t>
            </w:r>
          </w:p>
        </w:tc>
        <w:tc>
          <w:tcPr>
            <w:tcW w:w="0" w:type="dxa"/>
            <w:vAlign w:val="bottom"/>
          </w:tcPr>
          <w:p>
            <w:pPr>
              <w:spacing w:after="0"/>
              <w:rPr>
                <w:sz w:val="1"/>
                <w:szCs w:val="1"/>
                <w:color w:val="auto"/>
              </w:rPr>
            </w:pPr>
          </w:p>
        </w:tc>
      </w:tr>
      <w:tr>
        <w:trPr>
          <w:trHeight w:val="189"/>
        </w:trPr>
        <w:tc>
          <w:tcPr>
            <w:tcW w:w="5700" w:type="dxa"/>
            <w:vAlign w:val="bottom"/>
          </w:tcPr>
          <w:p>
            <w:pPr>
              <w:ind w:left="160"/>
              <w:spacing w:after="0"/>
              <w:rPr>
                <w:sz w:val="20"/>
                <w:szCs w:val="20"/>
                <w:color w:val="auto"/>
              </w:rPr>
            </w:pPr>
            <w:r>
              <w:rPr>
                <w:rFonts w:ascii="Arial" w:cs="Arial" w:eastAsia="Arial" w:hAnsi="Arial"/>
                <w:sz w:val="16"/>
                <w:szCs w:val="16"/>
                <w:b w:val="1"/>
                <w:bCs w:val="1"/>
                <w:color w:val="auto"/>
              </w:rPr>
              <w:t>Adjustments to selling, general and administrative expenses:</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320"/>
              <w:spacing w:after="0"/>
              <w:rPr>
                <w:sz w:val="20"/>
                <w:szCs w:val="20"/>
                <w:color w:val="auto"/>
              </w:rPr>
            </w:pPr>
            <w:r>
              <w:rPr>
                <w:rFonts w:ascii="Arial" w:cs="Arial" w:eastAsia="Arial" w:hAnsi="Arial"/>
                <w:sz w:val="16"/>
                <w:szCs w:val="16"/>
                <w:color w:val="auto"/>
              </w:rPr>
              <w:t xml:space="preserve">Acquisition-related expenses </w:t>
            </w:r>
            <w:r>
              <w:rPr>
                <w:rFonts w:ascii="Arial" w:cs="Arial" w:eastAsia="Arial" w:hAnsi="Arial"/>
                <w:sz w:val="16"/>
                <w:szCs w:val="16"/>
                <w:b w:val="1"/>
                <w:bCs w:val="1"/>
                <w:color w:val="auto"/>
              </w:rPr>
              <w:t>(a)</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89"/>
        </w:trPr>
        <w:tc>
          <w:tcPr>
            <w:tcW w:w="5700" w:type="dxa"/>
            <w:vAlign w:val="bottom"/>
          </w:tcPr>
          <w:p>
            <w:pPr>
              <w:ind w:left="320"/>
              <w:spacing w:after="0"/>
              <w:rPr>
                <w:sz w:val="20"/>
                <w:szCs w:val="20"/>
                <w:color w:val="auto"/>
              </w:rPr>
            </w:pPr>
            <w:r>
              <w:rPr>
                <w:rFonts w:ascii="Arial" w:cs="Arial" w:eastAsia="Arial" w:hAnsi="Arial"/>
                <w:sz w:val="16"/>
                <w:szCs w:val="16"/>
                <w:color w:val="auto"/>
              </w:rPr>
              <w:t>Certain net charges pursuant to our restructuring initiatives</w:t>
            </w:r>
          </w:p>
        </w:tc>
        <w:tc>
          <w:tcPr>
            <w:tcW w:w="300" w:type="dxa"/>
            <w:vAlign w:val="bottom"/>
          </w:tcPr>
          <w:p>
            <w:pPr>
              <w:spacing w:after="0"/>
              <w:rPr>
                <w:sz w:val="16"/>
                <w:szCs w:val="16"/>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5700" w:type="dxa"/>
            <w:vAlign w:val="bottom"/>
          </w:tcPr>
          <w:p>
            <w:pPr>
              <w:ind w:left="3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6"/>
                <w:szCs w:val="16"/>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8"/>
        </w:trPr>
        <w:tc>
          <w:tcPr>
            <w:tcW w:w="5700" w:type="dxa"/>
            <w:vAlign w:val="bottom"/>
          </w:tcPr>
          <w:p>
            <w:pPr>
              <w:ind w:left="480"/>
              <w:spacing w:after="0" w:line="178" w:lineRule="exact"/>
              <w:rPr>
                <w:sz w:val="20"/>
                <w:szCs w:val="20"/>
                <w:color w:val="auto"/>
              </w:rPr>
            </w:pPr>
            <w:r>
              <w:rPr>
                <w:rFonts w:ascii="Arial" w:cs="Arial" w:eastAsia="Arial" w:hAnsi="Arial"/>
                <w:sz w:val="16"/>
                <w:szCs w:val="16"/>
                <w:b w:val="1"/>
                <w:bCs w:val="1"/>
                <w:color w:val="auto"/>
              </w:rPr>
              <w:t>Total adjustments to selling, general and administrative</w:t>
            </w: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700" w:type="dxa"/>
            <w:vAlign w:val="bottom"/>
          </w:tcPr>
          <w:p>
            <w:pPr>
              <w:ind w:left="640"/>
              <w:spacing w:after="0"/>
              <w:rPr>
                <w:sz w:val="20"/>
                <w:szCs w:val="20"/>
                <w:color w:val="auto"/>
              </w:rPr>
            </w:pPr>
            <w:r>
              <w:rPr>
                <w:rFonts w:ascii="Arial" w:cs="Arial" w:eastAsia="Arial" w:hAnsi="Arial"/>
                <w:sz w:val="16"/>
                <w:szCs w:val="16"/>
                <w:b w:val="1"/>
                <w:bCs w:val="1"/>
                <w:color w:val="auto"/>
              </w:rPr>
              <w:t>expenses</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c>
          <w:tcPr>
            <w:tcW w:w="4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96"/>
        </w:trPr>
        <w:tc>
          <w:tcPr>
            <w:tcW w:w="5700" w:type="dxa"/>
            <w:vAlign w:val="bottom"/>
          </w:tcPr>
          <w:p>
            <w:pPr>
              <w:spacing w:after="0"/>
              <w:rPr>
                <w:sz w:val="20"/>
                <w:szCs w:val="20"/>
                <w:color w:val="auto"/>
              </w:rPr>
            </w:pPr>
            <w:r>
              <w:rPr>
                <w:rFonts w:ascii="Arial" w:cs="Arial" w:eastAsia="Arial" w:hAnsi="Arial"/>
                <w:sz w:val="16"/>
                <w:szCs w:val="16"/>
                <w:b w:val="1"/>
                <w:bCs w:val="1"/>
                <w:color w:val="auto"/>
              </w:rPr>
              <w:t>Non-GAAP selling, general and administrative expenses</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5,270</w:t>
            </w:r>
          </w:p>
        </w:tc>
        <w:tc>
          <w:tcPr>
            <w:tcW w:w="420" w:type="dxa"/>
            <w:vAlign w:val="bottom"/>
          </w:tcPr>
          <w:p>
            <w:pPr>
              <w:spacing w:after="0"/>
              <w:rPr>
                <w:sz w:val="17"/>
                <w:szCs w:val="17"/>
                <w:color w:val="auto"/>
              </w:rPr>
            </w:pP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5,265</w:t>
            </w:r>
          </w:p>
        </w:tc>
        <w:tc>
          <w:tcPr>
            <w:tcW w:w="4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5,643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footnotes on page B-5.</w:t>
      </w:r>
    </w:p>
    <w:p>
      <w:pPr>
        <w:sectPr>
          <w:pgSz w:w="11900" w:h="16838" w:orient="portrait"/>
          <w:cols w:equalWidth="0" w:num="1">
            <w:col w:w="11140"/>
          </w:cols>
          <w:pgMar w:left="320" w:top="486" w:right="439" w:bottom="1440" w:gutter="0" w:footer="0" w:header="0"/>
        </w:sectPr>
      </w:pPr>
    </w:p>
    <w:p>
      <w:pPr>
        <w:spacing w:after="0" w:line="135" w:lineRule="exact"/>
        <w:rPr>
          <w:sz w:val="20"/>
          <w:szCs w:val="20"/>
          <w:color w:val="auto"/>
        </w:rPr>
      </w:pPr>
    </w:p>
    <w:p>
      <w:pPr>
        <w:ind w:left="8520"/>
        <w:spacing w:after="0"/>
        <w:tabs>
          <w:tab w:leader="none" w:pos="108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-162560</wp:posOffset>
            </wp:positionV>
            <wp:extent cx="582930" cy="13716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20" w:right="480" w:hanging="161"/>
        <w:spacing w:after="0" w:line="259" w:lineRule="auto"/>
        <w:rPr>
          <w:sz w:val="20"/>
          <w:szCs w:val="20"/>
          <w:color w:val="auto"/>
        </w:rPr>
      </w:pPr>
      <w:r>
        <w:rPr>
          <w:rFonts w:ascii="Arial" w:cs="Arial" w:eastAsia="Arial" w:hAnsi="Arial"/>
          <w:sz w:val="16"/>
          <w:szCs w:val="16"/>
          <w:b w:val="1"/>
          <w:bCs w:val="1"/>
          <w:color w:val="auto"/>
        </w:rPr>
        <w:t>GAAP selling, general and administrative expenses as a percentage of product sales</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Acquisition-related expenses </w:t>
      </w:r>
      <w:r>
        <w:rPr>
          <w:rFonts w:ascii="Arial" w:cs="Arial" w:eastAsia="Arial" w:hAnsi="Arial"/>
          <w:sz w:val="16"/>
          <w:szCs w:val="16"/>
          <w:b w:val="1"/>
          <w:bCs w:val="1"/>
          <w:color w:val="auto"/>
        </w:rPr>
        <w:t>(a)</w:t>
      </w:r>
    </w:p>
    <w:p>
      <w:pPr>
        <w:spacing w:after="0" w:line="5" w:lineRule="exact"/>
        <w:rPr>
          <w:sz w:val="20"/>
          <w:szCs w:val="20"/>
          <w:color w:val="auto"/>
        </w:rPr>
      </w:pPr>
    </w:p>
    <w:p>
      <w:pPr>
        <w:ind w:left="880" w:right="260"/>
        <w:spacing w:after="0" w:line="251" w:lineRule="auto"/>
        <w:rPr>
          <w:sz w:val="20"/>
          <w:szCs w:val="20"/>
          <w:color w:val="auto"/>
        </w:rPr>
      </w:pPr>
      <w:r>
        <w:rPr>
          <w:rFonts w:ascii="Arial" w:cs="Arial" w:eastAsia="Arial" w:hAnsi="Arial"/>
          <w:sz w:val="16"/>
          <w:szCs w:val="16"/>
          <w:color w:val="auto"/>
        </w:rPr>
        <w:t>Certain net charges pursuant to our restructuring initiatives Other</w:t>
      </w:r>
    </w:p>
    <w:p>
      <w:pPr>
        <w:ind w:left="720" w:right="120" w:hanging="161"/>
        <w:spacing w:after="0" w:line="286" w:lineRule="auto"/>
        <w:rPr>
          <w:sz w:val="20"/>
          <w:szCs w:val="20"/>
          <w:color w:val="auto"/>
        </w:rPr>
      </w:pPr>
      <w:r>
        <w:rPr>
          <w:rFonts w:ascii="Arial" w:cs="Arial" w:eastAsia="Arial" w:hAnsi="Arial"/>
          <w:sz w:val="16"/>
          <w:szCs w:val="16"/>
          <w:b w:val="1"/>
          <w:bCs w:val="1"/>
          <w:color w:val="auto"/>
        </w:rPr>
        <w:t>Non-GAAP selling, general and administrative expenses as a percentage of product sales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GAAP operating expenses</w:t>
      </w:r>
    </w:p>
    <w:p>
      <w:pPr>
        <w:spacing w:after="0" w:line="2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Adjustments to operating expenses:</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Adjustments to cost of sales</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Adjustments to research and development expenses </w:t>
      </w:r>
      <w:r>
        <w:rPr>
          <w:rFonts w:ascii="Arial" w:cs="Arial" w:eastAsia="Arial" w:hAnsi="Arial"/>
          <w:sz w:val="16"/>
          <w:szCs w:val="16"/>
          <w:b w:val="1"/>
          <w:bCs w:val="1"/>
          <w:color w:val="auto"/>
        </w:rPr>
        <w:t>(b)</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Adjustments to acquired IPR&amp;D </w:t>
      </w:r>
      <w:r>
        <w:rPr>
          <w:rFonts w:ascii="Arial" w:cs="Arial" w:eastAsia="Arial" w:hAnsi="Arial"/>
          <w:sz w:val="16"/>
          <w:szCs w:val="16"/>
          <w:b w:val="1"/>
          <w:bCs w:val="1"/>
          <w:color w:val="auto"/>
        </w:rPr>
        <w:t>(b)</w:t>
      </w:r>
    </w:p>
    <w:p>
      <w:pPr>
        <w:spacing w:after="0" w:line="5" w:lineRule="exact"/>
        <w:rPr>
          <w:sz w:val="20"/>
          <w:szCs w:val="20"/>
          <w:color w:val="auto"/>
        </w:rPr>
      </w:pPr>
    </w:p>
    <w:p>
      <w:pPr>
        <w:ind w:left="880" w:right="180"/>
        <w:spacing w:after="0" w:line="246" w:lineRule="auto"/>
        <w:rPr>
          <w:sz w:val="20"/>
          <w:szCs w:val="20"/>
          <w:color w:val="auto"/>
        </w:rPr>
      </w:pPr>
      <w:r>
        <w:rPr>
          <w:rFonts w:ascii="Arial" w:cs="Arial" w:eastAsia="Arial" w:hAnsi="Arial"/>
          <w:sz w:val="16"/>
          <w:szCs w:val="16"/>
          <w:color w:val="auto"/>
        </w:rPr>
        <w:t>Adjustments to selling, general and administrative expenses Certain net charges pursuant to our cost savings and other</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restructuring initiatives</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Certain other expenses </w:t>
      </w:r>
      <w:r>
        <w:rPr>
          <w:rFonts w:ascii="Arial" w:cs="Arial" w:eastAsia="Arial" w:hAnsi="Arial"/>
          <w:sz w:val="16"/>
          <w:szCs w:val="16"/>
          <w:b w:val="1"/>
          <w:bCs w:val="1"/>
          <w:color w:val="auto"/>
        </w:rPr>
        <w:t>(c)</w:t>
      </w:r>
    </w:p>
    <w:p>
      <w:pPr>
        <w:spacing w:after="0" w:line="12" w:lineRule="exact"/>
        <w:rPr>
          <w:sz w:val="20"/>
          <w:szCs w:val="20"/>
          <w:color w:val="auto"/>
        </w:rPr>
      </w:pPr>
    </w:p>
    <w:p>
      <w:pPr>
        <w:ind w:left="560" w:right="1180" w:firstLine="486"/>
        <w:spacing w:after="0" w:line="321" w:lineRule="auto"/>
        <w:rPr>
          <w:sz w:val="20"/>
          <w:szCs w:val="20"/>
          <w:color w:val="auto"/>
        </w:rPr>
      </w:pPr>
      <w:r>
        <w:rPr>
          <w:rFonts w:ascii="Arial" w:cs="Arial" w:eastAsia="Arial" w:hAnsi="Arial"/>
          <w:sz w:val="16"/>
          <w:szCs w:val="16"/>
          <w:b w:val="1"/>
          <w:bCs w:val="1"/>
          <w:color w:val="auto"/>
        </w:rPr>
        <w:t>Total adjustments to operating expenses Non-GAAP operating expenses</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GAAP operating income</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Adjustments to operating expenses</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Non-GAAP operating income</w:t>
      </w:r>
    </w:p>
    <w:p>
      <w:pPr>
        <w:spacing w:after="0" w:line="167" w:lineRule="exact"/>
        <w:rPr>
          <w:sz w:val="20"/>
          <w:szCs w:val="20"/>
          <w:color w:val="auto"/>
        </w:rPr>
      </w:pPr>
    </w:p>
    <w:p>
      <w:pPr>
        <w:ind w:left="880" w:right="360" w:hanging="323"/>
        <w:spacing w:after="0" w:line="259" w:lineRule="auto"/>
        <w:rPr>
          <w:sz w:val="20"/>
          <w:szCs w:val="20"/>
          <w:color w:val="auto"/>
        </w:rPr>
      </w:pPr>
      <w:r>
        <w:rPr>
          <w:rFonts w:ascii="Arial" w:cs="Arial" w:eastAsia="Arial" w:hAnsi="Arial"/>
          <w:sz w:val="16"/>
          <w:szCs w:val="16"/>
          <w:b w:val="1"/>
          <w:bCs w:val="1"/>
          <w:color w:val="auto"/>
        </w:rPr>
        <w:t xml:space="preserve">GAAP operating income as a percentage of product sales </w:t>
      </w:r>
      <w:r>
        <w:rPr>
          <w:rFonts w:ascii="Arial" w:cs="Arial" w:eastAsia="Arial" w:hAnsi="Arial"/>
          <w:sz w:val="16"/>
          <w:szCs w:val="16"/>
          <w:color w:val="auto"/>
        </w:rPr>
        <w:t>Adjustments to cost of sales</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Adjustments to research and development expenses </w:t>
      </w:r>
      <w:r>
        <w:rPr>
          <w:rFonts w:ascii="Arial" w:cs="Arial" w:eastAsia="Arial" w:hAnsi="Arial"/>
          <w:sz w:val="16"/>
          <w:szCs w:val="16"/>
          <w:b w:val="1"/>
          <w:bCs w:val="1"/>
          <w:color w:val="auto"/>
        </w:rPr>
        <w:t>(b)</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Adjustments to acquired IPR&amp;D </w:t>
      </w:r>
      <w:r>
        <w:rPr>
          <w:rFonts w:ascii="Arial" w:cs="Arial" w:eastAsia="Arial" w:hAnsi="Arial"/>
          <w:sz w:val="16"/>
          <w:szCs w:val="16"/>
          <w:b w:val="1"/>
          <w:bCs w:val="1"/>
          <w:color w:val="auto"/>
        </w:rPr>
        <w:t>(b)</w:t>
      </w:r>
    </w:p>
    <w:p>
      <w:pPr>
        <w:spacing w:after="0" w:line="5" w:lineRule="exact"/>
        <w:rPr>
          <w:sz w:val="20"/>
          <w:szCs w:val="20"/>
          <w:color w:val="auto"/>
        </w:rPr>
      </w:pPr>
    </w:p>
    <w:p>
      <w:pPr>
        <w:ind w:left="880" w:right="180"/>
        <w:spacing w:after="0" w:line="246" w:lineRule="auto"/>
        <w:rPr>
          <w:sz w:val="20"/>
          <w:szCs w:val="20"/>
          <w:color w:val="auto"/>
        </w:rPr>
      </w:pPr>
      <w:r>
        <w:rPr>
          <w:rFonts w:ascii="Arial" w:cs="Arial" w:eastAsia="Arial" w:hAnsi="Arial"/>
          <w:sz w:val="16"/>
          <w:szCs w:val="16"/>
          <w:color w:val="auto"/>
        </w:rPr>
        <w:t>Adjustments to selling, general and administrative expenses Certain net charges pursuant to our cost savings and other</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restructuring initiatives</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Certain other expenses </w:t>
      </w:r>
      <w:r>
        <w:rPr>
          <w:rFonts w:ascii="Arial" w:cs="Arial" w:eastAsia="Arial" w:hAnsi="Arial"/>
          <w:sz w:val="16"/>
          <w:szCs w:val="16"/>
          <w:b w:val="1"/>
          <w:bCs w:val="1"/>
          <w:color w:val="auto"/>
        </w:rPr>
        <w:t>(c)</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Non-GAAP operating income as a percentage of product sales</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GAAP interest expense, net</w:t>
      </w:r>
    </w:p>
    <w:p>
      <w:pPr>
        <w:spacing w:after="0" w:line="2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Adjustments to interest expense, net:</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Acquisition-related interest expense </w:t>
      </w:r>
      <w:r>
        <w:rPr>
          <w:rFonts w:ascii="Arial" w:cs="Arial" w:eastAsia="Arial" w:hAnsi="Arial"/>
          <w:sz w:val="16"/>
          <w:szCs w:val="16"/>
          <w:b w:val="1"/>
          <w:bCs w:val="1"/>
          <w:color w:val="auto"/>
        </w:rPr>
        <w:t>(d)</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Non-GAAP interest expense, net</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GAAP other (expense) income, net</w:t>
      </w:r>
    </w:p>
    <w:p>
      <w:pPr>
        <w:spacing w:after="0" w:line="2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Adjustments to other (expense) income, net:</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Legal gains </w:t>
      </w:r>
      <w:r>
        <w:rPr>
          <w:rFonts w:ascii="Arial" w:cs="Arial" w:eastAsia="Arial" w:hAnsi="Arial"/>
          <w:sz w:val="16"/>
          <w:szCs w:val="16"/>
          <w:b w:val="1"/>
          <w:bCs w:val="1"/>
          <w:color w:val="auto"/>
        </w:rPr>
        <w:t>(e)</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Equity method investment basis difference amortization </w:t>
      </w:r>
      <w:r>
        <w:rPr>
          <w:rFonts w:ascii="Arial" w:cs="Arial" w:eastAsia="Arial" w:hAnsi="Arial"/>
          <w:sz w:val="16"/>
          <w:szCs w:val="16"/>
          <w:b w:val="1"/>
          <w:bCs w:val="1"/>
          <w:color w:val="auto"/>
        </w:rPr>
        <w:t>(e)</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Net losses (gains) from equity investments </w:t>
      </w:r>
      <w:r>
        <w:rPr>
          <w:rFonts w:ascii="Arial" w:cs="Arial" w:eastAsia="Arial" w:hAnsi="Arial"/>
          <w:sz w:val="16"/>
          <w:szCs w:val="16"/>
          <w:b w:val="1"/>
          <w:bCs w:val="1"/>
          <w:color w:val="auto"/>
        </w:rPr>
        <w:t>(e)</w:t>
      </w:r>
    </w:p>
    <w:p>
      <w:pPr>
        <w:spacing w:after="0" w:line="12" w:lineRule="exact"/>
        <w:rPr>
          <w:sz w:val="20"/>
          <w:szCs w:val="20"/>
          <w:color w:val="auto"/>
        </w:rPr>
      </w:pPr>
    </w:p>
    <w:p>
      <w:pPr>
        <w:ind w:left="560" w:right="540" w:firstLine="486"/>
        <w:spacing w:after="0" w:line="321" w:lineRule="auto"/>
        <w:rPr>
          <w:sz w:val="20"/>
          <w:szCs w:val="20"/>
          <w:color w:val="auto"/>
        </w:rPr>
      </w:pPr>
      <w:r>
        <w:rPr>
          <w:rFonts w:ascii="Arial" w:cs="Arial" w:eastAsia="Arial" w:hAnsi="Arial"/>
          <w:sz w:val="16"/>
          <w:szCs w:val="16"/>
          <w:b w:val="1"/>
          <w:bCs w:val="1"/>
          <w:color w:val="auto"/>
        </w:rPr>
        <w:t>Total adjustments to other (expense) income, net Non-GAAP other (expense) income, net</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GAAP income before income taxes</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Adjustments to operating expenses</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Adjustments to interest expense, net </w:t>
      </w:r>
      <w:r>
        <w:rPr>
          <w:rFonts w:ascii="Arial" w:cs="Arial" w:eastAsia="Arial" w:hAnsi="Arial"/>
          <w:sz w:val="16"/>
          <w:szCs w:val="16"/>
          <w:b w:val="1"/>
          <w:bCs w:val="1"/>
          <w:color w:val="auto"/>
        </w:rPr>
        <w:t>(d)</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Adjustments to other (expense) income, net </w:t>
      </w:r>
      <w:r>
        <w:rPr>
          <w:rFonts w:ascii="Arial" w:cs="Arial" w:eastAsia="Arial" w:hAnsi="Arial"/>
          <w:sz w:val="16"/>
          <w:szCs w:val="16"/>
          <w:b w:val="1"/>
          <w:bCs w:val="1"/>
          <w:color w:val="auto"/>
        </w:rPr>
        <w:t>(e)</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Non-GAAP income before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8"/>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Borders>
              <w:bottom w:val="single" w:sz="8" w:color="0171B9"/>
            </w:tcBorders>
            <w:gridSpan w:val="2"/>
            <w:shd w:val="clear" w:color="auto" w:fill="0171B9"/>
          </w:tcPr>
          <w:p>
            <w:pPr>
              <w:ind w:left="140"/>
              <w:spacing w:after="0"/>
              <w:rPr>
                <w:sz w:val="20"/>
                <w:szCs w:val="20"/>
                <w:color w:val="auto"/>
              </w:rPr>
            </w:pPr>
            <w:r>
              <w:rPr>
                <w:rFonts w:ascii="Arial" w:cs="Arial" w:eastAsia="Arial" w:hAnsi="Arial"/>
                <w:sz w:val="22"/>
                <w:szCs w:val="22"/>
                <w:b w:val="1"/>
                <w:bCs w:val="1"/>
                <w:color w:val="FFFFFF"/>
                <w:shd w:val="clear" w:color="auto" w:fill="0171B9"/>
              </w:rPr>
              <w:t>Appendix B</w:t>
            </w:r>
          </w:p>
        </w:tc>
      </w:tr>
      <w:tr>
        <w:trPr>
          <w:trHeight w:val="506"/>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Years ended December 31,</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176"/>
        </w:trPr>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9"/>
              <w:spacing w:after="0" w:line="175"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9"/>
              <w:spacing w:after="0" w:line="175" w:lineRule="exact"/>
              <w:rPr>
                <w:sz w:val="20"/>
                <w:szCs w:val="20"/>
                <w:color w:val="auto"/>
              </w:rPr>
            </w:pPr>
            <w:r>
              <w:rPr>
                <w:rFonts w:ascii="Arial" w:cs="Arial" w:eastAsia="Arial" w:hAnsi="Arial"/>
                <w:sz w:val="16"/>
                <w:szCs w:val="16"/>
                <w:b w:val="1"/>
                <w:bCs w:val="1"/>
                <w:color w:val="auto"/>
              </w:rPr>
              <w:t>2021</w:t>
            </w:r>
          </w:p>
        </w:tc>
        <w:tc>
          <w:tcPr>
            <w:tcW w:w="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40"/>
              <w:spacing w:after="0" w:line="175" w:lineRule="exact"/>
              <w:rPr>
                <w:sz w:val="20"/>
                <w:szCs w:val="20"/>
                <w:color w:val="auto"/>
              </w:rPr>
            </w:pPr>
            <w:r>
              <w:rPr>
                <w:rFonts w:ascii="Arial" w:cs="Arial" w:eastAsia="Arial" w:hAnsi="Arial"/>
                <w:sz w:val="16"/>
                <w:szCs w:val="16"/>
                <w:b w:val="1"/>
                <w:bCs w:val="1"/>
                <w:color w:val="auto"/>
              </w:rPr>
              <w:t>2020</w:t>
            </w:r>
          </w:p>
        </w:tc>
        <w:tc>
          <w:tcPr>
            <w:tcW w:w="500" w:type="dxa"/>
            <w:vAlign w:val="bottom"/>
          </w:tcPr>
          <w:p>
            <w:pPr>
              <w:spacing w:after="0"/>
              <w:rPr>
                <w:sz w:val="15"/>
                <w:szCs w:val="15"/>
                <w:color w:val="auto"/>
              </w:rPr>
            </w:pPr>
          </w:p>
        </w:tc>
      </w:tr>
      <w:tr>
        <w:trPr>
          <w:trHeight w:val="360"/>
        </w:trPr>
        <w:tc>
          <w:tcPr>
            <w:tcW w:w="2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21.8%</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6"/>
                <w:szCs w:val="16"/>
                <w:color w:val="auto"/>
              </w:rPr>
              <w:t>22.1%</w:t>
            </w:r>
          </w:p>
        </w:tc>
        <w:tc>
          <w:tcPr>
            <w:tcW w:w="260" w:type="dxa"/>
            <w:vAlign w:val="bottom"/>
          </w:tcPr>
          <w:p>
            <w:pPr>
              <w:spacing w:after="0"/>
              <w:rPr>
                <w:sz w:val="24"/>
                <w:szCs w:val="2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23.6%</w:t>
            </w:r>
          </w:p>
        </w:tc>
      </w:tr>
      <w:tr>
        <w:trPr>
          <w:trHeight w:val="189"/>
        </w:trPr>
        <w:tc>
          <w:tcPr>
            <w:tcW w:w="2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-0.4</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Arial" w:cs="Arial" w:eastAsia="Arial" w:hAnsi="Arial"/>
                <w:sz w:val="16"/>
                <w:szCs w:val="16"/>
                <w:color w:val="auto"/>
              </w:rPr>
              <w:t>-0.3</w:t>
            </w:r>
          </w:p>
        </w:tc>
        <w:tc>
          <w:tcPr>
            <w:tcW w:w="500" w:type="dxa"/>
            <w:vAlign w:val="bottom"/>
          </w:tcPr>
          <w:p>
            <w:pPr>
              <w:spacing w:after="0"/>
              <w:rPr>
                <w:sz w:val="16"/>
                <w:szCs w:val="16"/>
                <w:color w:val="auto"/>
              </w:rPr>
            </w:pPr>
          </w:p>
        </w:tc>
      </w:tr>
      <w:tr>
        <w:trPr>
          <w:trHeight w:val="189"/>
        </w:trPr>
        <w:tc>
          <w:tcPr>
            <w:tcW w:w="2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0.0</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Arial" w:cs="Arial" w:eastAsia="Arial" w:hAnsi="Arial"/>
                <w:sz w:val="16"/>
                <w:szCs w:val="16"/>
                <w:color w:val="auto"/>
              </w:rPr>
              <w:t>0.0</w:t>
            </w:r>
          </w:p>
        </w:tc>
        <w:tc>
          <w:tcPr>
            <w:tcW w:w="500" w:type="dxa"/>
            <w:vAlign w:val="bottom"/>
          </w:tcPr>
          <w:p>
            <w:pPr>
              <w:spacing w:after="0"/>
              <w:rPr>
                <w:sz w:val="16"/>
                <w:szCs w:val="16"/>
                <w:color w:val="auto"/>
              </w:rPr>
            </w:pPr>
          </w:p>
        </w:tc>
      </w:tr>
      <w:tr>
        <w:trPr>
          <w:trHeight w:val="187"/>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0.0</w:t>
            </w:r>
          </w:p>
        </w:tc>
        <w:tc>
          <w:tcPr>
            <w:tcW w:w="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0.0</w:t>
            </w:r>
          </w:p>
        </w:tc>
        <w:tc>
          <w:tcPr>
            <w:tcW w:w="500" w:type="dxa"/>
            <w:vAlign w:val="bottom"/>
          </w:tcPr>
          <w:p>
            <w:pPr>
              <w:spacing w:after="0"/>
              <w:rPr>
                <w:sz w:val="16"/>
                <w:szCs w:val="16"/>
                <w:color w:val="auto"/>
              </w:rPr>
            </w:pPr>
          </w:p>
        </w:tc>
      </w:tr>
      <w:tr>
        <w:trPr>
          <w:trHeight w:val="385"/>
        </w:trPr>
        <w:tc>
          <w:tcPr>
            <w:tcW w:w="2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21.2%</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6"/>
                <w:szCs w:val="16"/>
                <w:color w:val="auto"/>
              </w:rPr>
              <w:t>21.7%</w:t>
            </w:r>
          </w:p>
        </w:tc>
        <w:tc>
          <w:tcPr>
            <w:tcW w:w="260" w:type="dxa"/>
            <w:vAlign w:val="bottom"/>
          </w:tcPr>
          <w:p>
            <w:pPr>
              <w:spacing w:after="0"/>
              <w:rPr>
                <w:sz w:val="24"/>
                <w:szCs w:val="2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23.3%</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98"/>
        </w:trPr>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16,757</w:t>
            </w:r>
          </w:p>
        </w:tc>
        <w:tc>
          <w:tcPr>
            <w:tcW w:w="80" w:type="dxa"/>
            <w:vAlign w:val="bottom"/>
          </w:tcPr>
          <w:p>
            <w:pPr>
              <w:spacing w:after="0"/>
              <w:rPr>
                <w:sz w:val="24"/>
                <w:szCs w:val="24"/>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18,340</w:t>
            </w:r>
          </w:p>
        </w:tc>
        <w:tc>
          <w:tcPr>
            <w:tcW w:w="6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8"/>
              <w:spacing w:after="0"/>
              <w:rPr>
                <w:sz w:val="20"/>
                <w:szCs w:val="20"/>
                <w:color w:val="auto"/>
              </w:rPr>
            </w:pPr>
            <w:r>
              <w:rPr>
                <w:rFonts w:ascii="Arial" w:cs="Arial" w:eastAsia="Arial" w:hAnsi="Arial"/>
                <w:sz w:val="16"/>
                <w:szCs w:val="16"/>
                <w:color w:val="auto"/>
              </w:rPr>
              <w:t>16,285</w:t>
            </w:r>
          </w:p>
        </w:tc>
        <w:tc>
          <w:tcPr>
            <w:tcW w:w="500" w:type="dxa"/>
            <w:vAlign w:val="bottom"/>
          </w:tcPr>
          <w:p>
            <w:pPr>
              <w:spacing w:after="0"/>
              <w:rPr>
                <w:sz w:val="24"/>
                <w:szCs w:val="24"/>
                <w:color w:val="auto"/>
              </w:rPr>
            </w:pPr>
          </w:p>
        </w:tc>
      </w:tr>
      <w:tr>
        <w:trPr>
          <w:trHeight w:val="372"/>
        </w:trPr>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(2,455)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(2,460)</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8"/>
              <w:spacing w:after="0"/>
              <w:rPr>
                <w:sz w:val="20"/>
                <w:szCs w:val="20"/>
                <w:color w:val="auto"/>
              </w:rPr>
            </w:pPr>
            <w:r>
              <w:rPr>
                <w:rFonts w:ascii="Arial" w:cs="Arial" w:eastAsia="Arial" w:hAnsi="Arial"/>
                <w:sz w:val="16"/>
                <w:szCs w:val="16"/>
                <w:color w:val="auto"/>
              </w:rPr>
              <w:t>(2,797)</w:t>
            </w:r>
          </w:p>
        </w:tc>
        <w:tc>
          <w:tcPr>
            <w:tcW w:w="500" w:type="dxa"/>
            <w:vAlign w:val="bottom"/>
          </w:tcPr>
          <w:p>
            <w:pPr>
              <w:spacing w:after="0"/>
              <w:rPr>
                <w:sz w:val="24"/>
                <w:szCs w:val="24"/>
                <w:color w:val="auto"/>
              </w:rPr>
            </w:pPr>
          </w:p>
        </w:tc>
      </w:tr>
      <w:tr>
        <w:trPr>
          <w:trHeight w:val="189"/>
        </w:trPr>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(523)</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18"/>
              <w:spacing w:after="0"/>
              <w:rPr>
                <w:sz w:val="20"/>
                <w:szCs w:val="20"/>
                <w:color w:val="auto"/>
              </w:rPr>
            </w:pPr>
            <w:r>
              <w:rPr>
                <w:rFonts w:ascii="Arial" w:cs="Arial" w:eastAsia="Arial" w:hAnsi="Arial"/>
                <w:sz w:val="16"/>
                <w:szCs w:val="16"/>
                <w:color w:val="auto"/>
              </w:rPr>
              <w:t>(122)</w:t>
            </w:r>
          </w:p>
        </w:tc>
        <w:tc>
          <w:tcPr>
            <w:tcW w:w="500" w:type="dxa"/>
            <w:vAlign w:val="bottom"/>
          </w:tcPr>
          <w:p>
            <w:pPr>
              <w:spacing w:after="0"/>
              <w:rPr>
                <w:sz w:val="16"/>
                <w:szCs w:val="16"/>
                <w:color w:val="auto"/>
              </w:rPr>
            </w:pPr>
          </w:p>
        </w:tc>
      </w:tr>
      <w:tr>
        <w:trPr>
          <w:trHeight w:val="189"/>
        </w:trPr>
        <w:tc>
          <w:tcPr>
            <w:tcW w:w="2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(1,505)</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r>
      <w:tr>
        <w:trPr>
          <w:trHeight w:val="195"/>
        </w:trPr>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18"/>
              <w:spacing w:after="0"/>
              <w:rPr>
                <w:sz w:val="20"/>
                <w:szCs w:val="20"/>
                <w:color w:val="auto"/>
              </w:rPr>
            </w:pPr>
            <w:r>
              <w:rPr>
                <w:rFonts w:ascii="Arial" w:cs="Arial" w:eastAsia="Arial" w:hAnsi="Arial"/>
                <w:sz w:val="16"/>
                <w:szCs w:val="16"/>
                <w:color w:val="auto"/>
              </w:rPr>
              <w:t>(87)</w:t>
            </w:r>
          </w:p>
        </w:tc>
        <w:tc>
          <w:tcPr>
            <w:tcW w:w="500" w:type="dxa"/>
            <w:vAlign w:val="bottom"/>
          </w:tcPr>
          <w:p>
            <w:pPr>
              <w:spacing w:after="0"/>
              <w:rPr>
                <w:sz w:val="16"/>
                <w:szCs w:val="16"/>
                <w:color w:val="auto"/>
              </w:rPr>
            </w:pPr>
          </w:p>
        </w:tc>
      </w:tr>
      <w:tr>
        <w:trPr>
          <w:trHeight w:val="372"/>
        </w:trPr>
        <w:tc>
          <w:tcPr>
            <w:tcW w:w="28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58"/>
              <w:spacing w:after="0"/>
              <w:rPr>
                <w:sz w:val="20"/>
                <w:szCs w:val="20"/>
                <w:color w:val="auto"/>
              </w:rPr>
            </w:pPr>
            <w:r>
              <w:rPr>
                <w:rFonts w:ascii="Arial" w:cs="Arial" w:eastAsia="Arial" w:hAnsi="Arial"/>
                <w:sz w:val="16"/>
                <w:szCs w:val="16"/>
                <w:color w:val="auto"/>
              </w:rPr>
              <w:t>5</w:t>
            </w:r>
          </w:p>
        </w:tc>
        <w:tc>
          <w:tcPr>
            <w:tcW w:w="500" w:type="dxa"/>
            <w:vAlign w:val="bottom"/>
          </w:tcPr>
          <w:p>
            <w:pPr>
              <w:spacing w:after="0"/>
              <w:rPr>
                <w:sz w:val="24"/>
                <w:szCs w:val="24"/>
                <w:color w:val="auto"/>
              </w:rPr>
            </w:pPr>
          </w:p>
        </w:tc>
      </w:tr>
      <w:tr>
        <w:trPr>
          <w:trHeight w:val="187"/>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(194)</w:t>
            </w:r>
          </w:p>
        </w:tc>
        <w:tc>
          <w:tcPr>
            <w:tcW w:w="500" w:type="dxa"/>
            <w:vAlign w:val="bottom"/>
          </w:tcPr>
          <w:p>
            <w:pPr>
              <w:spacing w:after="0"/>
              <w:rPr>
                <w:sz w:val="16"/>
                <w:szCs w:val="16"/>
                <w:color w:val="auto"/>
              </w:rPr>
            </w:pPr>
          </w:p>
        </w:tc>
      </w:tr>
      <w:tr>
        <w:trPr>
          <w:trHeight w:val="196"/>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(4,785)</w:t>
            </w:r>
          </w:p>
        </w:tc>
        <w:tc>
          <w:tcPr>
            <w:tcW w:w="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(3,195)</w:t>
            </w:r>
          </w:p>
        </w:tc>
        <w:tc>
          <w:tcPr>
            <w:tcW w:w="500" w:type="dxa"/>
            <w:vAlign w:val="bottom"/>
          </w:tcPr>
          <w:p>
            <w:pPr>
              <w:spacing w:after="0"/>
              <w:rPr>
                <w:sz w:val="17"/>
                <w:szCs w:val="17"/>
                <w:color w:val="auto"/>
              </w:rPr>
            </w:pPr>
          </w:p>
        </w:tc>
      </w:tr>
      <w:tr>
        <w:trPr>
          <w:trHeight w:val="196"/>
        </w:trPr>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13,562</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13,555</w:t>
            </w:r>
          </w:p>
        </w:tc>
        <w:tc>
          <w:tcPr>
            <w:tcW w:w="600" w:type="dxa"/>
            <w:vAlign w:val="bottom"/>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13,090</w:t>
            </w:r>
          </w:p>
        </w:tc>
        <w:tc>
          <w:tcPr>
            <w:tcW w:w="500" w:type="dxa"/>
            <w:vAlign w:val="bottom"/>
          </w:tcPr>
          <w:p>
            <w:pPr>
              <w:spacing w:after="0"/>
              <w:rPr>
                <w:sz w:val="17"/>
                <w:szCs w:val="17"/>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93"/>
        </w:trPr>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9,566</w:t>
            </w:r>
          </w:p>
        </w:tc>
        <w:tc>
          <w:tcPr>
            <w:tcW w:w="80" w:type="dxa"/>
            <w:vAlign w:val="bottom"/>
          </w:tcPr>
          <w:p>
            <w:pPr>
              <w:spacing w:after="0"/>
              <w:rPr>
                <w:sz w:val="24"/>
                <w:szCs w:val="24"/>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7,639</w:t>
            </w:r>
          </w:p>
        </w:tc>
        <w:tc>
          <w:tcPr>
            <w:tcW w:w="6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8"/>
              <w:spacing w:after="0"/>
              <w:rPr>
                <w:sz w:val="20"/>
                <w:szCs w:val="20"/>
                <w:color w:val="auto"/>
              </w:rPr>
            </w:pPr>
            <w:r>
              <w:rPr>
                <w:rFonts w:ascii="Arial" w:cs="Arial" w:eastAsia="Arial" w:hAnsi="Arial"/>
                <w:sz w:val="16"/>
                <w:szCs w:val="16"/>
                <w:color w:val="auto"/>
              </w:rPr>
              <w:t>9,139</w:t>
            </w:r>
          </w:p>
        </w:tc>
        <w:tc>
          <w:tcPr>
            <w:tcW w:w="500" w:type="dxa"/>
            <w:vAlign w:val="bottom"/>
          </w:tcPr>
          <w:p>
            <w:pPr>
              <w:spacing w:after="0"/>
              <w:rPr>
                <w:sz w:val="24"/>
                <w:szCs w:val="24"/>
                <w:color w:val="auto"/>
              </w:rPr>
            </w:pPr>
          </w:p>
        </w:tc>
      </w:tr>
      <w:tr>
        <w:trPr>
          <w:trHeight w:val="187"/>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3,195</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4,785</w:t>
            </w:r>
          </w:p>
        </w:tc>
        <w:tc>
          <w:tcPr>
            <w:tcW w:w="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3,195</w:t>
            </w:r>
          </w:p>
        </w:tc>
        <w:tc>
          <w:tcPr>
            <w:tcW w:w="500" w:type="dxa"/>
            <w:vAlign w:val="bottom"/>
          </w:tcPr>
          <w:p>
            <w:pPr>
              <w:spacing w:after="0"/>
              <w:rPr>
                <w:sz w:val="16"/>
                <w:szCs w:val="16"/>
                <w:color w:val="auto"/>
              </w:rPr>
            </w:pPr>
          </w:p>
        </w:tc>
      </w:tr>
      <w:tr>
        <w:trPr>
          <w:trHeight w:val="196"/>
        </w:trPr>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12,761</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12,424</w:t>
            </w:r>
          </w:p>
        </w:tc>
        <w:tc>
          <w:tcPr>
            <w:tcW w:w="600" w:type="dxa"/>
            <w:vAlign w:val="bottom"/>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12,334</w:t>
            </w:r>
          </w:p>
        </w:tc>
        <w:tc>
          <w:tcPr>
            <w:tcW w:w="500" w:type="dxa"/>
            <w:vAlign w:val="bottom"/>
          </w:tcPr>
          <w:p>
            <w:pPr>
              <w:spacing w:after="0"/>
              <w:rPr>
                <w:sz w:val="17"/>
                <w:szCs w:val="17"/>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93"/>
        </w:trPr>
        <w:tc>
          <w:tcPr>
            <w:tcW w:w="2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38.6%</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6"/>
                <w:szCs w:val="16"/>
                <w:color w:val="auto"/>
              </w:rPr>
              <w:t>31.4%</w:t>
            </w:r>
          </w:p>
        </w:tc>
        <w:tc>
          <w:tcPr>
            <w:tcW w:w="260" w:type="dxa"/>
            <w:vAlign w:val="bottom"/>
          </w:tcPr>
          <w:p>
            <w:pPr>
              <w:spacing w:after="0"/>
              <w:rPr>
                <w:sz w:val="24"/>
                <w:szCs w:val="2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37.7%</w:t>
            </w:r>
          </w:p>
        </w:tc>
      </w:tr>
      <w:tr>
        <w:trPr>
          <w:trHeight w:val="189"/>
        </w:trPr>
        <w:tc>
          <w:tcPr>
            <w:tcW w:w="2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10.2</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Arial" w:cs="Arial" w:eastAsia="Arial" w:hAnsi="Arial"/>
                <w:sz w:val="16"/>
                <w:szCs w:val="16"/>
                <w:color w:val="auto"/>
              </w:rPr>
              <w:t>11.5</w:t>
            </w:r>
          </w:p>
        </w:tc>
        <w:tc>
          <w:tcPr>
            <w:tcW w:w="500" w:type="dxa"/>
            <w:vAlign w:val="bottom"/>
          </w:tcPr>
          <w:p>
            <w:pPr>
              <w:spacing w:after="0"/>
              <w:rPr>
                <w:sz w:val="16"/>
                <w:szCs w:val="16"/>
                <w:color w:val="auto"/>
              </w:rPr>
            </w:pPr>
          </w:p>
        </w:tc>
      </w:tr>
      <w:tr>
        <w:trPr>
          <w:trHeight w:val="189"/>
        </w:trPr>
        <w:tc>
          <w:tcPr>
            <w:tcW w:w="2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Arial" w:cs="Arial" w:eastAsia="Arial" w:hAnsi="Arial"/>
                <w:sz w:val="16"/>
                <w:szCs w:val="16"/>
                <w:color w:val="auto"/>
              </w:rPr>
              <w:t>0.5</w:t>
            </w:r>
          </w:p>
        </w:tc>
        <w:tc>
          <w:tcPr>
            <w:tcW w:w="500" w:type="dxa"/>
            <w:vAlign w:val="bottom"/>
          </w:tcPr>
          <w:p>
            <w:pPr>
              <w:spacing w:after="0"/>
              <w:rPr>
                <w:sz w:val="16"/>
                <w:szCs w:val="16"/>
                <w:color w:val="auto"/>
              </w:rPr>
            </w:pPr>
          </w:p>
        </w:tc>
      </w:tr>
      <w:tr>
        <w:trPr>
          <w:trHeight w:val="189"/>
        </w:trPr>
        <w:tc>
          <w:tcPr>
            <w:tcW w:w="2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6.2</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Arial" w:cs="Arial" w:eastAsia="Arial" w:hAnsi="Arial"/>
                <w:sz w:val="16"/>
                <w:szCs w:val="16"/>
                <w:color w:val="auto"/>
              </w:rPr>
              <w:t>0.0</w:t>
            </w:r>
          </w:p>
        </w:tc>
        <w:tc>
          <w:tcPr>
            <w:tcW w:w="500" w:type="dxa"/>
            <w:vAlign w:val="bottom"/>
          </w:tcPr>
          <w:p>
            <w:pPr>
              <w:spacing w:after="0"/>
              <w:rPr>
                <w:sz w:val="16"/>
                <w:szCs w:val="16"/>
                <w:color w:val="auto"/>
              </w:rPr>
            </w:pPr>
          </w:p>
        </w:tc>
      </w:tr>
      <w:tr>
        <w:trPr>
          <w:trHeight w:val="195"/>
        </w:trPr>
        <w:tc>
          <w:tcPr>
            <w:tcW w:w="2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0.4</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Arial" w:cs="Arial" w:eastAsia="Arial" w:hAnsi="Arial"/>
                <w:sz w:val="16"/>
                <w:szCs w:val="16"/>
                <w:color w:val="auto"/>
              </w:rPr>
              <w:t>0.4</w:t>
            </w:r>
          </w:p>
        </w:tc>
        <w:tc>
          <w:tcPr>
            <w:tcW w:w="500" w:type="dxa"/>
            <w:vAlign w:val="bottom"/>
          </w:tcPr>
          <w:p>
            <w:pPr>
              <w:spacing w:after="0"/>
              <w:rPr>
                <w:sz w:val="16"/>
                <w:szCs w:val="16"/>
                <w:color w:val="auto"/>
              </w:rPr>
            </w:pPr>
          </w:p>
        </w:tc>
      </w:tr>
      <w:tr>
        <w:trPr>
          <w:trHeight w:val="372"/>
        </w:trPr>
        <w:tc>
          <w:tcPr>
            <w:tcW w:w="28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0.5</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58"/>
              <w:spacing w:after="0"/>
              <w:rPr>
                <w:sz w:val="20"/>
                <w:szCs w:val="20"/>
                <w:color w:val="auto"/>
              </w:rPr>
            </w:pPr>
            <w:r>
              <w:rPr>
                <w:rFonts w:ascii="Arial" w:cs="Arial" w:eastAsia="Arial" w:hAnsi="Arial"/>
                <w:sz w:val="16"/>
                <w:szCs w:val="16"/>
                <w:color w:val="auto"/>
              </w:rPr>
              <w:t>0.0</w:t>
            </w:r>
          </w:p>
        </w:tc>
        <w:tc>
          <w:tcPr>
            <w:tcW w:w="500" w:type="dxa"/>
            <w:vAlign w:val="bottom"/>
          </w:tcPr>
          <w:p>
            <w:pPr>
              <w:spacing w:after="0"/>
              <w:rPr>
                <w:sz w:val="24"/>
                <w:szCs w:val="24"/>
                <w:color w:val="auto"/>
              </w:rPr>
            </w:pPr>
          </w:p>
        </w:tc>
      </w:tr>
      <w:tr>
        <w:trPr>
          <w:trHeight w:val="187"/>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0.3</w:t>
            </w:r>
          </w:p>
        </w:tc>
        <w:tc>
          <w:tcPr>
            <w:tcW w:w="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0.8</w:t>
            </w:r>
          </w:p>
        </w:tc>
        <w:tc>
          <w:tcPr>
            <w:tcW w:w="500" w:type="dxa"/>
            <w:vAlign w:val="bottom"/>
          </w:tcPr>
          <w:p>
            <w:pPr>
              <w:spacing w:after="0"/>
              <w:rPr>
                <w:sz w:val="16"/>
                <w:szCs w:val="16"/>
                <w:color w:val="auto"/>
              </w:rPr>
            </w:pPr>
          </w:p>
        </w:tc>
      </w:tr>
      <w:tr>
        <w:trPr>
          <w:trHeight w:val="196"/>
        </w:trPr>
        <w:tc>
          <w:tcPr>
            <w:tcW w:w="2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51.5%</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6"/>
                <w:szCs w:val="16"/>
                <w:color w:val="auto"/>
              </w:rPr>
              <w:t>51.1%</w:t>
            </w:r>
          </w:p>
        </w:tc>
        <w:tc>
          <w:tcPr>
            <w:tcW w:w="260" w:type="dxa"/>
            <w:vAlign w:val="bottom"/>
          </w:tcPr>
          <w:p>
            <w:pPr>
              <w:spacing w:after="0"/>
              <w:rPr>
                <w:sz w:val="17"/>
                <w:szCs w:val="17"/>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50.9%</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98"/>
        </w:trPr>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(1,406)</w:t>
            </w:r>
          </w:p>
        </w:tc>
        <w:tc>
          <w:tcPr>
            <w:tcW w:w="80" w:type="dxa"/>
            <w:vAlign w:val="bottom"/>
          </w:tcPr>
          <w:p>
            <w:pPr>
              <w:spacing w:after="0"/>
              <w:rPr>
                <w:sz w:val="24"/>
                <w:szCs w:val="24"/>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(1,197)</w:t>
            </w:r>
          </w:p>
        </w:tc>
        <w:tc>
          <w:tcPr>
            <w:tcW w:w="6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8"/>
              <w:spacing w:after="0"/>
              <w:rPr>
                <w:sz w:val="20"/>
                <w:szCs w:val="20"/>
                <w:color w:val="auto"/>
              </w:rPr>
            </w:pPr>
            <w:r>
              <w:rPr>
                <w:rFonts w:ascii="Arial" w:cs="Arial" w:eastAsia="Arial" w:hAnsi="Arial"/>
                <w:sz w:val="16"/>
                <w:szCs w:val="16"/>
                <w:color w:val="auto"/>
              </w:rPr>
              <w:t>(1,262)</w:t>
            </w:r>
          </w:p>
        </w:tc>
        <w:tc>
          <w:tcPr>
            <w:tcW w:w="500" w:type="dxa"/>
            <w:vAlign w:val="bottom"/>
          </w:tcPr>
          <w:p>
            <w:pPr>
              <w:spacing w:after="0"/>
              <w:rPr>
                <w:sz w:val="24"/>
                <w:szCs w:val="24"/>
                <w:color w:val="auto"/>
              </w:rPr>
            </w:pPr>
          </w:p>
        </w:tc>
      </w:tr>
      <w:tr>
        <w:trPr>
          <w:trHeight w:val="37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r>
      <w:tr>
        <w:trPr>
          <w:trHeight w:val="196"/>
        </w:trPr>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w:t>
            </w:r>
          </w:p>
        </w:tc>
        <w:tc>
          <w:tcPr>
            <w:tcW w:w="600" w:type="dxa"/>
            <w:vAlign w:val="bottom"/>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(1,262)</w:t>
            </w:r>
          </w:p>
        </w:tc>
        <w:tc>
          <w:tcPr>
            <w:tcW w:w="500" w:type="dxa"/>
            <w:vAlign w:val="bottom"/>
          </w:tcPr>
          <w:p>
            <w:pPr>
              <w:spacing w:after="0"/>
              <w:rPr>
                <w:sz w:val="17"/>
                <w:szCs w:val="17"/>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98"/>
        </w:trPr>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(814)</w:t>
            </w:r>
          </w:p>
        </w:tc>
        <w:tc>
          <w:tcPr>
            <w:tcW w:w="80" w:type="dxa"/>
            <w:vAlign w:val="bottom"/>
          </w:tcPr>
          <w:p>
            <w:pPr>
              <w:spacing w:after="0"/>
              <w:rPr>
                <w:sz w:val="24"/>
                <w:szCs w:val="24"/>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259</w:t>
            </w:r>
          </w:p>
        </w:tc>
        <w:tc>
          <w:tcPr>
            <w:tcW w:w="6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8"/>
              <w:spacing w:after="0"/>
              <w:rPr>
                <w:sz w:val="20"/>
                <w:szCs w:val="20"/>
                <w:color w:val="auto"/>
              </w:rPr>
            </w:pPr>
            <w:r>
              <w:rPr>
                <w:rFonts w:ascii="Arial" w:cs="Arial" w:eastAsia="Arial" w:hAnsi="Arial"/>
                <w:sz w:val="16"/>
                <w:szCs w:val="16"/>
                <w:color w:val="auto"/>
              </w:rPr>
              <w:t>256</w:t>
            </w:r>
          </w:p>
        </w:tc>
        <w:tc>
          <w:tcPr>
            <w:tcW w:w="500" w:type="dxa"/>
            <w:vAlign w:val="bottom"/>
          </w:tcPr>
          <w:p>
            <w:pPr>
              <w:spacing w:after="0"/>
              <w:rPr>
                <w:sz w:val="24"/>
                <w:szCs w:val="24"/>
                <w:color w:val="auto"/>
              </w:rPr>
            </w:pPr>
          </w:p>
        </w:tc>
      </w:tr>
      <w:tr>
        <w:trPr>
          <w:trHeight w:val="372"/>
        </w:trPr>
        <w:tc>
          <w:tcPr>
            <w:tcW w:w="2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20" w:type="dxa"/>
            <w:vAlign w:val="bottom"/>
          </w:tcPr>
          <w:p>
            <w:pPr>
              <w:jc w:val="right"/>
              <w:ind w:right="18"/>
              <w:spacing w:after="0"/>
              <w:rPr>
                <w:sz w:val="20"/>
                <w:szCs w:val="20"/>
                <w:color w:val="auto"/>
              </w:rPr>
            </w:pPr>
            <w:r>
              <w:rPr>
                <w:rFonts w:ascii="Arial" w:cs="Arial" w:eastAsia="Arial" w:hAnsi="Arial"/>
                <w:sz w:val="16"/>
                <w:szCs w:val="16"/>
                <w:color w:val="auto"/>
              </w:rPr>
              <w:t>(72)</w:t>
            </w:r>
          </w:p>
        </w:tc>
        <w:tc>
          <w:tcPr>
            <w:tcW w:w="500" w:type="dxa"/>
            <w:vAlign w:val="bottom"/>
          </w:tcPr>
          <w:p>
            <w:pPr>
              <w:spacing w:after="0"/>
              <w:rPr>
                <w:sz w:val="24"/>
                <w:szCs w:val="24"/>
                <w:color w:val="auto"/>
              </w:rPr>
            </w:pPr>
          </w:p>
        </w:tc>
      </w:tr>
      <w:tr>
        <w:trPr>
          <w:trHeight w:val="189"/>
        </w:trPr>
        <w:tc>
          <w:tcPr>
            <w:tcW w:w="2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173</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Arial" w:cs="Arial" w:eastAsia="Arial" w:hAnsi="Arial"/>
                <w:sz w:val="16"/>
                <w:szCs w:val="16"/>
                <w:color w:val="auto"/>
              </w:rPr>
              <w:t>109</w:t>
            </w:r>
          </w:p>
        </w:tc>
        <w:tc>
          <w:tcPr>
            <w:tcW w:w="500" w:type="dxa"/>
            <w:vAlign w:val="bottom"/>
          </w:tcPr>
          <w:p>
            <w:pPr>
              <w:spacing w:after="0"/>
              <w:rPr>
                <w:sz w:val="16"/>
                <w:szCs w:val="16"/>
                <w:color w:val="auto"/>
              </w:rPr>
            </w:pPr>
          </w:p>
        </w:tc>
      </w:tr>
      <w:tr>
        <w:trPr>
          <w:trHeight w:val="187"/>
        </w:trPr>
        <w:tc>
          <w:tcPr>
            <w:tcW w:w="2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(421)</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r>
      <w:tr>
        <w:trPr>
          <w:trHeight w:val="196"/>
        </w:trPr>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6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color w:val="auto"/>
              </w:rPr>
              <w:t>37</w:t>
            </w:r>
          </w:p>
        </w:tc>
        <w:tc>
          <w:tcPr>
            <w:tcW w:w="500" w:type="dxa"/>
            <w:vAlign w:val="bottom"/>
          </w:tcPr>
          <w:p>
            <w:pPr>
              <w:spacing w:after="0"/>
              <w:rPr>
                <w:sz w:val="17"/>
                <w:szCs w:val="17"/>
                <w:color w:val="auto"/>
              </w:rPr>
            </w:pPr>
          </w:p>
        </w:tc>
      </w:tr>
      <w:tr>
        <w:trPr>
          <w:trHeight w:val="196"/>
        </w:trPr>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w:t>
            </w:r>
          </w:p>
        </w:tc>
        <w:tc>
          <w:tcPr>
            <w:tcW w:w="600" w:type="dxa"/>
            <w:vAlign w:val="bottom"/>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293</w:t>
            </w:r>
          </w:p>
        </w:tc>
        <w:tc>
          <w:tcPr>
            <w:tcW w:w="500" w:type="dxa"/>
            <w:vAlign w:val="bottom"/>
          </w:tcPr>
          <w:p>
            <w:pPr>
              <w:spacing w:after="0"/>
              <w:rPr>
                <w:sz w:val="17"/>
                <w:szCs w:val="17"/>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93"/>
        </w:trPr>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7,346</w:t>
            </w:r>
          </w:p>
        </w:tc>
        <w:tc>
          <w:tcPr>
            <w:tcW w:w="80" w:type="dxa"/>
            <w:vAlign w:val="bottom"/>
          </w:tcPr>
          <w:p>
            <w:pPr>
              <w:spacing w:after="0"/>
              <w:rPr>
                <w:sz w:val="24"/>
                <w:szCs w:val="24"/>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6,701</w:t>
            </w:r>
          </w:p>
        </w:tc>
        <w:tc>
          <w:tcPr>
            <w:tcW w:w="6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8"/>
              <w:spacing w:after="0"/>
              <w:rPr>
                <w:sz w:val="20"/>
                <w:szCs w:val="20"/>
                <w:color w:val="auto"/>
              </w:rPr>
            </w:pPr>
            <w:r>
              <w:rPr>
                <w:rFonts w:ascii="Arial" w:cs="Arial" w:eastAsia="Arial" w:hAnsi="Arial"/>
                <w:sz w:val="16"/>
                <w:szCs w:val="16"/>
                <w:color w:val="auto"/>
              </w:rPr>
              <w:t>8,133</w:t>
            </w:r>
          </w:p>
        </w:tc>
        <w:tc>
          <w:tcPr>
            <w:tcW w:w="500" w:type="dxa"/>
            <w:vAlign w:val="bottom"/>
          </w:tcPr>
          <w:p>
            <w:pPr>
              <w:spacing w:after="0"/>
              <w:rPr>
                <w:sz w:val="24"/>
                <w:szCs w:val="24"/>
                <w:color w:val="auto"/>
              </w:rPr>
            </w:pPr>
          </w:p>
        </w:tc>
      </w:tr>
      <w:tr>
        <w:trPr>
          <w:trHeight w:val="189"/>
        </w:trPr>
        <w:tc>
          <w:tcPr>
            <w:tcW w:w="2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3,195</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4,785</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58"/>
              <w:spacing w:after="0"/>
              <w:rPr>
                <w:sz w:val="20"/>
                <w:szCs w:val="20"/>
                <w:color w:val="auto"/>
              </w:rPr>
            </w:pPr>
            <w:r>
              <w:rPr>
                <w:rFonts w:ascii="Arial" w:cs="Arial" w:eastAsia="Arial" w:hAnsi="Arial"/>
                <w:sz w:val="16"/>
                <w:szCs w:val="16"/>
                <w:color w:val="auto"/>
              </w:rPr>
              <w:t>3,195</w:t>
            </w:r>
          </w:p>
        </w:tc>
        <w:tc>
          <w:tcPr>
            <w:tcW w:w="500" w:type="dxa"/>
            <w:vAlign w:val="bottom"/>
          </w:tcPr>
          <w:p>
            <w:pPr>
              <w:spacing w:after="0"/>
              <w:rPr>
                <w:sz w:val="16"/>
                <w:szCs w:val="16"/>
                <w:color w:val="auto"/>
              </w:rPr>
            </w:pPr>
          </w:p>
        </w:tc>
      </w:tr>
      <w:tr>
        <w:trPr>
          <w:trHeight w:val="189"/>
        </w:trPr>
        <w:tc>
          <w:tcPr>
            <w:tcW w:w="2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r>
      <w:tr>
        <w:trPr>
          <w:trHeight w:val="187"/>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37</w:t>
            </w:r>
          </w:p>
        </w:tc>
        <w:tc>
          <w:tcPr>
            <w:tcW w:w="500" w:type="dxa"/>
            <w:vAlign w:val="bottom"/>
          </w:tcPr>
          <w:p>
            <w:pPr>
              <w:spacing w:after="0"/>
              <w:rPr>
                <w:sz w:val="16"/>
                <w:szCs w:val="16"/>
                <w:color w:val="auto"/>
              </w:rPr>
            </w:pPr>
          </w:p>
        </w:tc>
      </w:tr>
      <w:tr>
        <w:trPr>
          <w:trHeight w:val="196"/>
        </w:trPr>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11,100</w:t>
            </w:r>
          </w:p>
        </w:tc>
        <w:tc>
          <w:tcPr>
            <w:tcW w:w="80" w:type="dxa"/>
            <w:vAlign w:val="bottom"/>
          </w:tcPr>
          <w:p>
            <w:pPr>
              <w:spacing w:after="0"/>
              <w:rPr>
                <w:sz w:val="17"/>
                <w:szCs w:val="17"/>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11,238</w:t>
            </w:r>
          </w:p>
        </w:tc>
        <w:tc>
          <w:tcPr>
            <w:tcW w:w="6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8"/>
              <w:spacing w:after="0"/>
              <w:rPr>
                <w:sz w:val="20"/>
                <w:szCs w:val="20"/>
                <w:color w:val="auto"/>
              </w:rPr>
            </w:pPr>
            <w:r>
              <w:rPr>
                <w:rFonts w:ascii="Arial" w:cs="Arial" w:eastAsia="Arial" w:hAnsi="Arial"/>
                <w:sz w:val="16"/>
                <w:szCs w:val="16"/>
                <w:color w:val="auto"/>
              </w:rPr>
              <w:t>11,365</w:t>
            </w:r>
          </w:p>
        </w:tc>
        <w:tc>
          <w:tcPr>
            <w:tcW w:w="500" w:type="dxa"/>
            <w:vAlign w:val="bottom"/>
          </w:tcPr>
          <w:p>
            <w:pPr>
              <w:spacing w:after="0"/>
              <w:rPr>
                <w:sz w:val="17"/>
                <w:szCs w:val="17"/>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360" w:space="580"/>
            <w:col w:w="5200"/>
          </w:cols>
          <w:pgMar w:left="320" w:top="486" w:right="439" w:bottom="1440" w:gutter="0" w:footer="0" w:header="0"/>
        </w:sectPr>
      </w:pP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See footnotes on page B-5.</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474747"/>
        </w:rPr>
        <w:t xml:space="preserve">B-2   </w:t>
      </w:r>
      <w:r>
        <w:rPr>
          <w:sz w:val="1"/>
          <w:szCs w:val="1"/>
          <w:color w:val="auto"/>
        </w:rPr>
        <w:drawing>
          <wp:inline distT="0" distB="0" distL="0" distR="0">
            <wp:extent cx="582930" cy="137160"/>
            <wp:effectExtent l="0" t="0" r="0" b="0"/>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25"/>
          <w:szCs w:val="25"/>
          <w:color w:val="666666"/>
        </w:rPr>
        <w:t xml:space="preserve">  ï </w:t>
      </w:r>
      <w:r>
        <w:rPr>
          <w:rFonts w:ascii="Arial" w:cs="Arial" w:eastAsia="Arial" w:hAnsi="Arial"/>
          <w:sz w:val="19"/>
          <w:szCs w:val="19"/>
          <w:i w:val="1"/>
          <w:iCs w:val="1"/>
          <w:color w:val="474747"/>
        </w:rPr>
        <w:t>2023 Proxy Statement</w:t>
      </w:r>
    </w:p>
    <w:p>
      <w:pPr>
        <w:sectPr>
          <w:pgSz w:w="11900" w:h="16838" w:orient="portrait"/>
          <w:cols w:equalWidth="0" w:num="1">
            <w:col w:w="11140"/>
          </w:cols>
          <w:pgMar w:left="320" w:top="486" w:right="4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tbl>
      <w:tblPr>
        <w:tblLayout w:type="fixed"/>
        <w:tblInd w:w="560" w:type="dxa"/>
        <w:tblCellMar>
          <w:top w:w="0" w:type="dxa"/>
          <w:left w:w="0" w:type="dxa"/>
          <w:bottom w:w="0" w:type="dxa"/>
          <w:right w:w="0" w:type="dxa"/>
        </w:tblCellMar>
      </w:tblPr>
      <w:tr>
        <w:trPr>
          <w:trHeight w:val="318"/>
        </w:trPr>
        <w:tc>
          <w:tcPr>
            <w:tcW w:w="5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Borders>
              <w:bottom w:val="single" w:sz="8" w:color="0171B9"/>
            </w:tcBorders>
            <w:gridSpan w:val="2"/>
            <w:shd w:val="clear" w:color="auto" w:fill="0171B9"/>
          </w:tcPr>
          <w:p>
            <w:pPr>
              <w:ind w:left="140"/>
              <w:spacing w:after="0"/>
              <w:rPr>
                <w:sz w:val="20"/>
                <w:szCs w:val="20"/>
                <w:color w:val="auto"/>
              </w:rPr>
            </w:pPr>
            <w:r>
              <w:rPr>
                <w:rFonts w:ascii="Arial" w:cs="Arial" w:eastAsia="Arial" w:hAnsi="Arial"/>
                <w:sz w:val="22"/>
                <w:szCs w:val="22"/>
                <w:b w:val="1"/>
                <w:bCs w:val="1"/>
                <w:color w:val="FFFFFF"/>
                <w:shd w:val="clear" w:color="auto" w:fill="0171B9"/>
              </w:rPr>
              <w:t>Appendix B</w:t>
            </w:r>
          </w:p>
        </w:tc>
        <w:tc>
          <w:tcPr>
            <w:tcW w:w="0" w:type="dxa"/>
            <w:vAlign w:val="bottom"/>
          </w:tcPr>
          <w:p>
            <w:pPr>
              <w:spacing w:after="0"/>
              <w:rPr>
                <w:sz w:val="1"/>
                <w:szCs w:val="1"/>
                <w:color w:val="auto"/>
              </w:rPr>
            </w:pPr>
          </w:p>
        </w:tc>
      </w:tr>
      <w:tr>
        <w:trPr>
          <w:trHeight w:val="506"/>
        </w:trPr>
        <w:tc>
          <w:tcPr>
            <w:tcW w:w="5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b w:val="1"/>
                <w:bCs w:val="1"/>
                <w:color w:val="auto"/>
              </w:rPr>
              <w:t>Years ended December 31,</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260" w:type="dxa"/>
            <w:vAlign w:val="bottom"/>
            <w:vMerge w:val="restart"/>
          </w:tcPr>
          <w:p>
            <w:pPr>
              <w:spacing w:after="0"/>
              <w:rPr>
                <w:sz w:val="20"/>
                <w:szCs w:val="20"/>
                <w:color w:val="auto"/>
              </w:rPr>
            </w:pPr>
            <w:r>
              <w:rPr>
                <w:rFonts w:ascii="Arial" w:cs="Arial" w:eastAsia="Arial" w:hAnsi="Arial"/>
                <w:sz w:val="16"/>
                <w:szCs w:val="16"/>
                <w:b w:val="1"/>
                <w:bCs w:val="1"/>
                <w:color w:val="auto"/>
              </w:rPr>
              <w:t>GAAP provision for income taxes</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9"/>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9"/>
              <w:spacing w:after="0" w:line="175" w:lineRule="exact"/>
              <w:rPr>
                <w:sz w:val="20"/>
                <w:szCs w:val="20"/>
                <w:color w:val="auto"/>
              </w:rPr>
            </w:pPr>
            <w:r>
              <w:rPr>
                <w:rFonts w:ascii="Arial" w:cs="Arial" w:eastAsia="Arial" w:hAnsi="Arial"/>
                <w:sz w:val="16"/>
                <w:szCs w:val="16"/>
                <w:b w:val="1"/>
                <w:bCs w:val="1"/>
                <w:color w:val="auto"/>
              </w:rPr>
              <w:t>2021</w:t>
            </w:r>
          </w:p>
        </w:tc>
        <w:tc>
          <w:tcPr>
            <w:tcW w:w="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40"/>
              <w:spacing w:after="0" w:line="175" w:lineRule="exact"/>
              <w:rPr>
                <w:sz w:val="20"/>
                <w:szCs w:val="20"/>
                <w:color w:val="auto"/>
              </w:rPr>
            </w:pPr>
            <w:r>
              <w:rPr>
                <w:rFonts w:ascii="Arial" w:cs="Arial" w:eastAsia="Arial" w:hAnsi="Arial"/>
                <w:sz w:val="16"/>
                <w:szCs w:val="16"/>
                <w:b w:val="1"/>
                <w:bCs w:val="1"/>
                <w:color w:val="auto"/>
              </w:rPr>
              <w:t>2020</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260" w:type="dxa"/>
            <w:vAlign w:val="bottom"/>
            <w:vMerge w:val="continue"/>
          </w:tcPr>
          <w:p>
            <w:pPr>
              <w:spacing w:after="0"/>
              <w:rPr>
                <w:sz w:val="14"/>
                <w:szCs w:val="14"/>
                <w:color w:val="auto"/>
              </w:rPr>
            </w:pPr>
          </w:p>
        </w:tc>
        <w:tc>
          <w:tcPr>
            <w:tcW w:w="300" w:type="dxa"/>
            <w:vAlign w:val="bottom"/>
          </w:tcPr>
          <w:p>
            <w:pPr>
              <w:jc w:val="right"/>
              <w:ind w:right="39"/>
              <w:spacing w:after="0" w:line="165"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line="165" w:lineRule="exact"/>
              <w:rPr>
                <w:sz w:val="20"/>
                <w:szCs w:val="20"/>
                <w:color w:val="auto"/>
              </w:rPr>
            </w:pPr>
            <w:r>
              <w:rPr>
                <w:rFonts w:ascii="Arial" w:cs="Arial" w:eastAsia="Arial" w:hAnsi="Arial"/>
                <w:sz w:val="16"/>
                <w:szCs w:val="16"/>
                <w:color w:val="auto"/>
              </w:rPr>
              <w:t>794</w:t>
            </w:r>
          </w:p>
        </w:tc>
        <w:tc>
          <w:tcPr>
            <w:tcW w:w="100" w:type="dxa"/>
            <w:vAlign w:val="bottom"/>
          </w:tcPr>
          <w:p>
            <w:pPr>
              <w:spacing w:after="0"/>
              <w:rPr>
                <w:sz w:val="14"/>
                <w:szCs w:val="14"/>
                <w:color w:val="auto"/>
              </w:rPr>
            </w:pPr>
          </w:p>
        </w:tc>
        <w:tc>
          <w:tcPr>
            <w:tcW w:w="820" w:type="dxa"/>
            <w:vAlign w:val="bottom"/>
            <w:gridSpan w:val="2"/>
          </w:tcPr>
          <w:p>
            <w:pPr>
              <w:jc w:val="right"/>
              <w:ind w:right="19"/>
              <w:spacing w:after="0" w:line="165"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line="165" w:lineRule="exact"/>
              <w:rPr>
                <w:sz w:val="20"/>
                <w:szCs w:val="20"/>
                <w:color w:val="auto"/>
              </w:rPr>
            </w:pPr>
            <w:r>
              <w:rPr>
                <w:rFonts w:ascii="Arial" w:cs="Arial" w:eastAsia="Arial" w:hAnsi="Arial"/>
                <w:sz w:val="16"/>
                <w:szCs w:val="16"/>
                <w:color w:val="auto"/>
              </w:rPr>
              <w:t>808</w:t>
            </w:r>
          </w:p>
        </w:tc>
        <w:tc>
          <w:tcPr>
            <w:tcW w:w="660" w:type="dxa"/>
            <w:vAlign w:val="bottom"/>
          </w:tcPr>
          <w:p>
            <w:pPr>
              <w:spacing w:after="0"/>
              <w:rPr>
                <w:sz w:val="14"/>
                <w:szCs w:val="14"/>
                <w:color w:val="auto"/>
              </w:rPr>
            </w:pPr>
          </w:p>
        </w:tc>
        <w:tc>
          <w:tcPr>
            <w:tcW w:w="260" w:type="dxa"/>
            <w:vAlign w:val="bottom"/>
          </w:tcPr>
          <w:p>
            <w:pPr>
              <w:jc w:val="right"/>
              <w:spacing w:after="0" w:line="165"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57"/>
              <w:spacing w:after="0" w:line="165" w:lineRule="exact"/>
              <w:rPr>
                <w:sz w:val="20"/>
                <w:szCs w:val="20"/>
                <w:color w:val="auto"/>
              </w:rPr>
            </w:pPr>
            <w:r>
              <w:rPr>
                <w:rFonts w:ascii="Arial" w:cs="Arial" w:eastAsia="Arial" w:hAnsi="Arial"/>
                <w:sz w:val="16"/>
                <w:szCs w:val="16"/>
                <w:color w:val="auto"/>
              </w:rPr>
              <w:t>869</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60" w:type="dxa"/>
            <w:vAlign w:val="bottom"/>
          </w:tcPr>
          <w:p>
            <w:pPr>
              <w:ind w:left="160"/>
              <w:spacing w:after="0"/>
              <w:rPr>
                <w:sz w:val="20"/>
                <w:szCs w:val="20"/>
                <w:color w:val="auto"/>
              </w:rPr>
            </w:pPr>
            <w:r>
              <w:rPr>
                <w:rFonts w:ascii="Arial" w:cs="Arial" w:eastAsia="Arial" w:hAnsi="Arial"/>
                <w:sz w:val="16"/>
                <w:szCs w:val="16"/>
                <w:b w:val="1"/>
                <w:bCs w:val="1"/>
                <w:color w:val="auto"/>
              </w:rPr>
              <w:t>Adjustments to provision for income taxes:</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60" w:type="dxa"/>
            <w:vAlign w:val="bottom"/>
          </w:tcPr>
          <w:p>
            <w:pPr>
              <w:ind w:left="320"/>
              <w:spacing w:after="0"/>
              <w:rPr>
                <w:sz w:val="20"/>
                <w:szCs w:val="20"/>
                <w:color w:val="auto"/>
              </w:rPr>
            </w:pPr>
            <w:r>
              <w:rPr>
                <w:rFonts w:ascii="Arial" w:cs="Arial" w:eastAsia="Arial" w:hAnsi="Arial"/>
                <w:sz w:val="16"/>
                <w:szCs w:val="16"/>
                <w:color w:val="auto"/>
              </w:rPr>
              <w:t xml:space="preserve">Income tax effect of the above adjustments </w:t>
            </w:r>
            <w:r>
              <w:rPr>
                <w:rFonts w:ascii="Arial" w:cs="Arial" w:eastAsia="Arial" w:hAnsi="Arial"/>
                <w:sz w:val="16"/>
                <w:szCs w:val="16"/>
                <w:b w:val="1"/>
                <w:bCs w:val="1"/>
                <w:color w:val="auto"/>
              </w:rPr>
              <w:t>(f)</w:t>
            </w:r>
          </w:p>
        </w:tc>
        <w:tc>
          <w:tcPr>
            <w:tcW w:w="30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630</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57"/>
              <w:spacing w:after="0"/>
              <w:rPr>
                <w:sz w:val="20"/>
                <w:szCs w:val="20"/>
                <w:color w:val="auto"/>
              </w:rPr>
            </w:pPr>
            <w:r>
              <w:rPr>
                <w:rFonts w:ascii="Arial" w:cs="Arial" w:eastAsia="Arial" w:hAnsi="Arial"/>
                <w:sz w:val="16"/>
                <w:szCs w:val="16"/>
                <w:color w:val="auto"/>
              </w:rPr>
              <w:t>634</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260" w:type="dxa"/>
            <w:vAlign w:val="bottom"/>
          </w:tcPr>
          <w:p>
            <w:pPr>
              <w:ind w:left="320"/>
              <w:spacing w:after="0"/>
              <w:rPr>
                <w:sz w:val="20"/>
                <w:szCs w:val="20"/>
                <w:color w:val="auto"/>
              </w:rPr>
            </w:pPr>
            <w:r>
              <w:rPr>
                <w:rFonts w:ascii="Arial" w:cs="Arial" w:eastAsia="Arial" w:hAnsi="Arial"/>
                <w:sz w:val="16"/>
                <w:szCs w:val="16"/>
                <w:color w:val="auto"/>
              </w:rPr>
              <w:t xml:space="preserve">Other income tax adjustments </w:t>
            </w:r>
            <w:r>
              <w:rPr>
                <w:rFonts w:ascii="Arial" w:cs="Arial" w:eastAsia="Arial" w:hAnsi="Arial"/>
                <w:sz w:val="16"/>
                <w:szCs w:val="16"/>
                <w:b w:val="1"/>
                <w:bCs w:val="1"/>
                <w:color w:val="auto"/>
              </w:rPr>
              <w:t>(d)</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color w:val="auto"/>
              </w:rPr>
              <w:t>67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60" w:type="dxa"/>
            <w:vAlign w:val="bottom"/>
          </w:tcPr>
          <w:p>
            <w:pPr>
              <w:ind w:left="480"/>
              <w:spacing w:after="0"/>
              <w:rPr>
                <w:sz w:val="20"/>
                <w:szCs w:val="20"/>
                <w:color w:val="auto"/>
              </w:rPr>
            </w:pPr>
            <w:r>
              <w:rPr>
                <w:rFonts w:ascii="Arial" w:cs="Arial" w:eastAsia="Arial" w:hAnsi="Arial"/>
                <w:sz w:val="16"/>
                <w:szCs w:val="16"/>
                <w:b w:val="1"/>
                <w:bCs w:val="1"/>
                <w:color w:val="auto"/>
              </w:rPr>
              <w:t>Total adjustments to provision for income taxes</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633</w:t>
            </w:r>
          </w:p>
        </w:tc>
        <w:tc>
          <w:tcPr>
            <w:tcW w:w="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color w:val="auto"/>
              </w:rPr>
              <w:t>701</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Pr>
          <w:p>
            <w:pPr>
              <w:spacing w:after="0"/>
              <w:rPr>
                <w:sz w:val="20"/>
                <w:szCs w:val="20"/>
                <w:color w:val="auto"/>
              </w:rPr>
            </w:pPr>
            <w:r>
              <w:rPr>
                <w:rFonts w:ascii="Arial" w:cs="Arial" w:eastAsia="Arial" w:hAnsi="Arial"/>
                <w:sz w:val="16"/>
                <w:szCs w:val="16"/>
                <w:b w:val="1"/>
                <w:bCs w:val="1"/>
                <w:color w:val="auto"/>
              </w:rPr>
              <w:t>Non-GAAP provision for income taxes</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1,441</w:t>
            </w:r>
          </w:p>
        </w:tc>
        <w:tc>
          <w:tcPr>
            <w:tcW w:w="660" w:type="dxa"/>
            <w:vAlign w:val="bottom"/>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color w:val="auto"/>
              </w:rPr>
              <w:t>1,570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6"/>
                <w:szCs w:val="16"/>
                <w:b w:val="1"/>
                <w:bCs w:val="1"/>
                <w:color w:val="auto"/>
              </w:rPr>
              <w:t>GAAP tax as a percentage of income before taxes</w:t>
            </w: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26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10.8%</w:t>
            </w: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6"/>
                <w:szCs w:val="16"/>
                <w:color w:val="auto"/>
              </w:rPr>
              <w:t>12.1%</w:t>
            </w:r>
          </w:p>
        </w:tc>
        <w:tc>
          <w:tcPr>
            <w:tcW w:w="260" w:type="dxa"/>
            <w:vAlign w:val="bottom"/>
          </w:tcPr>
          <w:p>
            <w:pPr>
              <w:spacing w:after="0"/>
              <w:rPr>
                <w:sz w:val="23"/>
                <w:szCs w:val="23"/>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89"/>
        </w:trPr>
        <w:tc>
          <w:tcPr>
            <w:tcW w:w="5260" w:type="dxa"/>
            <w:vAlign w:val="bottom"/>
          </w:tcPr>
          <w:p>
            <w:pPr>
              <w:ind w:left="160"/>
              <w:spacing w:after="0"/>
              <w:rPr>
                <w:sz w:val="20"/>
                <w:szCs w:val="20"/>
                <w:color w:val="auto"/>
              </w:rPr>
            </w:pPr>
            <w:r>
              <w:rPr>
                <w:rFonts w:ascii="Arial" w:cs="Arial" w:eastAsia="Arial" w:hAnsi="Arial"/>
                <w:sz w:val="16"/>
                <w:szCs w:val="16"/>
                <w:b w:val="1"/>
                <w:bCs w:val="1"/>
                <w:color w:val="auto"/>
              </w:rPr>
              <w:t>Adjustments to provision for income taxes:</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60" w:type="dxa"/>
            <w:vAlign w:val="bottom"/>
          </w:tcPr>
          <w:p>
            <w:pPr>
              <w:ind w:left="320"/>
              <w:spacing w:after="0"/>
              <w:rPr>
                <w:sz w:val="20"/>
                <w:szCs w:val="20"/>
                <w:color w:val="auto"/>
              </w:rPr>
            </w:pPr>
            <w:r>
              <w:rPr>
                <w:rFonts w:ascii="Arial" w:cs="Arial" w:eastAsia="Arial" w:hAnsi="Arial"/>
                <w:sz w:val="16"/>
                <w:szCs w:val="16"/>
                <w:color w:val="auto"/>
              </w:rPr>
              <w:t xml:space="preserve">Income tax effect of the above adjustments </w:t>
            </w:r>
            <w:r>
              <w:rPr>
                <w:rFonts w:ascii="Arial" w:cs="Arial" w:eastAsia="Arial" w:hAnsi="Arial"/>
                <w:sz w:val="16"/>
                <w:szCs w:val="16"/>
                <w:b w:val="1"/>
                <w:bCs w:val="1"/>
                <w:color w:val="auto"/>
              </w:rPr>
              <w:t>(f)</w:t>
            </w:r>
          </w:p>
        </w:tc>
        <w:tc>
          <w:tcPr>
            <w:tcW w:w="30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57"/>
              <w:spacing w:after="0"/>
              <w:rPr>
                <w:sz w:val="20"/>
                <w:szCs w:val="20"/>
                <w:color w:val="auto"/>
              </w:rPr>
            </w:pPr>
            <w:r>
              <w:rPr>
                <w:rFonts w:ascii="Arial" w:cs="Arial" w:eastAsia="Arial" w:hAnsi="Arial"/>
                <w:sz w:val="16"/>
                <w:szCs w:val="16"/>
                <w:color w:val="auto"/>
              </w:rPr>
              <w:t>2.5</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260" w:type="dxa"/>
            <w:vAlign w:val="bottom"/>
          </w:tcPr>
          <w:p>
            <w:pPr>
              <w:ind w:left="320"/>
              <w:spacing w:after="0"/>
              <w:rPr>
                <w:sz w:val="20"/>
                <w:szCs w:val="20"/>
                <w:color w:val="auto"/>
              </w:rPr>
            </w:pPr>
            <w:r>
              <w:rPr>
                <w:rFonts w:ascii="Arial" w:cs="Arial" w:eastAsia="Arial" w:hAnsi="Arial"/>
                <w:sz w:val="16"/>
                <w:szCs w:val="16"/>
                <w:color w:val="auto"/>
              </w:rPr>
              <w:t xml:space="preserve">Other income tax adjustments </w:t>
            </w:r>
            <w:r>
              <w:rPr>
                <w:rFonts w:ascii="Arial" w:cs="Arial" w:eastAsia="Arial" w:hAnsi="Arial"/>
                <w:sz w:val="16"/>
                <w:szCs w:val="16"/>
                <w:b w:val="1"/>
                <w:bCs w:val="1"/>
                <w:color w:val="auto"/>
              </w:rPr>
              <w:t>(d)</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w:t>
            </w:r>
          </w:p>
        </w:tc>
        <w:tc>
          <w:tcPr>
            <w:tcW w:w="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color w:val="auto"/>
              </w:rPr>
              <w:t>0.6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60" w:type="dxa"/>
            <w:vAlign w:val="bottom"/>
          </w:tcPr>
          <w:p>
            <w:pPr>
              <w:ind w:left="480"/>
              <w:spacing w:after="0"/>
              <w:rPr>
                <w:sz w:val="20"/>
                <w:szCs w:val="20"/>
                <w:color w:val="auto"/>
              </w:rPr>
            </w:pPr>
            <w:r>
              <w:rPr>
                <w:rFonts w:ascii="Arial" w:cs="Arial" w:eastAsia="Arial" w:hAnsi="Arial"/>
                <w:sz w:val="16"/>
                <w:szCs w:val="16"/>
                <w:b w:val="1"/>
                <w:bCs w:val="1"/>
                <w:color w:val="auto"/>
              </w:rPr>
              <w:t>Total adjustments to provision for income taxes</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0.7</w:t>
            </w:r>
          </w:p>
        </w:tc>
        <w:tc>
          <w:tcPr>
            <w:tcW w:w="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color w:val="auto"/>
              </w:rPr>
              <w:t>3.1</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Pr>
          <w:p>
            <w:pPr>
              <w:spacing w:after="0"/>
              <w:rPr>
                <w:sz w:val="20"/>
                <w:szCs w:val="20"/>
                <w:color w:val="auto"/>
              </w:rPr>
            </w:pPr>
            <w:r>
              <w:rPr>
                <w:rFonts w:ascii="Arial" w:cs="Arial" w:eastAsia="Arial" w:hAnsi="Arial"/>
                <w:sz w:val="16"/>
                <w:szCs w:val="16"/>
                <w:b w:val="1"/>
                <w:bCs w:val="1"/>
                <w:color w:val="auto"/>
              </w:rPr>
              <w:t>Non-GAAP tax as a percentage of income before taxes</w:t>
            </w:r>
          </w:p>
        </w:tc>
        <w:tc>
          <w:tcPr>
            <w:tcW w:w="3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13.8%</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6"/>
                <w:szCs w:val="16"/>
                <w:color w:val="auto"/>
              </w:rPr>
              <w:t>12.8%</w:t>
            </w:r>
          </w:p>
        </w:tc>
        <w:tc>
          <w:tcPr>
            <w:tcW w:w="260" w:type="dxa"/>
            <w:vAlign w:val="bottom"/>
          </w:tcPr>
          <w:p>
            <w:pPr>
              <w:spacing w:after="0"/>
              <w:rPr>
                <w:sz w:val="17"/>
                <w:szCs w:val="17"/>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6"/>
                <w:szCs w:val="16"/>
                <w:b w:val="1"/>
                <w:bCs w:val="1"/>
                <w:color w:val="auto"/>
              </w:rPr>
              <w:t>GAAP net income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260" w:type="dxa"/>
            <w:vAlign w:val="bottom"/>
            <w:vMerge w:val="continue"/>
          </w:tcPr>
          <w:p>
            <w:pPr>
              <w:spacing w:after="0"/>
              <w:rPr>
                <w:sz w:val="23"/>
                <w:szCs w:val="23"/>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6,552</w:t>
            </w:r>
          </w:p>
        </w:tc>
        <w:tc>
          <w:tcPr>
            <w:tcW w:w="100" w:type="dxa"/>
            <w:vAlign w:val="bottom"/>
          </w:tcPr>
          <w:p>
            <w:pPr>
              <w:spacing w:after="0"/>
              <w:rPr>
                <w:sz w:val="23"/>
                <w:szCs w:val="23"/>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5,893</w:t>
            </w:r>
          </w:p>
        </w:tc>
        <w:tc>
          <w:tcPr>
            <w:tcW w:w="66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7"/>
              <w:spacing w:after="0"/>
              <w:rPr>
                <w:sz w:val="20"/>
                <w:szCs w:val="20"/>
                <w:color w:val="auto"/>
              </w:rPr>
            </w:pPr>
            <w:r>
              <w:rPr>
                <w:rFonts w:ascii="Arial" w:cs="Arial" w:eastAsia="Arial" w:hAnsi="Arial"/>
                <w:sz w:val="16"/>
                <w:szCs w:val="16"/>
                <w:color w:val="auto"/>
              </w:rPr>
              <w:t>7,264</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260" w:type="dxa"/>
            <w:vAlign w:val="bottom"/>
          </w:tcPr>
          <w:p>
            <w:pPr>
              <w:ind w:left="160"/>
              <w:spacing w:after="0"/>
              <w:rPr>
                <w:sz w:val="20"/>
                <w:szCs w:val="20"/>
                <w:color w:val="auto"/>
              </w:rPr>
            </w:pPr>
            <w:r>
              <w:rPr>
                <w:rFonts w:ascii="Arial" w:cs="Arial" w:eastAsia="Arial" w:hAnsi="Arial"/>
                <w:sz w:val="16"/>
                <w:szCs w:val="16"/>
                <w:b w:val="1"/>
                <w:bCs w:val="1"/>
                <w:color w:val="auto"/>
              </w:rPr>
              <w:t>Adjustments to net income:</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60" w:type="dxa"/>
            <w:vAlign w:val="bottom"/>
          </w:tcPr>
          <w:p>
            <w:pPr>
              <w:ind w:left="320"/>
              <w:spacing w:after="0"/>
              <w:rPr>
                <w:sz w:val="20"/>
                <w:szCs w:val="20"/>
                <w:color w:val="auto"/>
              </w:rPr>
            </w:pPr>
            <w:r>
              <w:rPr>
                <w:rFonts w:ascii="Arial" w:cs="Arial" w:eastAsia="Arial" w:hAnsi="Arial"/>
                <w:sz w:val="16"/>
                <w:szCs w:val="16"/>
                <w:color w:val="auto"/>
              </w:rPr>
              <w:t>Adjustments to income before income taxes, net of the</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60" w:type="dxa"/>
            <w:vAlign w:val="bottom"/>
          </w:tcPr>
          <w:p>
            <w:pPr>
              <w:ind w:left="480"/>
              <w:spacing w:after="0" w:line="169" w:lineRule="exact"/>
              <w:rPr>
                <w:sz w:val="20"/>
                <w:szCs w:val="20"/>
                <w:color w:val="auto"/>
              </w:rPr>
            </w:pPr>
            <w:r>
              <w:rPr>
                <w:rFonts w:ascii="Arial" w:cs="Arial" w:eastAsia="Arial" w:hAnsi="Arial"/>
                <w:sz w:val="16"/>
                <w:szCs w:val="16"/>
                <w:color w:val="auto"/>
              </w:rPr>
              <w:t>income tax effect</w:t>
            </w:r>
          </w:p>
        </w:tc>
        <w:tc>
          <w:tcPr>
            <w:tcW w:w="300" w:type="dxa"/>
            <w:vAlign w:val="bottom"/>
          </w:tcPr>
          <w:p>
            <w:pPr>
              <w:spacing w:after="0"/>
              <w:rPr>
                <w:sz w:val="14"/>
                <w:szCs w:val="14"/>
                <w:color w:val="auto"/>
              </w:rPr>
            </w:pPr>
          </w:p>
        </w:tc>
        <w:tc>
          <w:tcPr>
            <w:tcW w:w="880" w:type="dxa"/>
            <w:vAlign w:val="bottom"/>
          </w:tcPr>
          <w:p>
            <w:pPr>
              <w:jc w:val="right"/>
              <w:ind w:right="59"/>
              <w:spacing w:after="0" w:line="169" w:lineRule="exact"/>
              <w:rPr>
                <w:sz w:val="20"/>
                <w:szCs w:val="20"/>
                <w:color w:val="auto"/>
              </w:rPr>
            </w:pPr>
            <w:r>
              <w:rPr>
                <w:rFonts w:ascii="Arial" w:cs="Arial" w:eastAsia="Arial" w:hAnsi="Arial"/>
                <w:sz w:val="16"/>
                <w:szCs w:val="16"/>
                <w:color w:val="auto"/>
              </w:rPr>
              <w:t>3,064</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9"/>
              <w:spacing w:after="0" w:line="169" w:lineRule="exact"/>
              <w:rPr>
                <w:sz w:val="20"/>
                <w:szCs w:val="20"/>
                <w:color w:val="auto"/>
              </w:rPr>
            </w:pPr>
            <w:r>
              <w:rPr>
                <w:rFonts w:ascii="Arial" w:cs="Arial" w:eastAsia="Arial" w:hAnsi="Arial"/>
                <w:sz w:val="16"/>
                <w:szCs w:val="16"/>
                <w:color w:val="auto"/>
              </w:rPr>
              <w:t>3,907</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57"/>
              <w:spacing w:after="0" w:line="169" w:lineRule="exact"/>
              <w:rPr>
                <w:sz w:val="20"/>
                <w:szCs w:val="20"/>
                <w:color w:val="auto"/>
              </w:rPr>
            </w:pPr>
            <w:r>
              <w:rPr>
                <w:rFonts w:ascii="Arial" w:cs="Arial" w:eastAsia="Arial" w:hAnsi="Arial"/>
                <w:sz w:val="16"/>
                <w:szCs w:val="16"/>
                <w:color w:val="auto"/>
              </w:rPr>
              <w:t>2,598</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260" w:type="dxa"/>
            <w:vAlign w:val="bottom"/>
          </w:tcPr>
          <w:p>
            <w:pPr>
              <w:ind w:left="320"/>
              <w:spacing w:after="0"/>
              <w:rPr>
                <w:sz w:val="20"/>
                <w:szCs w:val="20"/>
                <w:color w:val="auto"/>
              </w:rPr>
            </w:pPr>
            <w:r>
              <w:rPr>
                <w:rFonts w:ascii="Arial" w:cs="Arial" w:eastAsia="Arial" w:hAnsi="Arial"/>
                <w:sz w:val="16"/>
                <w:szCs w:val="16"/>
                <w:color w:val="auto"/>
              </w:rPr>
              <w:t xml:space="preserve">Other income tax adjustments </w:t>
            </w:r>
            <w:r>
              <w:rPr>
                <w:rFonts w:ascii="Arial" w:cs="Arial" w:eastAsia="Arial" w:hAnsi="Arial"/>
                <w:sz w:val="16"/>
                <w:szCs w:val="16"/>
                <w:b w:val="1"/>
                <w:bCs w:val="1"/>
                <w:color w:val="auto"/>
              </w:rPr>
              <w:t>(d)</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color w:val="auto"/>
              </w:rPr>
              <w:t>(67)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60" w:type="dxa"/>
            <w:vAlign w:val="bottom"/>
          </w:tcPr>
          <w:p>
            <w:pPr>
              <w:ind w:left="480"/>
              <w:spacing w:after="0"/>
              <w:rPr>
                <w:sz w:val="20"/>
                <w:szCs w:val="20"/>
                <w:color w:val="auto"/>
              </w:rPr>
            </w:pPr>
            <w:r>
              <w:rPr>
                <w:rFonts w:ascii="Arial" w:cs="Arial" w:eastAsia="Arial" w:hAnsi="Arial"/>
                <w:sz w:val="16"/>
                <w:szCs w:val="16"/>
                <w:b w:val="1"/>
                <w:bCs w:val="1"/>
                <w:color w:val="auto"/>
              </w:rPr>
              <w:t>Total adjustments to net income</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3,018</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3,904</w:t>
            </w:r>
          </w:p>
        </w:tc>
        <w:tc>
          <w:tcPr>
            <w:tcW w:w="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color w:val="auto"/>
              </w:rPr>
              <w:t>2,531</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Pr>
          <w:p>
            <w:pPr>
              <w:spacing w:after="0"/>
              <w:rPr>
                <w:sz w:val="20"/>
                <w:szCs w:val="20"/>
                <w:color w:val="auto"/>
              </w:rPr>
            </w:pPr>
            <w:r>
              <w:rPr>
                <w:rFonts w:ascii="Arial" w:cs="Arial" w:eastAsia="Arial" w:hAnsi="Arial"/>
                <w:sz w:val="16"/>
                <w:szCs w:val="16"/>
                <w:b w:val="1"/>
                <w:bCs w:val="1"/>
                <w:color w:val="auto"/>
              </w:rPr>
              <w:t>Non-GAAP net income</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9,570</w:t>
            </w:r>
          </w:p>
        </w:tc>
        <w:tc>
          <w:tcPr>
            <w:tcW w:w="100" w:type="dxa"/>
            <w:vAlign w:val="bottom"/>
          </w:tcPr>
          <w:p>
            <w:pPr>
              <w:spacing w:after="0"/>
              <w:rPr>
                <w:sz w:val="17"/>
                <w:szCs w:val="17"/>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9,797</w:t>
            </w:r>
          </w:p>
        </w:tc>
        <w:tc>
          <w:tcPr>
            <w:tcW w:w="6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7"/>
              <w:spacing w:after="0"/>
              <w:rPr>
                <w:sz w:val="20"/>
                <w:szCs w:val="20"/>
                <w:color w:val="auto"/>
              </w:rPr>
            </w:pPr>
            <w:r>
              <w:rPr>
                <w:rFonts w:ascii="Arial" w:cs="Arial" w:eastAsia="Arial" w:hAnsi="Arial"/>
                <w:sz w:val="16"/>
                <w:szCs w:val="16"/>
                <w:color w:val="auto"/>
              </w:rPr>
              <w:t>9,795</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footnotes on page B-5.</w:t>
      </w:r>
    </w:p>
    <w:p>
      <w:pPr>
        <w:spacing w:after="0" w:line="135"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-162560</wp:posOffset>
            </wp:positionV>
            <wp:extent cx="582930" cy="13716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shd w:val="clear" w:color="auto" w:fill="0171B9"/>
        </w:rPr>
        <w:t>Appendix B</w:t>
      </w:r>
    </w:p>
    <w:p>
      <w:pPr>
        <w:spacing w:after="0" w:line="37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the computations for GAAP and non-GAAP diluted earnings per share.</w:t>
      </w:r>
    </w:p>
    <w:p>
      <w:pPr>
        <w:spacing w:after="0" w:line="228"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8"/>
          </w:tcPr>
          <w:p>
            <w:pPr>
              <w:ind w:left="160"/>
              <w:spacing w:after="0"/>
              <w:rPr>
                <w:sz w:val="20"/>
                <w:szCs w:val="20"/>
                <w:color w:val="auto"/>
              </w:rPr>
            </w:pPr>
            <w:r>
              <w:rPr>
                <w:rFonts w:ascii="Arial" w:cs="Arial" w:eastAsia="Arial" w:hAnsi="Arial"/>
                <w:sz w:val="16"/>
                <w:szCs w:val="16"/>
                <w:b w:val="1"/>
                <w:bCs w:val="1"/>
                <w:color w:val="auto"/>
              </w:rPr>
              <w:t>Years ended December 31,</w:t>
            </w: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219"/>
              <w:spacing w:after="0" w:line="183" w:lineRule="exact"/>
              <w:rPr>
                <w:sz w:val="20"/>
                <w:szCs w:val="20"/>
                <w:color w:val="auto"/>
              </w:rPr>
            </w:pPr>
            <w:r>
              <w:rPr>
                <w:rFonts w:ascii="Arial" w:cs="Arial" w:eastAsia="Arial" w:hAnsi="Arial"/>
                <w:sz w:val="16"/>
                <w:szCs w:val="16"/>
                <w:b w:val="1"/>
                <w:bCs w:val="1"/>
                <w:color w:val="auto"/>
                <w:w w:val="95"/>
              </w:rPr>
              <w:t>2022</w:t>
            </w: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219"/>
              <w:spacing w:after="0" w:line="183" w:lineRule="exact"/>
              <w:rPr>
                <w:sz w:val="20"/>
                <w:szCs w:val="20"/>
                <w:color w:val="auto"/>
              </w:rPr>
            </w:pPr>
            <w:r>
              <w:rPr>
                <w:rFonts w:ascii="Arial" w:cs="Arial" w:eastAsia="Arial" w:hAnsi="Arial"/>
                <w:sz w:val="16"/>
                <w:szCs w:val="16"/>
                <w:b w:val="1"/>
                <w:bCs w:val="1"/>
                <w:color w:val="auto"/>
                <w:w w:val="95"/>
              </w:rPr>
              <w:t>2021</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219"/>
              <w:spacing w:after="0" w:line="183" w:lineRule="exact"/>
              <w:rPr>
                <w:sz w:val="20"/>
                <w:szCs w:val="20"/>
                <w:color w:val="auto"/>
              </w:rPr>
            </w:pPr>
            <w:r>
              <w:rPr>
                <w:rFonts w:ascii="Arial" w:cs="Arial" w:eastAsia="Arial" w:hAnsi="Arial"/>
                <w:sz w:val="16"/>
                <w:szCs w:val="16"/>
                <w:b w:val="1"/>
                <w:bCs w:val="1"/>
                <w:color w:val="auto"/>
                <w:w w:val="95"/>
              </w:rPr>
              <w:t>2020</w:t>
            </w:r>
          </w:p>
        </w:tc>
        <w:tc>
          <w:tcPr>
            <w:tcW w:w="5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00" w:type="dxa"/>
            <w:vAlign w:val="bottom"/>
            <w:vMerge w:val="restart"/>
          </w:tcPr>
          <w:p>
            <w:pPr>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auto"/>
            </w:tcBorders>
            <w:gridSpan w:val="2"/>
          </w:tcPr>
          <w:p>
            <w:pPr>
              <w:jc w:val="right"/>
              <w:ind w:right="99"/>
              <w:spacing w:after="0" w:line="183" w:lineRule="exact"/>
              <w:rPr>
                <w:sz w:val="20"/>
                <w:szCs w:val="20"/>
                <w:color w:val="auto"/>
              </w:rPr>
            </w:pPr>
            <w:r>
              <w:rPr>
                <w:rFonts w:ascii="Arial" w:cs="Arial" w:eastAsia="Arial" w:hAnsi="Arial"/>
                <w:sz w:val="16"/>
                <w:szCs w:val="16"/>
                <w:b w:val="1"/>
                <w:bCs w:val="1"/>
                <w:color w:val="auto"/>
              </w:rPr>
              <w:t>GAAP</w:t>
            </w:r>
          </w:p>
        </w:tc>
        <w:tc>
          <w:tcPr>
            <w:tcW w:w="360" w:type="dxa"/>
            <w:vAlign w:val="bottom"/>
          </w:tcPr>
          <w:p>
            <w:pPr>
              <w:spacing w:after="0"/>
              <w:rPr>
                <w:sz w:val="15"/>
                <w:szCs w:val="15"/>
                <w:color w:val="auto"/>
              </w:rPr>
            </w:pPr>
          </w:p>
        </w:tc>
        <w:tc>
          <w:tcPr>
            <w:tcW w:w="84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w w:val="99"/>
              </w:rPr>
              <w:t>Non-GAAP</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Borders>
              <w:bottom w:val="single" w:sz="8" w:color="auto"/>
            </w:tcBorders>
            <w:gridSpan w:val="2"/>
          </w:tcPr>
          <w:p>
            <w:pPr>
              <w:ind w:left="180"/>
              <w:spacing w:after="0" w:line="183" w:lineRule="exact"/>
              <w:rPr>
                <w:sz w:val="20"/>
                <w:szCs w:val="20"/>
                <w:color w:val="auto"/>
              </w:rPr>
            </w:pPr>
            <w:r>
              <w:rPr>
                <w:rFonts w:ascii="Arial" w:cs="Arial" w:eastAsia="Arial" w:hAnsi="Arial"/>
                <w:sz w:val="16"/>
                <w:szCs w:val="16"/>
                <w:b w:val="1"/>
                <w:bCs w:val="1"/>
                <w:color w:val="auto"/>
              </w:rPr>
              <w:t>GAAP</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Borders>
              <w:bottom w:val="single" w:sz="8" w:color="auto"/>
            </w:tcBorders>
            <w:gridSpan w:val="2"/>
          </w:tcPr>
          <w:p>
            <w:pPr>
              <w:ind w:left="20"/>
              <w:spacing w:after="0" w:line="183" w:lineRule="exact"/>
              <w:rPr>
                <w:sz w:val="20"/>
                <w:szCs w:val="20"/>
                <w:color w:val="auto"/>
              </w:rPr>
            </w:pPr>
            <w:r>
              <w:rPr>
                <w:rFonts w:ascii="Arial" w:cs="Arial" w:eastAsia="Arial" w:hAnsi="Arial"/>
                <w:sz w:val="16"/>
                <w:szCs w:val="16"/>
                <w:b w:val="1"/>
                <w:bCs w:val="1"/>
                <w:color w:val="auto"/>
                <w:w w:val="96"/>
              </w:rPr>
              <w:t>Non-GAAP</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Borders>
              <w:bottom w:val="single" w:sz="8" w:color="auto"/>
            </w:tcBorders>
            <w:gridSpan w:val="2"/>
          </w:tcPr>
          <w:p>
            <w:pPr>
              <w:jc w:val="right"/>
              <w:ind w:right="99"/>
              <w:spacing w:after="0" w:line="183" w:lineRule="exact"/>
              <w:rPr>
                <w:sz w:val="20"/>
                <w:szCs w:val="20"/>
                <w:color w:val="auto"/>
              </w:rPr>
            </w:pPr>
            <w:r>
              <w:rPr>
                <w:rFonts w:ascii="Arial" w:cs="Arial" w:eastAsia="Arial" w:hAnsi="Arial"/>
                <w:sz w:val="16"/>
                <w:szCs w:val="16"/>
                <w:b w:val="1"/>
                <w:bCs w:val="1"/>
                <w:color w:val="auto"/>
              </w:rPr>
              <w:t>GAAP</w:t>
            </w:r>
          </w:p>
        </w:tc>
        <w:tc>
          <w:tcPr>
            <w:tcW w:w="360" w:type="dxa"/>
            <w:vAlign w:val="bottom"/>
          </w:tcPr>
          <w:p>
            <w:pPr>
              <w:spacing w:after="0"/>
              <w:rPr>
                <w:sz w:val="15"/>
                <w:szCs w:val="15"/>
                <w:color w:val="auto"/>
              </w:rPr>
            </w:pPr>
          </w:p>
        </w:tc>
        <w:tc>
          <w:tcPr>
            <w:tcW w:w="84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w w:val="99"/>
              </w:rPr>
              <w:t>Non-GAAP</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00" w:type="dxa"/>
            <w:vAlign w:val="bottom"/>
            <w:vMerge w:val="continue"/>
          </w:tcPr>
          <w:p>
            <w:pPr>
              <w:spacing w:after="0"/>
              <w:rPr>
                <w:sz w:val="16"/>
                <w:szCs w:val="16"/>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6,552</w:t>
            </w: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9,570</w:t>
            </w:r>
          </w:p>
        </w:tc>
        <w:tc>
          <w:tcPr>
            <w:tcW w:w="4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5,893</w:t>
            </w: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9,797</w:t>
            </w:r>
          </w:p>
        </w:tc>
        <w:tc>
          <w:tcPr>
            <w:tcW w:w="4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7,264</w:t>
            </w:r>
          </w:p>
        </w:tc>
        <w:tc>
          <w:tcPr>
            <w:tcW w:w="6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9,795</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20"/>
                <w:szCs w:val="20"/>
                <w:color w:val="auto"/>
              </w:rPr>
            </w:pPr>
            <w:r>
              <w:rPr>
                <w:rFonts w:ascii="Arial" w:cs="Arial" w:eastAsia="Arial" w:hAnsi="Arial"/>
                <w:sz w:val="16"/>
                <w:szCs w:val="16"/>
                <w:color w:val="auto"/>
              </w:rPr>
              <w:t>Shares</w:t>
            </w: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160"/>
              <w:spacing w:after="0"/>
              <w:rPr>
                <w:sz w:val="20"/>
                <w:szCs w:val="20"/>
                <w:color w:val="auto"/>
              </w:rPr>
            </w:pPr>
            <w:r>
              <w:rPr>
                <w:rFonts w:ascii="Arial" w:cs="Arial" w:eastAsia="Arial" w:hAnsi="Arial"/>
                <w:sz w:val="16"/>
                <w:szCs w:val="16"/>
                <w:color w:val="auto"/>
              </w:rPr>
              <w:t>Weighted-average shares for basic EPS</w:t>
            </w:r>
          </w:p>
        </w:tc>
        <w:tc>
          <w:tcPr>
            <w:tcW w:w="3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538</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538</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570</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570</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586</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187"/>
        </w:trPr>
        <w:tc>
          <w:tcPr>
            <w:tcW w:w="3600" w:type="dxa"/>
            <w:vAlign w:val="bottom"/>
          </w:tcPr>
          <w:p>
            <w:pPr>
              <w:ind w:left="160"/>
              <w:spacing w:after="0"/>
              <w:rPr>
                <w:sz w:val="20"/>
                <w:szCs w:val="20"/>
                <w:color w:val="auto"/>
              </w:rPr>
            </w:pPr>
            <w:r>
              <w:rPr>
                <w:rFonts w:ascii="Arial" w:cs="Arial" w:eastAsia="Arial" w:hAnsi="Arial"/>
                <w:sz w:val="16"/>
                <w:szCs w:val="16"/>
                <w:color w:val="auto"/>
              </w:rPr>
              <w:t>Effect of dilutive securities</w:t>
            </w:r>
          </w:p>
        </w:tc>
        <w:tc>
          <w:tcPr>
            <w:tcW w:w="3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Pr>
          <w:p>
            <w:pPr>
              <w:ind w:left="160"/>
              <w:spacing w:after="0"/>
              <w:rPr>
                <w:sz w:val="20"/>
                <w:szCs w:val="20"/>
                <w:color w:val="auto"/>
              </w:rPr>
            </w:pPr>
            <w:r>
              <w:rPr>
                <w:rFonts w:ascii="Arial" w:cs="Arial" w:eastAsia="Arial" w:hAnsi="Arial"/>
                <w:sz w:val="16"/>
                <w:szCs w:val="16"/>
                <w:color w:val="auto"/>
              </w:rPr>
              <w:t>Weighted-average shares for diluted EPS</w:t>
            </w:r>
          </w:p>
        </w:tc>
        <w:tc>
          <w:tcPr>
            <w:tcW w:w="3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541</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541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573</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573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590</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Pr>
          <w:p>
            <w:pPr>
              <w:spacing w:after="0"/>
              <w:rPr>
                <w:sz w:val="20"/>
                <w:szCs w:val="20"/>
                <w:color w:val="auto"/>
              </w:rPr>
            </w:pPr>
            <w:r>
              <w:rPr>
                <w:rFonts w:ascii="Arial" w:cs="Arial" w:eastAsia="Arial" w:hAnsi="Arial"/>
                <w:sz w:val="16"/>
                <w:szCs w:val="16"/>
                <w:color w:val="auto"/>
              </w:rPr>
              <w:t>Diluted earnings per share</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12.11</w:t>
            </w:r>
          </w:p>
        </w:tc>
        <w:tc>
          <w:tcPr>
            <w:tcW w:w="3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17.69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10.28</w:t>
            </w:r>
          </w:p>
        </w:tc>
        <w:tc>
          <w:tcPr>
            <w:tcW w:w="6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17.10</w:t>
            </w:r>
          </w:p>
        </w:tc>
        <w:tc>
          <w:tcPr>
            <w:tcW w:w="4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12.31</w:t>
            </w:r>
          </w:p>
        </w:tc>
        <w:tc>
          <w:tcPr>
            <w:tcW w:w="6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16.60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120" w:right="320"/>
        <w:spacing w:after="0" w:line="260" w:lineRule="auto"/>
        <w:rPr>
          <w:sz w:val="20"/>
          <w:szCs w:val="20"/>
          <w:color w:val="auto"/>
        </w:rPr>
      </w:pPr>
      <w:r>
        <w:rPr>
          <w:rFonts w:ascii="Arial" w:cs="Arial" w:eastAsia="Arial" w:hAnsi="Arial"/>
          <w:sz w:val="16"/>
          <w:szCs w:val="16"/>
          <w:color w:val="auto"/>
        </w:rPr>
        <w:t>The following table presents the computations for Invested capital and Return on Invested capital under the terms of the 2020-2022, 2021-2023, and 2022-2024 Performance Periods.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040" w:type="dxa"/>
            <w:vAlign w:val="bottom"/>
            <w:gridSpan w:val="2"/>
            <w:vMerge w:val="restart"/>
          </w:tcPr>
          <w:p>
            <w:pPr>
              <w:ind w:left="440"/>
              <w:spacing w:after="0"/>
              <w:rPr>
                <w:sz w:val="20"/>
                <w:szCs w:val="20"/>
                <w:color w:val="auto"/>
              </w:rPr>
            </w:pPr>
            <w:r>
              <w:rPr>
                <w:rFonts w:ascii="Arial" w:cs="Arial" w:eastAsia="Arial" w:hAnsi="Arial"/>
                <w:sz w:val="16"/>
                <w:szCs w:val="16"/>
                <w:color w:val="auto"/>
              </w:rPr>
              <w:t>Total assets</w:t>
            </w:r>
          </w:p>
        </w:tc>
        <w:tc>
          <w:tcPr>
            <w:tcW w:w="102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6"/>
                <w:szCs w:val="16"/>
                <w:b w:val="1"/>
                <w:bCs w:val="1"/>
                <w:color w:val="auto"/>
              </w:rPr>
              <w:t>12/31/21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w w:val="97"/>
              </w:rPr>
              <w:t>3/31/22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6/30/22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12/31/22</w:t>
            </w: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12/31/22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040" w:type="dxa"/>
            <w:vAlign w:val="bottom"/>
            <w:gridSpan w:val="2"/>
            <w:vMerge w:val="continue"/>
          </w:tcPr>
          <w:p>
            <w:pPr>
              <w:spacing w:after="0"/>
              <w:rPr>
                <w:sz w:val="14"/>
                <w:szCs w:val="14"/>
                <w:color w:val="auto"/>
              </w:rPr>
            </w:pPr>
          </w:p>
        </w:tc>
        <w:tc>
          <w:tcPr>
            <w:tcW w:w="26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59"/>
              <w:spacing w:after="0" w:line="168" w:lineRule="exact"/>
              <w:rPr>
                <w:sz w:val="20"/>
                <w:szCs w:val="20"/>
                <w:color w:val="auto"/>
              </w:rPr>
            </w:pPr>
            <w:r>
              <w:rPr>
                <w:rFonts w:ascii="Arial" w:cs="Arial" w:eastAsia="Arial" w:hAnsi="Arial"/>
                <w:sz w:val="16"/>
                <w:szCs w:val="16"/>
                <w:color w:val="auto"/>
              </w:rPr>
              <w:t>61,165</w:t>
            </w:r>
          </w:p>
        </w:tc>
        <w:tc>
          <w:tcPr>
            <w:tcW w:w="60" w:type="dxa"/>
            <w:vAlign w:val="bottom"/>
          </w:tcPr>
          <w:p>
            <w:pPr>
              <w:spacing w:after="0"/>
              <w:rPr>
                <w:sz w:val="14"/>
                <w:szCs w:val="14"/>
                <w:color w:val="auto"/>
              </w:rPr>
            </w:pPr>
          </w:p>
        </w:tc>
        <w:tc>
          <w:tcPr>
            <w:tcW w:w="600" w:type="dxa"/>
            <w:vAlign w:val="bottom"/>
            <w:gridSpan w:val="6"/>
          </w:tcPr>
          <w:p>
            <w:pPr>
              <w:jc w:val="right"/>
              <w:ind w:right="40"/>
              <w:spacing w:after="0" w:line="168" w:lineRule="exact"/>
              <w:rPr>
                <w:sz w:val="20"/>
                <w:szCs w:val="20"/>
                <w:color w:val="auto"/>
              </w:rPr>
            </w:pPr>
            <w:r>
              <w:rPr>
                <w:rFonts w:ascii="Arial" w:cs="Arial" w:eastAsia="Arial" w:hAnsi="Arial"/>
                <w:sz w:val="16"/>
                <w:szCs w:val="16"/>
                <w:color w:val="auto"/>
              </w:rPr>
              <w:t>$</w:t>
            </w:r>
          </w:p>
        </w:tc>
        <w:tc>
          <w:tcPr>
            <w:tcW w:w="780" w:type="dxa"/>
            <w:vAlign w:val="bottom"/>
            <w:gridSpan w:val="4"/>
          </w:tcPr>
          <w:p>
            <w:pPr>
              <w:ind w:left="160"/>
              <w:spacing w:after="0" w:line="168" w:lineRule="exact"/>
              <w:rPr>
                <w:sz w:val="20"/>
                <w:szCs w:val="20"/>
                <w:color w:val="auto"/>
              </w:rPr>
            </w:pPr>
            <w:r>
              <w:rPr>
                <w:rFonts w:ascii="Arial" w:cs="Arial" w:eastAsia="Arial" w:hAnsi="Arial"/>
                <w:sz w:val="16"/>
                <w:szCs w:val="16"/>
                <w:color w:val="auto"/>
              </w:rPr>
              <w:t>59,196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2"/>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640" w:type="dxa"/>
            <w:vAlign w:val="bottom"/>
          </w:tcPr>
          <w:p>
            <w:pPr>
              <w:ind w:left="20"/>
              <w:spacing w:after="0" w:line="168" w:lineRule="exact"/>
              <w:rPr>
                <w:sz w:val="20"/>
                <w:szCs w:val="20"/>
                <w:color w:val="auto"/>
              </w:rPr>
            </w:pPr>
            <w:r>
              <w:rPr>
                <w:rFonts w:ascii="Arial" w:cs="Arial" w:eastAsia="Arial" w:hAnsi="Arial"/>
                <w:sz w:val="16"/>
                <w:szCs w:val="16"/>
                <w:color w:val="auto"/>
              </w:rPr>
              <w:t>59,294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3"/>
          </w:tcPr>
          <w:p>
            <w:pPr>
              <w:jc w:val="right"/>
              <w:ind w:right="99"/>
              <w:spacing w:after="0" w:line="168" w:lineRule="exact"/>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line="168" w:lineRule="exact"/>
              <w:rPr>
                <w:sz w:val="20"/>
                <w:szCs w:val="20"/>
                <w:color w:val="auto"/>
              </w:rPr>
            </w:pPr>
            <w:r>
              <w:rPr>
                <w:rFonts w:ascii="Arial" w:cs="Arial" w:eastAsia="Arial" w:hAnsi="Arial"/>
                <w:sz w:val="16"/>
                <w:szCs w:val="16"/>
                <w:color w:val="auto"/>
              </w:rPr>
              <w:t>63,700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ind w:right="59"/>
              <w:spacing w:after="0" w:line="168" w:lineRule="exact"/>
              <w:rPr>
                <w:sz w:val="20"/>
                <w:szCs w:val="20"/>
                <w:color w:val="auto"/>
              </w:rPr>
            </w:pPr>
            <w:r>
              <w:rPr>
                <w:rFonts w:ascii="Arial" w:cs="Arial" w:eastAsia="Arial" w:hAnsi="Arial"/>
                <w:sz w:val="16"/>
                <w:szCs w:val="16"/>
                <w:color w:val="auto"/>
              </w:rPr>
              <w:t>65,121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ind w:left="600"/>
              <w:spacing w:after="0"/>
              <w:rPr>
                <w:sz w:val="20"/>
                <w:szCs w:val="20"/>
                <w:color w:val="auto"/>
              </w:rPr>
            </w:pPr>
            <w:r>
              <w:rPr>
                <w:rFonts w:ascii="Arial" w:cs="Arial" w:eastAsia="Arial" w:hAnsi="Arial"/>
                <w:sz w:val="16"/>
                <w:szCs w:val="16"/>
                <w:i w:val="1"/>
                <w:iCs w:val="1"/>
                <w:color w:val="auto"/>
              </w:rPr>
              <w:t xml:space="preserve">less </w:t>
            </w:r>
            <w:r>
              <w:rPr>
                <w:rFonts w:ascii="Arial" w:cs="Arial" w:eastAsia="Arial" w:hAnsi="Arial"/>
                <w:sz w:val="16"/>
                <w:szCs w:val="16"/>
                <w:color w:val="auto"/>
              </w:rPr>
              <w:t>Total current liabilities</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(12,184)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color w:val="auto"/>
              </w:rPr>
              <w:t>(12,886)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(12,618)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(14,331)</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(15,687)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gridSpan w:val="2"/>
          </w:tcPr>
          <w:p>
            <w:pPr>
              <w:ind w:left="440"/>
              <w:spacing w:after="0"/>
              <w:rPr>
                <w:sz w:val="20"/>
                <w:szCs w:val="20"/>
                <w:color w:val="auto"/>
              </w:rPr>
            </w:pPr>
            <w:r>
              <w:rPr>
                <w:rFonts w:ascii="Arial" w:cs="Arial" w:eastAsia="Arial" w:hAnsi="Arial"/>
                <w:sz w:val="16"/>
                <w:szCs w:val="16"/>
                <w:color w:val="auto"/>
              </w:rPr>
              <w:t>Invested capital</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48,981</w:t>
            </w:r>
          </w:p>
        </w:tc>
        <w:tc>
          <w:tcPr>
            <w:tcW w:w="60" w:type="dxa"/>
            <w:vAlign w:val="bottom"/>
          </w:tcPr>
          <w:p>
            <w:pPr>
              <w:spacing w:after="0"/>
              <w:rPr>
                <w:sz w:val="17"/>
                <w:szCs w:val="17"/>
                <w:color w:val="auto"/>
              </w:rPr>
            </w:pPr>
          </w:p>
        </w:tc>
        <w:tc>
          <w:tcPr>
            <w:tcW w:w="380" w:type="dxa"/>
            <w:vAlign w:val="bottom"/>
            <w:gridSpan w:val="3"/>
          </w:tcPr>
          <w:p>
            <w:pPr>
              <w:spacing w:after="0"/>
              <w:rPr>
                <w:sz w:val="17"/>
                <w:szCs w:val="17"/>
                <w:color w:val="auto"/>
              </w:rPr>
            </w:pPr>
          </w:p>
        </w:tc>
        <w:tc>
          <w:tcPr>
            <w:tcW w:w="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color w:val="auto"/>
              </w:rPr>
              <w:t>46,310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46,676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49,369</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49,434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tcPr>
          <w:p>
            <w:pPr>
              <w:ind w:left="40"/>
              <w:spacing w:after="0"/>
              <w:rPr>
                <w:sz w:val="20"/>
                <w:szCs w:val="20"/>
                <w:color w:val="auto"/>
              </w:rPr>
            </w:pPr>
            <w:r>
              <w:rPr>
                <w:rFonts w:ascii="Arial" w:cs="Arial" w:eastAsia="Arial" w:hAnsi="Arial"/>
                <w:sz w:val="16"/>
                <w:szCs w:val="16"/>
                <w:b w:val="1"/>
                <w:bCs w:val="1"/>
                <w:color w:val="auto"/>
              </w:rPr>
              <w:t>Average of</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80" w:type="dxa"/>
            <w:vAlign w:val="bottom"/>
            <w:gridSpan w:val="25"/>
            <w:vMerge w:val="restart"/>
          </w:tcPr>
          <w:p>
            <w:pPr>
              <w:jc w:val="right"/>
              <w:ind w:right="79"/>
              <w:spacing w:after="0"/>
              <w:rPr>
                <w:sz w:val="20"/>
                <w:szCs w:val="20"/>
                <w:color w:val="auto"/>
              </w:rPr>
            </w:pPr>
            <w:r>
              <w:rPr>
                <w:rFonts w:ascii="Arial" w:cs="Arial" w:eastAsia="Arial" w:hAnsi="Arial"/>
                <w:sz w:val="16"/>
                <w:szCs w:val="16"/>
                <w:b w:val="1"/>
                <w:bCs w:val="1"/>
                <w:color w:val="auto"/>
              </w:rPr>
              <w:t>Average Invested Capital for Quarter Ended</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rPr>
              <w:t>Quarterly</w:t>
            </w:r>
          </w:p>
        </w:tc>
        <w:tc>
          <w:tcPr>
            <w:tcW w:w="0" w:type="dxa"/>
            <w:vAlign w:val="bottom"/>
          </w:tcPr>
          <w:p>
            <w:pPr>
              <w:spacing w:after="0"/>
              <w:rPr>
                <w:sz w:val="1"/>
                <w:szCs w:val="1"/>
                <w:color w:val="auto"/>
              </w:rPr>
            </w:pPr>
          </w:p>
        </w:tc>
      </w:tr>
      <w:tr>
        <w:trPr>
          <w:trHeight w:val="147"/>
        </w:trPr>
        <w:tc>
          <w:tcPr>
            <w:tcW w:w="11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580" w:type="dxa"/>
            <w:vAlign w:val="bottom"/>
            <w:tcBorders>
              <w:bottom w:val="single" w:sz="8" w:color="auto"/>
            </w:tcBorders>
            <w:gridSpan w:val="25"/>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jc w:val="right"/>
              <w:ind w:right="220"/>
              <w:spacing w:after="0" w:line="147" w:lineRule="exact"/>
              <w:rPr>
                <w:sz w:val="20"/>
                <w:szCs w:val="20"/>
                <w:color w:val="auto"/>
              </w:rPr>
            </w:pPr>
            <w:r>
              <w:rPr>
                <w:rFonts w:ascii="Arial" w:cs="Arial" w:eastAsia="Arial" w:hAnsi="Arial"/>
                <w:sz w:val="16"/>
                <w:szCs w:val="16"/>
                <w:b w:val="1"/>
                <w:bCs w:val="1"/>
                <w:color w:val="auto"/>
              </w:rPr>
              <w:t>Averages</w:t>
            </w:r>
          </w:p>
        </w:tc>
        <w:tc>
          <w:tcPr>
            <w:tcW w:w="0" w:type="dxa"/>
            <w:vAlign w:val="bottom"/>
          </w:tcPr>
          <w:p>
            <w:pPr>
              <w:spacing w:after="0"/>
              <w:rPr>
                <w:sz w:val="1"/>
                <w:szCs w:val="1"/>
                <w:color w:val="auto"/>
              </w:rPr>
            </w:pPr>
          </w:p>
        </w:tc>
      </w:tr>
      <w:tr>
        <w:trPr>
          <w:trHeight w:val="229"/>
        </w:trPr>
        <w:tc>
          <w:tcPr>
            <w:tcW w:w="4040" w:type="dxa"/>
            <w:vAlign w:val="bottom"/>
            <w:gridSpan w:val="2"/>
            <w:vMerge w:val="restart"/>
          </w:tcPr>
          <w:p>
            <w:pPr>
              <w:ind w:left="780"/>
              <w:spacing w:after="0"/>
              <w:rPr>
                <w:sz w:val="20"/>
                <w:szCs w:val="20"/>
                <w:color w:val="auto"/>
              </w:rPr>
            </w:pPr>
            <w:r>
              <w:rPr>
                <w:rFonts w:ascii="Arial" w:cs="Arial" w:eastAsia="Arial" w:hAnsi="Arial"/>
                <w:sz w:val="16"/>
                <w:szCs w:val="16"/>
                <w:b w:val="1"/>
                <w:bCs w:val="1"/>
                <w:color w:val="auto"/>
              </w:rPr>
              <w:t>Average Invested capital</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6"/>
                <w:szCs w:val="16"/>
                <w:b w:val="1"/>
                <w:bCs w:val="1"/>
                <w:color w:val="auto"/>
              </w:rPr>
              <w:t>3/31/22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6/30/22</w:t>
            </w:r>
          </w:p>
        </w:tc>
        <w:tc>
          <w:tcPr>
            <w:tcW w:w="1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9/30/22</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12/31/22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7"/>
          </w:tcPr>
          <w:p>
            <w:pPr>
              <w:ind w:left="260"/>
              <w:spacing w:after="0"/>
              <w:rPr>
                <w:sz w:val="20"/>
                <w:szCs w:val="20"/>
                <w:color w:val="auto"/>
              </w:rPr>
            </w:pPr>
            <w:r>
              <w:rPr>
                <w:rFonts w:ascii="Arial" w:cs="Arial" w:eastAsia="Arial" w:hAnsi="Arial"/>
                <w:sz w:val="16"/>
                <w:szCs w:val="16"/>
                <w:color w:val="auto"/>
              </w:rPr>
              <w:t>$   47,646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gridSpan w:val="4"/>
          </w:tcPr>
          <w:p>
            <w:pPr>
              <w:ind w:left="40"/>
              <w:spacing w:after="0"/>
              <w:rPr>
                <w:sz w:val="20"/>
                <w:szCs w:val="20"/>
                <w:color w:val="auto"/>
              </w:rPr>
            </w:pPr>
            <w:r>
              <w:rPr>
                <w:rFonts w:ascii="Arial" w:cs="Arial" w:eastAsia="Arial" w:hAnsi="Arial"/>
                <w:sz w:val="16"/>
                <w:szCs w:val="16"/>
                <w:color w:val="auto"/>
              </w:rPr>
              <w:t>46,493</w:t>
            </w:r>
          </w:p>
        </w:tc>
        <w:tc>
          <w:tcPr>
            <w:tcW w:w="20" w:type="dxa"/>
            <w:vAlign w:val="bottom"/>
          </w:tcPr>
          <w:p>
            <w:pPr>
              <w:spacing w:after="0"/>
              <w:rPr>
                <w:sz w:val="18"/>
                <w:szCs w:val="18"/>
                <w:color w:val="auto"/>
              </w:rPr>
            </w:pPr>
          </w:p>
        </w:tc>
        <w:tc>
          <w:tcPr>
            <w:tcW w:w="360" w:type="dxa"/>
            <w:vAlign w:val="bottom"/>
            <w:gridSpan w:val="3"/>
          </w:tcPr>
          <w:p>
            <w:pPr>
              <w:ind w:left="260"/>
              <w:spacing w:after="0"/>
              <w:rPr>
                <w:sz w:val="20"/>
                <w:szCs w:val="20"/>
                <w:color w:val="auto"/>
              </w:rPr>
            </w:pPr>
            <w:r>
              <w:rPr>
                <w:rFonts w:ascii="Arial" w:cs="Arial" w:eastAsia="Arial" w:hAnsi="Arial"/>
                <w:sz w:val="16"/>
                <w:szCs w:val="16"/>
                <w:color w:val="auto"/>
                <w:w w:val="89"/>
              </w:rPr>
              <w:t>$</w:t>
            </w:r>
          </w:p>
        </w:tc>
        <w:tc>
          <w:tcPr>
            <w:tcW w:w="900" w:type="dxa"/>
            <w:vAlign w:val="bottom"/>
            <w:gridSpan w:val="4"/>
          </w:tcPr>
          <w:p>
            <w:pPr>
              <w:ind w:left="240"/>
              <w:spacing w:after="0"/>
              <w:rPr>
                <w:sz w:val="20"/>
                <w:szCs w:val="20"/>
                <w:color w:val="auto"/>
              </w:rPr>
            </w:pPr>
            <w:r>
              <w:rPr>
                <w:rFonts w:ascii="Arial" w:cs="Arial" w:eastAsia="Arial" w:hAnsi="Arial"/>
                <w:sz w:val="16"/>
                <w:szCs w:val="16"/>
                <w:color w:val="auto"/>
              </w:rPr>
              <w:t>48,023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49,402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47,891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ind w:left="780"/>
              <w:spacing w:after="0"/>
              <w:rPr>
                <w:sz w:val="20"/>
                <w:szCs w:val="20"/>
                <w:color w:val="auto"/>
              </w:rPr>
            </w:pPr>
            <w:r>
              <w:rPr>
                <w:rFonts w:ascii="Arial" w:cs="Arial" w:eastAsia="Arial" w:hAnsi="Arial"/>
                <w:sz w:val="16"/>
                <w:szCs w:val="16"/>
                <w:color w:val="auto"/>
              </w:rPr>
              <w:t>2022</w:t>
            </w:r>
          </w:p>
        </w:tc>
        <w:tc>
          <w:tcPr>
            <w:tcW w:w="3140" w:type="dxa"/>
            <w:vAlign w:val="bottom"/>
            <w:gridSpan w:val="3"/>
          </w:tcPr>
          <w:p>
            <w:pPr>
              <w:ind w:left="20"/>
              <w:spacing w:after="0"/>
              <w:rPr>
                <w:sz w:val="20"/>
                <w:szCs w:val="20"/>
                <w:color w:val="auto"/>
              </w:rPr>
            </w:pPr>
            <w:r>
              <w:rPr>
                <w:rFonts w:ascii="Arial" w:cs="Arial" w:eastAsia="Arial" w:hAnsi="Arial"/>
                <w:sz w:val="16"/>
                <w:szCs w:val="16"/>
                <w:color w:val="auto"/>
              </w:rPr>
              <w:t>Non-GAAP Operating Income (per above)</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12,761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160" w:type="dxa"/>
            <w:vAlign w:val="bottom"/>
          </w:tcPr>
          <w:p>
            <w:pPr>
              <w:ind w:left="780"/>
              <w:spacing w:after="0"/>
              <w:rPr>
                <w:sz w:val="20"/>
                <w:szCs w:val="20"/>
                <w:color w:val="auto"/>
              </w:rPr>
            </w:pPr>
            <w:r>
              <w:rPr>
                <w:rFonts w:ascii="Arial" w:cs="Arial" w:eastAsia="Arial" w:hAnsi="Arial"/>
                <w:sz w:val="16"/>
                <w:szCs w:val="16"/>
                <w:color w:val="auto"/>
              </w:rPr>
              <w:t>2022</w:t>
            </w:r>
          </w:p>
        </w:tc>
        <w:tc>
          <w:tcPr>
            <w:tcW w:w="3140" w:type="dxa"/>
            <w:vAlign w:val="bottom"/>
            <w:gridSpan w:val="3"/>
          </w:tcPr>
          <w:p>
            <w:pPr>
              <w:ind w:left="20"/>
              <w:spacing w:after="0"/>
              <w:rPr>
                <w:sz w:val="20"/>
                <w:szCs w:val="20"/>
                <w:color w:val="auto"/>
              </w:rPr>
            </w:pPr>
            <w:r>
              <w:rPr>
                <w:rFonts w:ascii="Arial" w:cs="Arial" w:eastAsia="Arial" w:hAnsi="Arial"/>
                <w:sz w:val="16"/>
                <w:szCs w:val="16"/>
                <w:color w:val="auto"/>
              </w:rPr>
              <w:t xml:space="preserve">After-tax factor (100% </w:t>
            </w:r>
            <w:r>
              <w:rPr>
                <w:rFonts w:ascii="Arial" w:cs="Arial" w:eastAsia="Arial" w:hAnsi="Arial"/>
                <w:sz w:val="16"/>
                <w:szCs w:val="16"/>
                <w:i w:val="1"/>
                <w:iCs w:val="1"/>
                <w:color w:val="auto"/>
              </w:rPr>
              <w:t>less</w:t>
            </w:r>
            <w:r>
              <w:rPr>
                <w:rFonts w:ascii="Arial" w:cs="Arial" w:eastAsia="Arial" w:hAnsi="Arial"/>
                <w:sz w:val="16"/>
                <w:szCs w:val="16"/>
                <w:color w:val="auto"/>
              </w:rPr>
              <w:t xml:space="preserve"> Non-GAAP tax</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040" w:type="dxa"/>
            <w:vAlign w:val="bottom"/>
            <w:gridSpan w:val="2"/>
          </w:tcPr>
          <w:p>
            <w:pPr>
              <w:ind w:left="940"/>
              <w:spacing w:after="0"/>
              <w:rPr>
                <w:sz w:val="20"/>
                <w:szCs w:val="20"/>
                <w:color w:val="auto"/>
              </w:rPr>
            </w:pPr>
            <w:r>
              <w:rPr>
                <w:rFonts w:ascii="Arial" w:cs="Arial" w:eastAsia="Arial" w:hAnsi="Arial"/>
                <w:sz w:val="16"/>
                <w:szCs w:val="16"/>
                <w:color w:val="auto"/>
              </w:rPr>
              <w:t>rate per above)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196"/>
        </w:trPr>
        <w:tc>
          <w:tcPr>
            <w:tcW w:w="1160" w:type="dxa"/>
            <w:vAlign w:val="bottom"/>
          </w:tcPr>
          <w:p>
            <w:pPr>
              <w:ind w:left="780"/>
              <w:spacing w:after="0"/>
              <w:rPr>
                <w:sz w:val="20"/>
                <w:szCs w:val="20"/>
                <w:color w:val="auto"/>
              </w:rPr>
            </w:pPr>
            <w:r>
              <w:rPr>
                <w:rFonts w:ascii="Arial" w:cs="Arial" w:eastAsia="Arial" w:hAnsi="Arial"/>
                <w:sz w:val="16"/>
                <w:szCs w:val="16"/>
                <w:b w:val="1"/>
                <w:bCs w:val="1"/>
                <w:color w:val="auto"/>
              </w:rPr>
              <w:t>2022</w:t>
            </w:r>
          </w:p>
        </w:tc>
        <w:tc>
          <w:tcPr>
            <w:tcW w:w="3960" w:type="dxa"/>
            <w:vAlign w:val="bottom"/>
            <w:gridSpan w:val="7"/>
          </w:tcPr>
          <w:p>
            <w:pPr>
              <w:ind w:left="20"/>
              <w:spacing w:after="0"/>
              <w:rPr>
                <w:sz w:val="20"/>
                <w:szCs w:val="20"/>
                <w:color w:val="auto"/>
              </w:rPr>
            </w:pPr>
            <w:r>
              <w:rPr>
                <w:rFonts w:ascii="Arial" w:cs="Arial" w:eastAsia="Arial" w:hAnsi="Arial"/>
                <w:sz w:val="16"/>
                <w:szCs w:val="16"/>
                <w:b w:val="1"/>
                <w:bCs w:val="1"/>
                <w:color w:val="auto"/>
              </w:rPr>
              <w:t>Non-GAAP Net Operating income after tax</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11,002</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780"/>
              <w:spacing w:after="0"/>
              <w:rPr>
                <w:sz w:val="20"/>
                <w:szCs w:val="20"/>
                <w:color w:val="auto"/>
              </w:rPr>
            </w:pPr>
            <w:r>
              <w:rPr>
                <w:rFonts w:ascii="Arial" w:cs="Arial" w:eastAsia="Arial" w:hAnsi="Arial"/>
                <w:sz w:val="16"/>
                <w:szCs w:val="16"/>
                <w:b w:val="1"/>
                <w:bCs w:val="1"/>
                <w:color w:val="auto"/>
              </w:rPr>
              <w:t>2022</w:t>
            </w:r>
          </w:p>
        </w:tc>
        <w:tc>
          <w:tcPr>
            <w:tcW w:w="7580" w:type="dxa"/>
            <w:vAlign w:val="bottom"/>
            <w:gridSpan w:val="33"/>
            <w:vMerge w:val="restart"/>
          </w:tcPr>
          <w:p>
            <w:pPr>
              <w:ind w:left="20"/>
              <w:spacing w:after="0"/>
              <w:rPr>
                <w:sz w:val="20"/>
                <w:szCs w:val="20"/>
                <w:color w:val="auto"/>
              </w:rPr>
            </w:pPr>
            <w:r>
              <w:rPr>
                <w:rFonts w:ascii="Arial" w:cs="Arial" w:eastAsia="Arial" w:hAnsi="Arial"/>
                <w:sz w:val="16"/>
                <w:szCs w:val="16"/>
                <w:b w:val="1"/>
                <w:bCs w:val="1"/>
                <w:color w:val="auto"/>
              </w:rPr>
              <w:t xml:space="preserve">Return on Invested capital (Net Operating Income after tax </w:t>
            </w:r>
            <w:r>
              <w:rPr>
                <w:rFonts w:ascii="Arial" w:cs="Arial" w:eastAsia="Arial" w:hAnsi="Arial"/>
                <w:sz w:val="16"/>
                <w:szCs w:val="16"/>
                <w:b w:val="1"/>
                <w:bCs w:val="1"/>
                <w:i w:val="1"/>
                <w:iCs w:val="1"/>
                <w:color w:val="auto"/>
              </w:rPr>
              <w:t>divided by</w:t>
            </w:r>
            <w:r>
              <w:rPr>
                <w:rFonts w:ascii="Arial" w:cs="Arial" w:eastAsia="Arial" w:hAnsi="Arial"/>
                <w:sz w:val="16"/>
                <w:szCs w:val="16"/>
                <w:b w:val="1"/>
                <w:bCs w:val="1"/>
                <w:color w:val="auto"/>
              </w:rPr>
              <w:t xml:space="preserve"> Average Invested capital)</w:t>
            </w: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7580" w:type="dxa"/>
            <w:vAlign w:val="bottom"/>
            <w:gridSpan w:val="33"/>
            <w:vMerge w:val="continue"/>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40" w:type="dxa"/>
            <w:vAlign w:val="bottom"/>
            <w:gridSpan w:val="2"/>
            <w:vMerge w:val="restart"/>
          </w:tcPr>
          <w:p>
            <w:pPr>
              <w:ind w:left="440"/>
              <w:spacing w:after="0"/>
              <w:rPr>
                <w:sz w:val="20"/>
                <w:szCs w:val="20"/>
                <w:color w:val="auto"/>
              </w:rPr>
            </w:pPr>
            <w:r>
              <w:rPr>
                <w:rFonts w:ascii="Arial" w:cs="Arial" w:eastAsia="Arial" w:hAnsi="Arial"/>
                <w:sz w:val="16"/>
                <w:szCs w:val="16"/>
                <w:color w:val="auto"/>
              </w:rPr>
              <w:t>Total assets</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12/31/20</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3/31/21</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bottom w:val="single" w:sz="8" w:color="auto"/>
            </w:tcBorders>
            <w:gridSpan w:val="4"/>
          </w:tcPr>
          <w:p>
            <w:pPr>
              <w:ind w:left="260"/>
              <w:spacing w:after="0"/>
              <w:rPr>
                <w:sz w:val="20"/>
                <w:szCs w:val="20"/>
                <w:color w:val="auto"/>
              </w:rPr>
            </w:pPr>
            <w:r>
              <w:rPr>
                <w:rFonts w:ascii="Arial" w:cs="Arial" w:eastAsia="Arial" w:hAnsi="Arial"/>
                <w:sz w:val="16"/>
                <w:szCs w:val="16"/>
                <w:b w:val="1"/>
                <w:bCs w:val="1"/>
                <w:color w:val="auto"/>
              </w:rPr>
              <w:t>6/30/21</w:t>
            </w: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9/30/21</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12/31/21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040" w:type="dxa"/>
            <w:vAlign w:val="bottom"/>
            <w:gridSpan w:val="2"/>
            <w:vMerge w:val="continue"/>
          </w:tcPr>
          <w:p>
            <w:pPr>
              <w:spacing w:after="0"/>
              <w:rPr>
                <w:sz w:val="14"/>
                <w:szCs w:val="14"/>
                <w:color w:val="auto"/>
              </w:rPr>
            </w:pPr>
          </w:p>
        </w:tc>
        <w:tc>
          <w:tcPr>
            <w:tcW w:w="26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w:t>
            </w:r>
          </w:p>
        </w:tc>
        <w:tc>
          <w:tcPr>
            <w:tcW w:w="760" w:type="dxa"/>
            <w:vAlign w:val="bottom"/>
            <w:gridSpan w:val="3"/>
          </w:tcPr>
          <w:p>
            <w:pPr>
              <w:ind w:left="240"/>
              <w:spacing w:after="0" w:line="168" w:lineRule="exact"/>
              <w:rPr>
                <w:sz w:val="20"/>
                <w:szCs w:val="20"/>
                <w:color w:val="auto"/>
              </w:rPr>
            </w:pPr>
            <w:r>
              <w:rPr>
                <w:rFonts w:ascii="Arial" w:cs="Arial" w:eastAsia="Arial" w:hAnsi="Arial"/>
                <w:sz w:val="16"/>
                <w:szCs w:val="16"/>
                <w:color w:val="auto"/>
              </w:rPr>
              <w:t>62,948</w:t>
            </w:r>
          </w:p>
        </w:tc>
        <w:tc>
          <w:tcPr>
            <w:tcW w:w="60" w:type="dxa"/>
            <w:vAlign w:val="bottom"/>
          </w:tcPr>
          <w:p>
            <w:pPr>
              <w:spacing w:after="0"/>
              <w:rPr>
                <w:sz w:val="14"/>
                <w:szCs w:val="14"/>
                <w:color w:val="auto"/>
              </w:rPr>
            </w:pPr>
          </w:p>
        </w:tc>
        <w:tc>
          <w:tcPr>
            <w:tcW w:w="600" w:type="dxa"/>
            <w:vAlign w:val="bottom"/>
            <w:gridSpan w:val="6"/>
          </w:tcPr>
          <w:p>
            <w:pPr>
              <w:jc w:val="right"/>
              <w:spacing w:after="0" w:line="168" w:lineRule="exact"/>
              <w:rPr>
                <w:sz w:val="20"/>
                <w:szCs w:val="20"/>
                <w:color w:val="auto"/>
              </w:rPr>
            </w:pPr>
            <w:r>
              <w:rPr>
                <w:rFonts w:ascii="Arial" w:cs="Arial" w:eastAsia="Arial" w:hAnsi="Arial"/>
                <w:sz w:val="16"/>
                <w:szCs w:val="16"/>
                <w:color w:val="auto"/>
              </w:rPr>
              <w:t>$</w:t>
            </w:r>
          </w:p>
        </w:tc>
        <w:tc>
          <w:tcPr>
            <w:tcW w:w="780" w:type="dxa"/>
            <w:vAlign w:val="bottom"/>
            <w:gridSpan w:val="4"/>
          </w:tcPr>
          <w:p>
            <w:pPr>
              <w:ind w:left="240"/>
              <w:spacing w:after="0" w:line="168" w:lineRule="exact"/>
              <w:rPr>
                <w:sz w:val="20"/>
                <w:szCs w:val="20"/>
                <w:color w:val="auto"/>
              </w:rPr>
            </w:pPr>
            <w:r>
              <w:rPr>
                <w:rFonts w:ascii="Arial" w:cs="Arial" w:eastAsia="Arial" w:hAnsi="Arial"/>
                <w:sz w:val="16"/>
                <w:szCs w:val="16"/>
                <w:color w:val="auto"/>
              </w:rPr>
              <w:t>62,539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2"/>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640" w:type="dxa"/>
            <w:vAlign w:val="bottom"/>
          </w:tcPr>
          <w:p>
            <w:pPr>
              <w:ind w:left="80"/>
              <w:spacing w:after="0" w:line="168" w:lineRule="exact"/>
              <w:rPr>
                <w:sz w:val="20"/>
                <w:szCs w:val="20"/>
                <w:color w:val="auto"/>
              </w:rPr>
            </w:pPr>
            <w:r>
              <w:rPr>
                <w:rFonts w:ascii="Arial" w:cs="Arial" w:eastAsia="Arial" w:hAnsi="Arial"/>
                <w:sz w:val="16"/>
                <w:szCs w:val="16"/>
                <w:color w:val="auto"/>
              </w:rPr>
              <w:t>59,773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Arial" w:cs="Arial" w:eastAsia="Arial" w:hAnsi="Arial"/>
                <w:sz w:val="16"/>
                <w:szCs w:val="16"/>
                <w:color w:val="auto"/>
              </w:rPr>
              <w:t>64,993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ind w:left="60"/>
              <w:spacing w:after="0" w:line="168"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line="168" w:lineRule="exact"/>
              <w:rPr>
                <w:sz w:val="20"/>
                <w:szCs w:val="20"/>
                <w:color w:val="auto"/>
              </w:rPr>
            </w:pPr>
            <w:r>
              <w:rPr>
                <w:rFonts w:ascii="Arial" w:cs="Arial" w:eastAsia="Arial" w:hAnsi="Arial"/>
                <w:sz w:val="16"/>
                <w:szCs w:val="16"/>
                <w:color w:val="auto"/>
              </w:rPr>
              <w:t>61,165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ind w:left="600"/>
              <w:spacing w:after="0"/>
              <w:rPr>
                <w:sz w:val="20"/>
                <w:szCs w:val="20"/>
                <w:color w:val="auto"/>
              </w:rPr>
            </w:pPr>
            <w:r>
              <w:rPr>
                <w:rFonts w:ascii="Arial" w:cs="Arial" w:eastAsia="Arial" w:hAnsi="Arial"/>
                <w:sz w:val="16"/>
                <w:szCs w:val="16"/>
                <w:i w:val="1"/>
                <w:iCs w:val="1"/>
                <w:color w:val="auto"/>
              </w:rPr>
              <w:t xml:space="preserve">less </w:t>
            </w:r>
            <w:r>
              <w:rPr>
                <w:rFonts w:ascii="Arial" w:cs="Arial" w:eastAsia="Arial" w:hAnsi="Arial"/>
                <w:sz w:val="16"/>
                <w:szCs w:val="16"/>
                <w:color w:val="auto"/>
              </w:rPr>
              <w:t>Total current liabilities</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color w:val="auto"/>
              </w:rPr>
              <w:t>(11,653)</w:t>
            </w:r>
          </w:p>
        </w:tc>
        <w:tc>
          <w:tcPr>
            <w:tcW w:w="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(12,869)</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(14,585)</w:t>
            </w: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(14,842)</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(12,184)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gridSpan w:val="2"/>
          </w:tcPr>
          <w:p>
            <w:pPr>
              <w:ind w:left="440"/>
              <w:spacing w:after="0"/>
              <w:rPr>
                <w:sz w:val="20"/>
                <w:szCs w:val="20"/>
                <w:color w:val="auto"/>
              </w:rPr>
            </w:pPr>
            <w:r>
              <w:rPr>
                <w:rFonts w:ascii="Arial" w:cs="Arial" w:eastAsia="Arial" w:hAnsi="Arial"/>
                <w:sz w:val="16"/>
                <w:szCs w:val="16"/>
                <w:color w:val="auto"/>
              </w:rPr>
              <w:t>Invested capital</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color w:val="auto"/>
              </w:rPr>
              <w:t>51,295</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80" w:type="dxa"/>
            <w:vAlign w:val="bottom"/>
            <w:gridSpan w:val="3"/>
          </w:tcPr>
          <w:p>
            <w:pPr>
              <w:spacing w:after="0"/>
              <w:rPr>
                <w:sz w:val="17"/>
                <w:szCs w:val="17"/>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color w:val="auto"/>
              </w:rPr>
              <w:t>49,670</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45,188</w:t>
            </w: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50,151</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48,981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tcPr>
          <w:p>
            <w:pPr>
              <w:ind w:left="80"/>
              <w:spacing w:after="0"/>
              <w:rPr>
                <w:sz w:val="20"/>
                <w:szCs w:val="20"/>
                <w:color w:val="auto"/>
              </w:rPr>
            </w:pPr>
            <w:r>
              <w:rPr>
                <w:rFonts w:ascii="Arial" w:cs="Arial" w:eastAsia="Arial" w:hAnsi="Arial"/>
                <w:sz w:val="16"/>
                <w:szCs w:val="16"/>
                <w:b w:val="1"/>
                <w:bCs w:val="1"/>
                <w:color w:val="auto"/>
              </w:rPr>
              <w:t>Average of</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00" w:type="dxa"/>
            <w:vAlign w:val="bottom"/>
            <w:gridSpan w:val="28"/>
            <w:vMerge w:val="restart"/>
          </w:tcPr>
          <w:p>
            <w:pPr>
              <w:jc w:val="right"/>
              <w:ind w:right="700"/>
              <w:spacing w:after="0"/>
              <w:rPr>
                <w:sz w:val="20"/>
                <w:szCs w:val="20"/>
                <w:color w:val="auto"/>
              </w:rPr>
            </w:pPr>
            <w:r>
              <w:rPr>
                <w:rFonts w:ascii="Arial" w:cs="Arial" w:eastAsia="Arial" w:hAnsi="Arial"/>
                <w:sz w:val="16"/>
                <w:szCs w:val="16"/>
                <w:b w:val="1"/>
                <w:bCs w:val="1"/>
                <w:color w:val="auto"/>
              </w:rPr>
              <w:t>Average Invested Capital for Quarter Ended</w:t>
            </w:r>
          </w:p>
        </w:tc>
        <w:tc>
          <w:tcPr>
            <w:tcW w:w="340" w:type="dxa"/>
            <w:vAlign w:val="bottom"/>
            <w:gridSpan w:val="3"/>
            <w:vMerge w:val="restart"/>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4"/>
          </w:tcPr>
          <w:p>
            <w:pPr>
              <w:ind w:left="140"/>
              <w:spacing w:after="0"/>
              <w:rPr>
                <w:sz w:val="20"/>
                <w:szCs w:val="20"/>
                <w:color w:val="auto"/>
              </w:rPr>
            </w:pPr>
            <w:r>
              <w:rPr>
                <w:rFonts w:ascii="Arial" w:cs="Arial" w:eastAsia="Arial" w:hAnsi="Arial"/>
                <w:sz w:val="16"/>
                <w:szCs w:val="16"/>
                <w:b w:val="1"/>
                <w:bCs w:val="1"/>
                <w:color w:val="auto"/>
              </w:rPr>
              <w:t>Quarterly</w:t>
            </w: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100" w:type="dxa"/>
            <w:vAlign w:val="bottom"/>
            <w:tcBorders>
              <w:bottom w:val="single" w:sz="8" w:color="auto"/>
            </w:tcBorders>
            <w:gridSpan w:val="28"/>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4"/>
          </w:tcPr>
          <w:p>
            <w:pPr>
              <w:ind w:left="140"/>
              <w:spacing w:after="0" w:line="147" w:lineRule="exact"/>
              <w:rPr>
                <w:sz w:val="20"/>
                <w:szCs w:val="20"/>
                <w:color w:val="auto"/>
              </w:rPr>
            </w:pPr>
            <w:r>
              <w:rPr>
                <w:rFonts w:ascii="Arial" w:cs="Arial" w:eastAsia="Arial" w:hAnsi="Arial"/>
                <w:sz w:val="16"/>
                <w:szCs w:val="16"/>
                <w:b w:val="1"/>
                <w:bCs w:val="1"/>
                <w:color w:val="auto"/>
              </w:rPr>
              <w:t>Averages</w:t>
            </w:r>
          </w:p>
        </w:tc>
        <w:tc>
          <w:tcPr>
            <w:tcW w:w="0" w:type="dxa"/>
            <w:vAlign w:val="bottom"/>
          </w:tcPr>
          <w:p>
            <w:pPr>
              <w:spacing w:after="0"/>
              <w:rPr>
                <w:sz w:val="1"/>
                <w:szCs w:val="1"/>
                <w:color w:val="auto"/>
              </w:rPr>
            </w:pPr>
          </w:p>
        </w:tc>
      </w:tr>
      <w:tr>
        <w:trPr>
          <w:trHeight w:val="226"/>
        </w:trPr>
        <w:tc>
          <w:tcPr>
            <w:tcW w:w="4040" w:type="dxa"/>
            <w:vAlign w:val="bottom"/>
            <w:gridSpan w:val="2"/>
            <w:vMerge w:val="restart"/>
          </w:tcPr>
          <w:p>
            <w:pPr>
              <w:ind w:left="780"/>
              <w:spacing w:after="0"/>
              <w:rPr>
                <w:sz w:val="20"/>
                <w:szCs w:val="20"/>
                <w:color w:val="auto"/>
              </w:rPr>
            </w:pPr>
            <w:r>
              <w:rPr>
                <w:rFonts w:ascii="Arial" w:cs="Arial" w:eastAsia="Arial" w:hAnsi="Arial"/>
                <w:sz w:val="16"/>
                <w:szCs w:val="16"/>
                <w:b w:val="1"/>
                <w:bCs w:val="1"/>
                <w:color w:val="auto"/>
              </w:rPr>
              <w:t>Average Invested capital</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7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3/31/21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6/30/21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9/30/21</w:t>
            </w:r>
          </w:p>
        </w:tc>
        <w:tc>
          <w:tcPr>
            <w:tcW w:w="1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12/31/21</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0" w:type="dxa"/>
            <w:vAlign w:val="bottom"/>
            <w:gridSpan w:val="6"/>
          </w:tcPr>
          <w:p>
            <w:pPr>
              <w:jc w:val="right"/>
              <w:ind w:right="60"/>
              <w:spacing w:after="0"/>
              <w:rPr>
                <w:sz w:val="20"/>
                <w:szCs w:val="20"/>
                <w:color w:val="auto"/>
              </w:rPr>
            </w:pPr>
            <w:r>
              <w:rPr>
                <w:rFonts w:ascii="Arial" w:cs="Arial" w:eastAsia="Arial" w:hAnsi="Arial"/>
                <w:sz w:val="16"/>
                <w:szCs w:val="16"/>
                <w:color w:val="auto"/>
              </w:rPr>
              <w:t>50,483</w:t>
            </w: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5"/>
          </w:tcPr>
          <w:p>
            <w:pPr>
              <w:jc w:val="right"/>
              <w:ind w:right="20"/>
              <w:spacing w:after="0"/>
              <w:rPr>
                <w:sz w:val="20"/>
                <w:szCs w:val="20"/>
                <w:color w:val="auto"/>
              </w:rPr>
            </w:pPr>
            <w:r>
              <w:rPr>
                <w:rFonts w:ascii="Arial" w:cs="Arial" w:eastAsia="Arial" w:hAnsi="Arial"/>
                <w:sz w:val="16"/>
                <w:szCs w:val="16"/>
                <w:color w:val="auto"/>
              </w:rPr>
              <w:t>47,429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5"/>
          </w:tcPr>
          <w:p>
            <w:pPr>
              <w:ind w:left="60"/>
              <w:spacing w:after="0"/>
              <w:rPr>
                <w:sz w:val="20"/>
                <w:szCs w:val="20"/>
                <w:color w:val="auto"/>
              </w:rPr>
            </w:pPr>
            <w:r>
              <w:rPr>
                <w:rFonts w:ascii="Arial" w:cs="Arial" w:eastAsia="Arial" w:hAnsi="Arial"/>
                <w:sz w:val="16"/>
                <w:szCs w:val="16"/>
                <w:color w:val="auto"/>
              </w:rPr>
              <w:t>$   47,670</w:t>
            </w:r>
          </w:p>
        </w:tc>
        <w:tc>
          <w:tcPr>
            <w:tcW w:w="2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5"/>
          </w:tcPr>
          <w:p>
            <w:pPr>
              <w:jc w:val="right"/>
              <w:ind w:right="280"/>
              <w:spacing w:after="0"/>
              <w:rPr>
                <w:sz w:val="20"/>
                <w:szCs w:val="20"/>
                <w:color w:val="auto"/>
              </w:rPr>
            </w:pPr>
            <w:r>
              <w:rPr>
                <w:rFonts w:ascii="Arial" w:cs="Arial" w:eastAsia="Arial" w:hAnsi="Arial"/>
                <w:sz w:val="16"/>
                <w:szCs w:val="16"/>
                <w:color w:val="auto"/>
              </w:rPr>
              <w:t>49,566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ind w:left="160"/>
              <w:spacing w:after="0"/>
              <w:rPr>
                <w:sz w:val="20"/>
                <w:szCs w:val="20"/>
                <w:color w:val="auto"/>
              </w:rPr>
            </w:pPr>
            <w:r>
              <w:rPr>
                <w:rFonts w:ascii="Arial" w:cs="Arial" w:eastAsia="Arial" w:hAnsi="Arial"/>
                <w:sz w:val="16"/>
                <w:szCs w:val="16"/>
                <w:b w:val="1"/>
                <w:bCs w:val="1"/>
                <w:color w:val="auto"/>
              </w:rPr>
              <w:t>48,787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1160" w:type="dxa"/>
            <w:vAlign w:val="bottom"/>
          </w:tcPr>
          <w:p>
            <w:pPr>
              <w:ind w:left="780"/>
              <w:spacing w:after="0"/>
              <w:rPr>
                <w:sz w:val="20"/>
                <w:szCs w:val="20"/>
                <w:color w:val="auto"/>
              </w:rPr>
            </w:pPr>
            <w:r>
              <w:rPr>
                <w:rFonts w:ascii="Arial" w:cs="Arial" w:eastAsia="Arial" w:hAnsi="Arial"/>
                <w:sz w:val="16"/>
                <w:szCs w:val="16"/>
                <w:color w:val="auto"/>
              </w:rPr>
              <w:t>2021</w:t>
            </w:r>
          </w:p>
        </w:tc>
        <w:tc>
          <w:tcPr>
            <w:tcW w:w="3140" w:type="dxa"/>
            <w:vAlign w:val="bottom"/>
            <w:gridSpan w:val="3"/>
          </w:tcPr>
          <w:p>
            <w:pPr>
              <w:ind w:left="20"/>
              <w:spacing w:after="0"/>
              <w:rPr>
                <w:sz w:val="20"/>
                <w:szCs w:val="20"/>
                <w:color w:val="auto"/>
              </w:rPr>
            </w:pPr>
            <w:r>
              <w:rPr>
                <w:rFonts w:ascii="Arial" w:cs="Arial" w:eastAsia="Arial" w:hAnsi="Arial"/>
                <w:sz w:val="16"/>
                <w:szCs w:val="16"/>
                <w:color w:val="auto"/>
              </w:rPr>
              <w:t>Non-GAAP Operating Income (per above)</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ind w:left="160"/>
              <w:spacing w:after="0"/>
              <w:rPr>
                <w:sz w:val="20"/>
                <w:szCs w:val="20"/>
                <w:color w:val="auto"/>
              </w:rPr>
            </w:pPr>
            <w:r>
              <w:rPr>
                <w:rFonts w:ascii="Arial" w:cs="Arial" w:eastAsia="Arial" w:hAnsi="Arial"/>
                <w:sz w:val="16"/>
                <w:szCs w:val="16"/>
                <w:color w:val="auto"/>
              </w:rPr>
              <w:t>12,424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60" w:type="dxa"/>
            <w:vAlign w:val="bottom"/>
          </w:tcPr>
          <w:p>
            <w:pPr>
              <w:ind w:left="780"/>
              <w:spacing w:after="0"/>
              <w:rPr>
                <w:sz w:val="20"/>
                <w:szCs w:val="20"/>
                <w:color w:val="auto"/>
              </w:rPr>
            </w:pPr>
            <w:r>
              <w:rPr>
                <w:rFonts w:ascii="Arial" w:cs="Arial" w:eastAsia="Arial" w:hAnsi="Arial"/>
                <w:sz w:val="16"/>
                <w:szCs w:val="16"/>
                <w:color w:val="auto"/>
              </w:rPr>
              <w:t>2021</w:t>
            </w:r>
          </w:p>
        </w:tc>
        <w:tc>
          <w:tcPr>
            <w:tcW w:w="3960" w:type="dxa"/>
            <w:vAlign w:val="bottom"/>
            <w:gridSpan w:val="7"/>
          </w:tcPr>
          <w:p>
            <w:pPr>
              <w:ind w:left="20"/>
              <w:spacing w:after="0"/>
              <w:rPr>
                <w:sz w:val="20"/>
                <w:szCs w:val="20"/>
                <w:color w:val="auto"/>
              </w:rPr>
            </w:pPr>
            <w:r>
              <w:rPr>
                <w:rFonts w:ascii="Arial" w:cs="Arial" w:eastAsia="Arial" w:hAnsi="Arial"/>
                <w:sz w:val="16"/>
                <w:szCs w:val="16"/>
                <w:color w:val="auto"/>
              </w:rPr>
              <w:t>After-tax factor (100% less Non-GAAP tax rate</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40" w:type="dxa"/>
            <w:vAlign w:val="bottom"/>
            <w:gridSpan w:val="2"/>
          </w:tcPr>
          <w:p>
            <w:pPr>
              <w:ind w:left="940"/>
              <w:spacing w:after="0"/>
              <w:rPr>
                <w:sz w:val="20"/>
                <w:szCs w:val="20"/>
                <w:color w:val="auto"/>
              </w:rPr>
            </w:pPr>
            <w:r>
              <w:rPr>
                <w:rFonts w:ascii="Arial" w:cs="Arial" w:eastAsia="Arial" w:hAnsi="Arial"/>
                <w:sz w:val="16"/>
                <w:szCs w:val="16"/>
                <w:color w:val="auto"/>
              </w:rPr>
              <w:t>per above)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87.2%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780"/>
              <w:spacing w:after="0"/>
              <w:rPr>
                <w:sz w:val="20"/>
                <w:szCs w:val="20"/>
                <w:color w:val="auto"/>
              </w:rPr>
            </w:pPr>
            <w:r>
              <w:rPr>
                <w:rFonts w:ascii="Arial" w:cs="Arial" w:eastAsia="Arial" w:hAnsi="Arial"/>
                <w:sz w:val="16"/>
                <w:szCs w:val="16"/>
                <w:b w:val="1"/>
                <w:bCs w:val="1"/>
                <w:color w:val="auto"/>
              </w:rPr>
              <w:t>2021</w:t>
            </w:r>
          </w:p>
        </w:tc>
        <w:tc>
          <w:tcPr>
            <w:tcW w:w="3960" w:type="dxa"/>
            <w:vAlign w:val="bottom"/>
            <w:gridSpan w:val="7"/>
          </w:tcPr>
          <w:p>
            <w:pPr>
              <w:ind w:left="20"/>
              <w:spacing w:after="0"/>
              <w:rPr>
                <w:sz w:val="20"/>
                <w:szCs w:val="20"/>
                <w:color w:val="auto"/>
              </w:rPr>
            </w:pPr>
            <w:r>
              <w:rPr>
                <w:rFonts w:ascii="Arial" w:cs="Arial" w:eastAsia="Arial" w:hAnsi="Arial"/>
                <w:sz w:val="16"/>
                <w:szCs w:val="16"/>
                <w:b w:val="1"/>
                <w:bCs w:val="1"/>
                <w:color w:val="auto"/>
              </w:rPr>
              <w:t>Non-GAAP Net Operating Income after tax</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10,834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780"/>
              <w:spacing w:after="0"/>
              <w:rPr>
                <w:sz w:val="20"/>
                <w:szCs w:val="20"/>
                <w:color w:val="auto"/>
              </w:rPr>
            </w:pPr>
            <w:r>
              <w:rPr>
                <w:rFonts w:ascii="Arial" w:cs="Arial" w:eastAsia="Arial" w:hAnsi="Arial"/>
                <w:sz w:val="16"/>
                <w:szCs w:val="16"/>
                <w:b w:val="1"/>
                <w:bCs w:val="1"/>
                <w:color w:val="auto"/>
              </w:rPr>
              <w:t>2021</w:t>
            </w:r>
          </w:p>
        </w:tc>
        <w:tc>
          <w:tcPr>
            <w:tcW w:w="7580" w:type="dxa"/>
            <w:vAlign w:val="bottom"/>
            <w:gridSpan w:val="33"/>
            <w:vMerge w:val="restart"/>
          </w:tcPr>
          <w:p>
            <w:pPr>
              <w:ind w:left="20"/>
              <w:spacing w:after="0"/>
              <w:rPr>
                <w:sz w:val="20"/>
                <w:szCs w:val="20"/>
                <w:color w:val="auto"/>
              </w:rPr>
            </w:pPr>
            <w:r>
              <w:rPr>
                <w:rFonts w:ascii="Arial" w:cs="Arial" w:eastAsia="Arial" w:hAnsi="Arial"/>
                <w:sz w:val="16"/>
                <w:szCs w:val="16"/>
                <w:b w:val="1"/>
                <w:bCs w:val="1"/>
                <w:color w:val="auto"/>
              </w:rPr>
              <w:t xml:space="preserve">Return on Invested capital (Net Operating Income after tax </w:t>
            </w:r>
            <w:r>
              <w:rPr>
                <w:rFonts w:ascii="Arial" w:cs="Arial" w:eastAsia="Arial" w:hAnsi="Arial"/>
                <w:sz w:val="16"/>
                <w:szCs w:val="16"/>
                <w:b w:val="1"/>
                <w:bCs w:val="1"/>
                <w:i w:val="1"/>
                <w:iCs w:val="1"/>
                <w:color w:val="auto"/>
              </w:rPr>
              <w:t>divided by</w:t>
            </w:r>
            <w:r>
              <w:rPr>
                <w:rFonts w:ascii="Arial" w:cs="Arial" w:eastAsia="Arial" w:hAnsi="Arial"/>
                <w:sz w:val="16"/>
                <w:szCs w:val="16"/>
                <w:b w:val="1"/>
                <w:bCs w:val="1"/>
                <w:color w:val="auto"/>
              </w:rPr>
              <w:t xml:space="preserve"> Average Invested capital)</w:t>
            </w: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7580" w:type="dxa"/>
            <w:vAlign w:val="bottom"/>
            <w:gridSpan w:val="33"/>
            <w:vMerge w:val="continue"/>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20"/>
                <w:szCs w:val="20"/>
                <w:b w:val="1"/>
                <w:bCs w:val="1"/>
                <w:color w:val="474747"/>
              </w:rPr>
              <w:t>B-4</w:t>
            </w:r>
          </w:p>
        </w:tc>
        <w:tc>
          <w:tcPr>
            <w:tcW w:w="2880" w:type="dxa"/>
            <w:vAlign w:val="bottom"/>
            <w:vMerge w:val="restart"/>
          </w:tcPr>
          <w:p>
            <w:pPr>
              <w:ind w:left="520"/>
              <w:spacing w:after="0"/>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1160" w:type="dxa"/>
            <w:vAlign w:val="bottom"/>
            <w:vMerge w:val="continue"/>
          </w:tcPr>
          <w:p>
            <w:pPr>
              <w:spacing w:after="0"/>
              <w:rPr>
                <w:sz w:val="24"/>
                <w:szCs w:val="24"/>
                <w:color w:val="auto"/>
              </w:rPr>
            </w:pPr>
          </w:p>
        </w:tc>
        <w:tc>
          <w:tcPr>
            <w:tcW w:w="2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-184785</wp:posOffset>
            </wp:positionV>
            <wp:extent cx="582930" cy="13716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060"/>
          </w:cols>
          <w:pgMar w:left="320" w:top="486" w:right="51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tbl>
      <w:tblPr>
        <w:tblLayout w:type="fixed"/>
        <w:tblInd w:w="560" w:type="dxa"/>
        <w:tblCellMar>
          <w:top w:w="0" w:type="dxa"/>
          <w:left w:w="0" w:type="dxa"/>
          <w:bottom w:w="0" w:type="dxa"/>
          <w:right w:w="0" w:type="dxa"/>
        </w:tblCellMar>
      </w:tblPr>
      <w:tr>
        <w:trPr>
          <w:trHeight w:val="318"/>
        </w:trPr>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Borders>
              <w:right w:val="single" w:sz="8" w:color="0171B9"/>
            </w:tcBorders>
          </w:tcPr>
          <w:p>
            <w:pPr>
              <w:spacing w:after="0"/>
              <w:rPr>
                <w:sz w:val="24"/>
                <w:szCs w:val="24"/>
                <w:color w:val="auto"/>
              </w:rPr>
            </w:pPr>
          </w:p>
        </w:tc>
        <w:tc>
          <w:tcPr>
            <w:tcW w:w="1360" w:type="dxa"/>
            <w:vAlign w:val="bottom"/>
            <w:tcBorders>
              <w:bottom w:val="single" w:sz="8" w:color="0171B9"/>
            </w:tcBorders>
            <w:gridSpan w:val="3"/>
            <w:shd w:val="clear" w:color="auto" w:fill="0171B9"/>
          </w:tcPr>
          <w:p>
            <w:pPr>
              <w:ind w:left="80"/>
              <w:spacing w:after="0"/>
              <w:rPr>
                <w:sz w:val="20"/>
                <w:szCs w:val="20"/>
                <w:color w:val="auto"/>
              </w:rPr>
            </w:pPr>
            <w:r>
              <w:rPr>
                <w:rFonts w:ascii="Arial" w:cs="Arial" w:eastAsia="Arial" w:hAnsi="Arial"/>
                <w:sz w:val="22"/>
                <w:szCs w:val="22"/>
                <w:b w:val="1"/>
                <w:bCs w:val="1"/>
                <w:color w:val="FFFFFF"/>
                <w:shd w:val="clear" w:color="auto" w:fill="0171B9"/>
              </w:rPr>
              <w:t>Appendix B</w:t>
            </w:r>
          </w:p>
        </w:tc>
        <w:tc>
          <w:tcPr>
            <w:tcW w:w="0" w:type="dxa"/>
            <w:vAlign w:val="bottom"/>
          </w:tcPr>
          <w:p>
            <w:pPr>
              <w:spacing w:after="0"/>
              <w:rPr>
                <w:sz w:val="1"/>
                <w:szCs w:val="1"/>
                <w:color w:val="auto"/>
              </w:rPr>
            </w:pPr>
          </w:p>
        </w:tc>
      </w:tr>
      <w:tr>
        <w:trPr>
          <w:trHeight w:val="486"/>
        </w:trPr>
        <w:tc>
          <w:tcPr>
            <w:tcW w:w="2840" w:type="dxa"/>
            <w:vAlign w:val="bottom"/>
            <w:vMerge w:val="restart"/>
          </w:tcPr>
          <w:p>
            <w:pPr>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17"/>
              <w:spacing w:after="0"/>
              <w:rPr>
                <w:sz w:val="20"/>
                <w:szCs w:val="20"/>
                <w:color w:val="auto"/>
              </w:rPr>
            </w:pPr>
            <w:r>
              <w:rPr>
                <w:rFonts w:ascii="Arial" w:cs="Arial" w:eastAsia="Arial" w:hAnsi="Arial"/>
                <w:sz w:val="16"/>
                <w:szCs w:val="16"/>
                <w:b w:val="1"/>
                <w:bCs w:val="1"/>
                <w:color w:val="auto"/>
              </w:rPr>
              <w:t>12/31/19</w:t>
            </w:r>
          </w:p>
        </w:tc>
        <w:tc>
          <w:tcPr>
            <w:tcW w:w="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37"/>
              <w:spacing w:after="0"/>
              <w:rPr>
                <w:sz w:val="20"/>
                <w:szCs w:val="20"/>
                <w:color w:val="auto"/>
              </w:rPr>
            </w:pPr>
            <w:r>
              <w:rPr>
                <w:rFonts w:ascii="Arial" w:cs="Arial" w:eastAsia="Arial" w:hAnsi="Arial"/>
                <w:sz w:val="16"/>
                <w:szCs w:val="16"/>
                <w:b w:val="1"/>
                <w:bCs w:val="1"/>
                <w:color w:val="auto"/>
              </w:rPr>
              <w:t>3/31/20</w:t>
            </w:r>
          </w:p>
        </w:tc>
        <w:tc>
          <w:tcPr>
            <w:tcW w:w="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6"/>
                <w:szCs w:val="16"/>
                <w:b w:val="1"/>
                <w:bCs w:val="1"/>
                <w:color w:val="auto"/>
              </w:rPr>
              <w:t>6/30/20</w:t>
            </w:r>
          </w:p>
        </w:tc>
        <w:tc>
          <w:tcPr>
            <w:tcW w:w="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7"/>
              <w:spacing w:after="0"/>
              <w:rPr>
                <w:sz w:val="20"/>
                <w:szCs w:val="20"/>
                <w:color w:val="auto"/>
              </w:rPr>
            </w:pPr>
            <w:r>
              <w:rPr>
                <w:rFonts w:ascii="Arial" w:cs="Arial" w:eastAsia="Arial" w:hAnsi="Arial"/>
                <w:sz w:val="16"/>
                <w:szCs w:val="16"/>
                <w:b w:val="1"/>
                <w:bCs w:val="1"/>
                <w:color w:val="auto"/>
              </w:rPr>
              <w:t>9/30/20</w:t>
            </w:r>
          </w:p>
        </w:tc>
        <w:tc>
          <w:tcPr>
            <w:tcW w:w="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6"/>
                <w:szCs w:val="16"/>
                <w:b w:val="1"/>
                <w:bCs w:val="1"/>
                <w:color w:val="auto"/>
              </w:rPr>
              <w:t>12/31/20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840" w:type="dxa"/>
            <w:vAlign w:val="bottom"/>
            <w:vMerge w:val="continue"/>
          </w:tcPr>
          <w:p>
            <w:pPr>
              <w:spacing w:after="0"/>
              <w:rPr>
                <w:sz w:val="14"/>
                <w:szCs w:val="14"/>
                <w:color w:val="auto"/>
              </w:rPr>
            </w:pPr>
          </w:p>
        </w:tc>
        <w:tc>
          <w:tcPr>
            <w:tcW w:w="240" w:type="dxa"/>
            <w:vAlign w:val="bottom"/>
          </w:tcPr>
          <w:p>
            <w:pPr>
              <w:jc w:val="right"/>
              <w:spacing w:after="0" w:line="168"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157"/>
              <w:spacing w:after="0" w:line="168" w:lineRule="exact"/>
              <w:rPr>
                <w:sz w:val="20"/>
                <w:szCs w:val="20"/>
                <w:color w:val="auto"/>
              </w:rPr>
            </w:pPr>
            <w:r>
              <w:rPr>
                <w:rFonts w:ascii="Arial" w:cs="Arial" w:eastAsia="Arial" w:hAnsi="Arial"/>
                <w:sz w:val="17"/>
                <w:szCs w:val="17"/>
                <w:color w:val="auto"/>
              </w:rPr>
              <w:t>59,707</w:t>
            </w:r>
          </w:p>
        </w:tc>
        <w:tc>
          <w:tcPr>
            <w:tcW w:w="38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Arial" w:cs="Arial" w:eastAsia="Arial" w:hAnsi="Arial"/>
                <w:sz w:val="17"/>
                <w:szCs w:val="17"/>
                <w:color w:val="auto"/>
              </w:rPr>
              <w:t>$</w:t>
            </w:r>
          </w:p>
        </w:tc>
        <w:tc>
          <w:tcPr>
            <w:tcW w:w="940" w:type="dxa"/>
            <w:vAlign w:val="bottom"/>
          </w:tcPr>
          <w:p>
            <w:pPr>
              <w:jc w:val="right"/>
              <w:ind w:right="157"/>
              <w:spacing w:after="0" w:line="168" w:lineRule="exact"/>
              <w:rPr>
                <w:sz w:val="20"/>
                <w:szCs w:val="20"/>
                <w:color w:val="auto"/>
              </w:rPr>
            </w:pPr>
            <w:r>
              <w:rPr>
                <w:rFonts w:ascii="Arial" w:cs="Arial" w:eastAsia="Arial" w:hAnsi="Arial"/>
                <w:sz w:val="17"/>
                <w:szCs w:val="17"/>
                <w:color w:val="auto"/>
              </w:rPr>
              <w:t>61,669</w:t>
            </w:r>
          </w:p>
        </w:tc>
        <w:tc>
          <w:tcPr>
            <w:tcW w:w="40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Arial" w:cs="Arial" w:eastAsia="Arial" w:hAnsi="Arial"/>
                <w:sz w:val="17"/>
                <w:szCs w:val="17"/>
                <w:color w:val="auto"/>
              </w:rPr>
              <w:t>$</w:t>
            </w:r>
          </w:p>
        </w:tc>
        <w:tc>
          <w:tcPr>
            <w:tcW w:w="940" w:type="dxa"/>
            <w:vAlign w:val="bottom"/>
          </w:tcPr>
          <w:p>
            <w:pPr>
              <w:jc w:val="right"/>
              <w:ind w:right="157"/>
              <w:spacing w:after="0" w:line="168" w:lineRule="exact"/>
              <w:rPr>
                <w:sz w:val="20"/>
                <w:szCs w:val="20"/>
                <w:color w:val="auto"/>
              </w:rPr>
            </w:pPr>
            <w:r>
              <w:rPr>
                <w:rFonts w:ascii="Arial" w:cs="Arial" w:eastAsia="Arial" w:hAnsi="Arial"/>
                <w:sz w:val="17"/>
                <w:szCs w:val="17"/>
                <w:color w:val="auto"/>
              </w:rPr>
              <w:t>65,011</w:t>
            </w:r>
          </w:p>
        </w:tc>
        <w:tc>
          <w:tcPr>
            <w:tcW w:w="38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Arial" w:cs="Arial" w:eastAsia="Arial" w:hAnsi="Arial"/>
                <w:sz w:val="17"/>
                <w:szCs w:val="17"/>
                <w:color w:val="auto"/>
              </w:rPr>
              <w:t>$</w:t>
            </w:r>
          </w:p>
        </w:tc>
        <w:tc>
          <w:tcPr>
            <w:tcW w:w="960" w:type="dxa"/>
            <w:vAlign w:val="bottom"/>
          </w:tcPr>
          <w:p>
            <w:pPr>
              <w:jc w:val="right"/>
              <w:ind w:right="157"/>
              <w:spacing w:after="0" w:line="168" w:lineRule="exact"/>
              <w:rPr>
                <w:sz w:val="20"/>
                <w:szCs w:val="20"/>
                <w:color w:val="auto"/>
              </w:rPr>
            </w:pPr>
            <w:r>
              <w:rPr>
                <w:rFonts w:ascii="Arial" w:cs="Arial" w:eastAsia="Arial" w:hAnsi="Arial"/>
                <w:sz w:val="17"/>
                <w:szCs w:val="17"/>
                <w:color w:val="auto"/>
              </w:rPr>
              <w:t>64,637</w:t>
            </w:r>
          </w:p>
        </w:tc>
        <w:tc>
          <w:tcPr>
            <w:tcW w:w="380" w:type="dxa"/>
            <w:vAlign w:val="bottom"/>
          </w:tcPr>
          <w:p>
            <w:pPr>
              <w:spacing w:after="0"/>
              <w:rPr>
                <w:sz w:val="14"/>
                <w:szCs w:val="14"/>
                <w:color w:val="auto"/>
              </w:rPr>
            </w:pPr>
          </w:p>
        </w:tc>
        <w:tc>
          <w:tcPr>
            <w:tcW w:w="240" w:type="dxa"/>
            <w:vAlign w:val="bottom"/>
          </w:tcPr>
          <w:p>
            <w:pPr>
              <w:ind w:left="100"/>
              <w:spacing w:after="0" w:line="168" w:lineRule="exact"/>
              <w:rPr>
                <w:sz w:val="20"/>
                <w:szCs w:val="20"/>
                <w:color w:val="auto"/>
              </w:rPr>
            </w:pPr>
            <w:r>
              <w:rPr>
                <w:rFonts w:ascii="Arial" w:cs="Arial" w:eastAsia="Arial" w:hAnsi="Arial"/>
                <w:sz w:val="17"/>
                <w:szCs w:val="17"/>
                <w:color w:val="auto"/>
              </w:rPr>
              <w:t>$</w:t>
            </w:r>
          </w:p>
        </w:tc>
        <w:tc>
          <w:tcPr>
            <w:tcW w:w="960" w:type="dxa"/>
            <w:vAlign w:val="bottom"/>
          </w:tcPr>
          <w:p>
            <w:pPr>
              <w:jc w:val="right"/>
              <w:ind w:right="157"/>
              <w:spacing w:after="0" w:line="168" w:lineRule="exact"/>
              <w:rPr>
                <w:sz w:val="20"/>
                <w:szCs w:val="20"/>
                <w:color w:val="auto"/>
              </w:rPr>
            </w:pPr>
            <w:r>
              <w:rPr>
                <w:rFonts w:ascii="Arial" w:cs="Arial" w:eastAsia="Arial" w:hAnsi="Arial"/>
                <w:sz w:val="17"/>
                <w:szCs w:val="17"/>
                <w:color w:val="auto"/>
              </w:rPr>
              <w:t>62,948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40" w:type="dxa"/>
            <w:vAlign w:val="bottom"/>
          </w:tcPr>
          <w:p>
            <w:pPr>
              <w:ind w:left="160"/>
              <w:spacing w:after="0"/>
              <w:rPr>
                <w:sz w:val="20"/>
                <w:szCs w:val="20"/>
                <w:color w:val="auto"/>
              </w:rPr>
            </w:pPr>
            <w:r>
              <w:rPr>
                <w:rFonts w:ascii="Arial" w:cs="Arial" w:eastAsia="Arial" w:hAnsi="Arial"/>
                <w:sz w:val="16"/>
                <w:szCs w:val="16"/>
                <w:i w:val="1"/>
                <w:iCs w:val="1"/>
                <w:color w:val="auto"/>
              </w:rPr>
              <w:t xml:space="preserve">less </w:t>
            </w:r>
            <w:r>
              <w:rPr>
                <w:rFonts w:ascii="Arial" w:cs="Arial" w:eastAsia="Arial" w:hAnsi="Arial"/>
                <w:sz w:val="16"/>
                <w:szCs w:val="16"/>
                <w:color w:val="auto"/>
              </w:rPr>
              <w:t>Total current liabilities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color w:val="auto"/>
              </w:rPr>
              <w:t>(12,835)</w:t>
            </w:r>
          </w:p>
        </w:tc>
        <w:tc>
          <w:tcPr>
            <w:tcW w:w="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color w:val="auto"/>
              </w:rPr>
              <w:t>(11,827)</w:t>
            </w:r>
          </w:p>
        </w:tc>
        <w:tc>
          <w:tcPr>
            <w:tcW w:w="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color w:val="auto"/>
              </w:rPr>
              <w:t>(10,523)</w:t>
            </w:r>
          </w:p>
        </w:tc>
        <w:tc>
          <w:tcPr>
            <w:tcW w:w="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color w:val="auto"/>
              </w:rPr>
              <w:t>(9,953)</w:t>
            </w:r>
          </w:p>
        </w:tc>
        <w:tc>
          <w:tcPr>
            <w:tcW w:w="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color w:val="auto"/>
              </w:rPr>
              <w:t>(11,653)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40" w:type="dxa"/>
            <w:vAlign w:val="bottom"/>
          </w:tcPr>
          <w:p>
            <w:pPr>
              <w:spacing w:after="0"/>
              <w:rPr>
                <w:sz w:val="20"/>
                <w:szCs w:val="20"/>
                <w:color w:val="auto"/>
              </w:rPr>
            </w:pPr>
            <w:r>
              <w:rPr>
                <w:rFonts w:ascii="Arial" w:cs="Arial" w:eastAsia="Arial" w:hAnsi="Arial"/>
                <w:sz w:val="17"/>
                <w:szCs w:val="17"/>
                <w:color w:val="auto"/>
              </w:rPr>
              <w:t>Invested capital</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7"/>
              <w:spacing w:after="0"/>
              <w:rPr>
                <w:sz w:val="20"/>
                <w:szCs w:val="20"/>
                <w:color w:val="auto"/>
              </w:rPr>
            </w:pPr>
            <w:r>
              <w:rPr>
                <w:rFonts w:ascii="Arial" w:cs="Arial" w:eastAsia="Arial" w:hAnsi="Arial"/>
                <w:sz w:val="17"/>
                <w:szCs w:val="17"/>
                <w:color w:val="auto"/>
              </w:rPr>
              <w:t>46,872</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7"/>
              <w:spacing w:after="0"/>
              <w:rPr>
                <w:sz w:val="20"/>
                <w:szCs w:val="20"/>
                <w:color w:val="auto"/>
              </w:rPr>
            </w:pPr>
            <w:r>
              <w:rPr>
                <w:rFonts w:ascii="Arial" w:cs="Arial" w:eastAsia="Arial" w:hAnsi="Arial"/>
                <w:sz w:val="17"/>
                <w:szCs w:val="17"/>
                <w:color w:val="auto"/>
              </w:rPr>
              <w:t>49,842</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7"/>
              <w:spacing w:after="0"/>
              <w:rPr>
                <w:sz w:val="20"/>
                <w:szCs w:val="20"/>
                <w:color w:val="auto"/>
              </w:rPr>
            </w:pPr>
            <w:r>
              <w:rPr>
                <w:rFonts w:ascii="Arial" w:cs="Arial" w:eastAsia="Arial" w:hAnsi="Arial"/>
                <w:sz w:val="17"/>
                <w:szCs w:val="17"/>
                <w:color w:val="auto"/>
              </w:rPr>
              <w:t>54,488</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7"/>
              <w:spacing w:after="0"/>
              <w:rPr>
                <w:sz w:val="20"/>
                <w:szCs w:val="20"/>
                <w:color w:val="auto"/>
              </w:rPr>
            </w:pPr>
            <w:r>
              <w:rPr>
                <w:rFonts w:ascii="Arial" w:cs="Arial" w:eastAsia="Arial" w:hAnsi="Arial"/>
                <w:sz w:val="17"/>
                <w:szCs w:val="17"/>
                <w:color w:val="auto"/>
              </w:rPr>
              <w:t>54,684</w:t>
            </w:r>
          </w:p>
        </w:tc>
        <w:tc>
          <w:tcPr>
            <w:tcW w:w="380" w:type="dxa"/>
            <w:vAlign w:val="bottom"/>
          </w:tcPr>
          <w:p>
            <w:pPr>
              <w:spacing w:after="0"/>
              <w:rPr>
                <w:sz w:val="17"/>
                <w:szCs w:val="17"/>
                <w:color w:val="auto"/>
              </w:rPr>
            </w:pPr>
          </w:p>
        </w:tc>
        <w:tc>
          <w:tcPr>
            <w:tcW w:w="240" w:type="dxa"/>
            <w:vAlign w:val="bottom"/>
          </w:tcPr>
          <w:p>
            <w:pPr>
              <w:ind w:left="1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7"/>
              <w:spacing w:after="0"/>
              <w:rPr>
                <w:sz w:val="20"/>
                <w:szCs w:val="20"/>
                <w:color w:val="auto"/>
              </w:rPr>
            </w:pPr>
            <w:r>
              <w:rPr>
                <w:rFonts w:ascii="Arial" w:cs="Arial" w:eastAsia="Arial" w:hAnsi="Arial"/>
                <w:sz w:val="17"/>
                <w:szCs w:val="17"/>
                <w:color w:val="auto"/>
              </w:rPr>
              <w:t>51,295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60" w:type="dxa"/>
            <w:vAlign w:val="bottom"/>
            <w:tcBorders>
              <w:bottom w:val="single" w:sz="8" w:color="auto"/>
            </w:tcBorders>
            <w:gridSpan w:val="7"/>
          </w:tcPr>
          <w:p>
            <w:pPr>
              <w:ind w:left="900"/>
              <w:spacing w:after="0"/>
              <w:rPr>
                <w:sz w:val="20"/>
                <w:szCs w:val="20"/>
                <w:color w:val="auto"/>
              </w:rPr>
            </w:pPr>
            <w:r>
              <w:rPr>
                <w:rFonts w:ascii="Arial" w:cs="Arial" w:eastAsia="Arial" w:hAnsi="Arial"/>
                <w:sz w:val="16"/>
                <w:szCs w:val="16"/>
                <w:b w:val="1"/>
                <w:bCs w:val="1"/>
                <w:color w:val="auto"/>
              </w:rPr>
              <w:t>Average Invested Capital for Quarter Ended</w:t>
            </w: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7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Average Invested capital</w:t>
            </w:r>
          </w:p>
        </w:tc>
        <w:tc>
          <w:tcPr>
            <w:tcW w:w="980" w:type="dxa"/>
            <w:vAlign w:val="bottom"/>
            <w:tcBorders>
              <w:bottom w:val="single" w:sz="8" w:color="auto"/>
            </w:tcBorders>
          </w:tcPr>
          <w:p>
            <w:pPr>
              <w:jc w:val="right"/>
              <w:ind w:right="138"/>
              <w:spacing w:after="0" w:line="183" w:lineRule="exact"/>
              <w:rPr>
                <w:sz w:val="20"/>
                <w:szCs w:val="20"/>
                <w:color w:val="auto"/>
              </w:rPr>
            </w:pPr>
            <w:r>
              <w:rPr>
                <w:rFonts w:ascii="Arial" w:cs="Arial" w:eastAsia="Arial" w:hAnsi="Arial"/>
                <w:sz w:val="16"/>
                <w:szCs w:val="16"/>
                <w:b w:val="1"/>
                <w:bCs w:val="1"/>
                <w:color w:val="auto"/>
              </w:rPr>
              <w:t>3/31/20</w:t>
            </w:r>
          </w:p>
        </w:tc>
        <w:tc>
          <w:tcPr>
            <w:tcW w:w="420" w:type="dxa"/>
            <w:vAlign w:val="bottom"/>
          </w:tcPr>
          <w:p>
            <w:pPr>
              <w:spacing w:after="0"/>
              <w:rPr>
                <w:sz w:val="15"/>
                <w:szCs w:val="15"/>
                <w:color w:val="auto"/>
              </w:rPr>
            </w:pPr>
          </w:p>
        </w:tc>
        <w:tc>
          <w:tcPr>
            <w:tcW w:w="960" w:type="dxa"/>
            <w:vAlign w:val="bottom"/>
            <w:tcBorders>
              <w:bottom w:val="single" w:sz="8" w:color="auto"/>
            </w:tcBorders>
          </w:tcPr>
          <w:p>
            <w:pPr>
              <w:jc w:val="right"/>
              <w:ind w:right="137"/>
              <w:spacing w:after="0" w:line="183" w:lineRule="exact"/>
              <w:rPr>
                <w:sz w:val="20"/>
                <w:szCs w:val="20"/>
                <w:color w:val="auto"/>
              </w:rPr>
            </w:pPr>
            <w:r>
              <w:rPr>
                <w:rFonts w:ascii="Arial" w:cs="Arial" w:eastAsia="Arial" w:hAnsi="Arial"/>
                <w:sz w:val="16"/>
                <w:szCs w:val="16"/>
                <w:b w:val="1"/>
                <w:bCs w:val="1"/>
                <w:color w:val="auto"/>
              </w:rPr>
              <w:t>6/30/20</w:t>
            </w:r>
          </w:p>
        </w:tc>
        <w:tc>
          <w:tcPr>
            <w:tcW w:w="420" w:type="dxa"/>
            <w:vAlign w:val="bottom"/>
          </w:tcPr>
          <w:p>
            <w:pPr>
              <w:spacing w:after="0"/>
              <w:rPr>
                <w:sz w:val="15"/>
                <w:szCs w:val="15"/>
                <w:color w:val="auto"/>
              </w:rPr>
            </w:pPr>
          </w:p>
        </w:tc>
        <w:tc>
          <w:tcPr>
            <w:tcW w:w="980" w:type="dxa"/>
            <w:vAlign w:val="bottom"/>
            <w:tcBorders>
              <w:bottom w:val="single" w:sz="8" w:color="auto"/>
            </w:tcBorders>
          </w:tcPr>
          <w:p>
            <w:pPr>
              <w:jc w:val="right"/>
              <w:ind w:right="137"/>
              <w:spacing w:after="0" w:line="183" w:lineRule="exact"/>
              <w:rPr>
                <w:sz w:val="20"/>
                <w:szCs w:val="20"/>
                <w:color w:val="auto"/>
              </w:rPr>
            </w:pPr>
            <w:r>
              <w:rPr>
                <w:rFonts w:ascii="Arial" w:cs="Arial" w:eastAsia="Arial" w:hAnsi="Arial"/>
                <w:sz w:val="16"/>
                <w:szCs w:val="16"/>
                <w:b w:val="1"/>
                <w:bCs w:val="1"/>
                <w:color w:val="auto"/>
              </w:rPr>
              <w:t>9/30/20</w:t>
            </w:r>
          </w:p>
        </w:tc>
        <w:tc>
          <w:tcPr>
            <w:tcW w:w="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7"/>
              <w:spacing w:after="0" w:line="183" w:lineRule="exact"/>
              <w:rPr>
                <w:sz w:val="20"/>
                <w:szCs w:val="20"/>
                <w:color w:val="auto"/>
              </w:rPr>
            </w:pPr>
            <w:r>
              <w:rPr>
                <w:rFonts w:ascii="Arial" w:cs="Arial" w:eastAsia="Arial" w:hAnsi="Arial"/>
                <w:sz w:val="16"/>
                <w:szCs w:val="16"/>
                <w:b w:val="1"/>
                <w:bCs w:val="1"/>
                <w:color w:val="auto"/>
              </w:rPr>
              <w:t>12/31/20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740" w:type="dxa"/>
            <w:vAlign w:val="bottom"/>
            <w:gridSpan w:val="2"/>
            <w:vMerge w:val="continue"/>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   48,357</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   52,165</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   54,586</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   52,990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20" w:type="dxa"/>
            <w:vAlign w:val="bottom"/>
          </w:tcPr>
          <w:p>
            <w:pPr>
              <w:spacing w:after="0"/>
              <w:rPr>
                <w:sz w:val="20"/>
                <w:szCs w:val="20"/>
                <w:color w:val="auto"/>
              </w:rPr>
            </w:pPr>
            <w:r>
              <w:rPr>
                <w:rFonts w:ascii="Arial" w:cs="Arial" w:eastAsia="Arial" w:hAnsi="Arial"/>
                <w:sz w:val="17"/>
                <w:szCs w:val="17"/>
                <w:color w:val="auto"/>
              </w:rPr>
              <w:t>2020</w:t>
            </w:r>
          </w:p>
        </w:tc>
        <w:tc>
          <w:tcPr>
            <w:tcW w:w="3320" w:type="dxa"/>
            <w:vAlign w:val="bottom"/>
          </w:tcPr>
          <w:p>
            <w:pPr>
              <w:spacing w:after="0"/>
              <w:rPr>
                <w:sz w:val="20"/>
                <w:szCs w:val="20"/>
                <w:color w:val="auto"/>
              </w:rPr>
            </w:pPr>
            <w:r>
              <w:rPr>
                <w:rFonts w:ascii="Arial" w:cs="Arial" w:eastAsia="Arial" w:hAnsi="Arial"/>
                <w:sz w:val="17"/>
                <w:szCs w:val="17"/>
                <w:color w:val="auto"/>
              </w:rPr>
              <w:t>Non-GAAP Operating Income (per</w:t>
            </w: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374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above)</w:t>
            </w: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line="189" w:lineRule="exact"/>
              <w:rPr>
                <w:sz w:val="20"/>
                <w:szCs w:val="20"/>
                <w:color w:val="auto"/>
              </w:rPr>
            </w:pPr>
            <w:r>
              <w:rPr>
                <w:rFonts w:ascii="Arial" w:cs="Arial" w:eastAsia="Arial" w:hAnsi="Arial"/>
                <w:sz w:val="17"/>
                <w:szCs w:val="17"/>
                <w:color w:val="auto"/>
              </w:rPr>
              <w:t>2020</w:t>
            </w:r>
          </w:p>
        </w:tc>
        <w:tc>
          <w:tcPr>
            <w:tcW w:w="3320" w:type="dxa"/>
            <w:vAlign w:val="bottom"/>
          </w:tcPr>
          <w:p>
            <w:pPr>
              <w:spacing w:after="0" w:line="189" w:lineRule="exact"/>
              <w:rPr>
                <w:sz w:val="20"/>
                <w:szCs w:val="20"/>
                <w:color w:val="auto"/>
              </w:rPr>
            </w:pPr>
            <w:r>
              <w:rPr>
                <w:rFonts w:ascii="Arial" w:cs="Arial" w:eastAsia="Arial" w:hAnsi="Arial"/>
                <w:sz w:val="17"/>
                <w:szCs w:val="17"/>
                <w:color w:val="auto"/>
              </w:rPr>
              <w:t>After-tax factor (100% less Non-GAAP</w:t>
            </w: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gridSpan w:val="2"/>
          </w:tcPr>
          <w:p>
            <w:pPr>
              <w:ind w:left="180"/>
              <w:spacing w:after="0"/>
              <w:rPr>
                <w:sz w:val="20"/>
                <w:szCs w:val="20"/>
                <w:color w:val="auto"/>
              </w:rPr>
            </w:pPr>
            <w:r>
              <w:rPr>
                <w:rFonts w:ascii="Arial" w:cs="Arial" w:eastAsia="Arial" w:hAnsi="Arial"/>
                <w:sz w:val="17"/>
                <w:szCs w:val="17"/>
                <w:color w:val="auto"/>
              </w:rPr>
              <w:t>tax rate per above)</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line="189" w:lineRule="exact"/>
              <w:rPr>
                <w:sz w:val="20"/>
                <w:szCs w:val="20"/>
                <w:color w:val="auto"/>
              </w:rPr>
            </w:pPr>
            <w:r>
              <w:rPr>
                <w:rFonts w:ascii="Arial" w:cs="Arial" w:eastAsia="Arial" w:hAnsi="Arial"/>
                <w:sz w:val="17"/>
                <w:szCs w:val="17"/>
                <w:b w:val="1"/>
                <w:bCs w:val="1"/>
                <w:color w:val="auto"/>
              </w:rPr>
              <w:t>2020</w:t>
            </w:r>
          </w:p>
        </w:tc>
        <w:tc>
          <w:tcPr>
            <w:tcW w:w="3320" w:type="dxa"/>
            <w:vAlign w:val="bottom"/>
          </w:tcPr>
          <w:p>
            <w:pPr>
              <w:spacing w:after="0" w:line="189" w:lineRule="exact"/>
              <w:rPr>
                <w:sz w:val="20"/>
                <w:szCs w:val="20"/>
                <w:color w:val="auto"/>
              </w:rPr>
            </w:pPr>
            <w:r>
              <w:rPr>
                <w:rFonts w:ascii="Arial" w:cs="Arial" w:eastAsia="Arial" w:hAnsi="Arial"/>
                <w:sz w:val="17"/>
                <w:szCs w:val="17"/>
                <w:b w:val="1"/>
                <w:bCs w:val="1"/>
                <w:color w:val="auto"/>
              </w:rPr>
              <w:t>Non-GAAP Net Operating income after</w:t>
            </w: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20" w:type="dxa"/>
            <w:vAlign w:val="bottom"/>
          </w:tcPr>
          <w:p>
            <w:pPr>
              <w:ind w:left="180"/>
              <w:spacing w:after="0"/>
              <w:rPr>
                <w:sz w:val="20"/>
                <w:szCs w:val="20"/>
                <w:color w:val="auto"/>
              </w:rPr>
            </w:pPr>
            <w:r>
              <w:rPr>
                <w:rFonts w:ascii="Arial" w:cs="Arial" w:eastAsia="Arial" w:hAnsi="Arial"/>
                <w:sz w:val="17"/>
                <w:szCs w:val="17"/>
                <w:b w:val="1"/>
                <w:bCs w:val="1"/>
                <w:color w:val="auto"/>
                <w:w w:val="89"/>
              </w:rPr>
              <w:t>tax</w:t>
            </w:r>
          </w:p>
        </w:tc>
        <w:tc>
          <w:tcPr>
            <w:tcW w:w="3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2020 Return on Invested capital (Net Operating Income after tax </w:t>
      </w:r>
      <w:r>
        <w:rPr>
          <w:rFonts w:ascii="Arial" w:cs="Arial" w:eastAsia="Arial" w:hAnsi="Arial"/>
          <w:sz w:val="17"/>
          <w:szCs w:val="17"/>
          <w:b w:val="1"/>
          <w:bCs w:val="1"/>
          <w:i w:val="1"/>
          <w:iCs w:val="1"/>
          <w:color w:val="auto"/>
        </w:rPr>
        <w:t>divided by</w:t>
      </w:r>
      <w:r>
        <w:rPr>
          <w:rFonts w:ascii="Arial" w:cs="Arial" w:eastAsia="Arial" w:hAnsi="Arial"/>
          <w:sz w:val="17"/>
          <w:szCs w:val="17"/>
          <w:b w:val="1"/>
          <w:bCs w:val="1"/>
          <w:color w:val="auto"/>
        </w:rPr>
        <w:t xml:space="preserve"> Average Invested capital)</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110"/>
        <w:spacing w:after="0"/>
        <w:rPr>
          <w:sz w:val="20"/>
          <w:szCs w:val="20"/>
          <w:color w:val="auto"/>
        </w:rPr>
      </w:pPr>
      <w:r>
        <w:rPr>
          <w:rFonts w:ascii="Arial" w:cs="Arial" w:eastAsia="Arial" w:hAnsi="Arial"/>
          <w:sz w:val="16"/>
          <w:szCs w:val="16"/>
          <w:b w:val="1"/>
          <w:bCs w:val="1"/>
          <w:color w:val="auto"/>
        </w:rPr>
        <w:t>Average of</w:t>
      </w:r>
    </w:p>
    <w:p>
      <w:pPr>
        <w:spacing w:after="0" w:line="25" w:lineRule="exact"/>
        <w:rPr>
          <w:sz w:val="20"/>
          <w:szCs w:val="20"/>
          <w:color w:val="auto"/>
        </w:rPr>
      </w:pPr>
    </w:p>
    <w:p>
      <w:pPr>
        <w:ind w:left="170"/>
        <w:spacing w:after="0"/>
        <w:rPr>
          <w:sz w:val="20"/>
          <w:szCs w:val="20"/>
          <w:color w:val="auto"/>
        </w:rPr>
      </w:pPr>
      <w:r>
        <w:rPr>
          <w:rFonts w:ascii="Arial" w:cs="Arial" w:eastAsia="Arial" w:hAnsi="Arial"/>
          <w:sz w:val="16"/>
          <w:szCs w:val="16"/>
          <w:b w:val="1"/>
          <w:bCs w:val="1"/>
          <w:color w:val="auto"/>
        </w:rPr>
        <w:t>Quarterly</w:t>
      </w:r>
    </w:p>
    <w:p>
      <w:pPr>
        <w:spacing w:after="0" w:line="5" w:lineRule="exact"/>
        <w:rPr>
          <w:sz w:val="20"/>
          <w:szCs w:val="20"/>
          <w:color w:val="auto"/>
        </w:rPr>
      </w:pPr>
    </w:p>
    <w:p>
      <w:pPr>
        <w:ind w:left="170"/>
        <w:spacing w:after="0"/>
        <w:rPr>
          <w:sz w:val="20"/>
          <w:szCs w:val="20"/>
          <w:color w:val="auto"/>
        </w:rPr>
      </w:pPr>
      <w:r>
        <w:rPr>
          <w:rFonts w:ascii="Arial" w:cs="Arial" w:eastAsia="Arial" w:hAnsi="Arial"/>
          <w:sz w:val="16"/>
          <w:szCs w:val="16"/>
          <w:b w:val="1"/>
          <w:bCs w:val="1"/>
          <w:color w:val="auto"/>
        </w:rPr>
        <w:t>Averages</w:t>
      </w:r>
    </w:p>
    <w:p>
      <w:pPr>
        <w:spacing w:after="0" w:line="11" w:lineRule="exact"/>
        <w:rPr>
          <w:sz w:val="20"/>
          <w:szCs w:val="20"/>
          <w:color w:val="auto"/>
        </w:rPr>
      </w:pPr>
    </w:p>
    <w:p>
      <w:pPr>
        <w:ind w:left="350"/>
        <w:spacing w:after="0"/>
        <w:rPr>
          <w:sz w:val="20"/>
          <w:szCs w:val="20"/>
          <w:color w:val="auto"/>
        </w:rPr>
      </w:pP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7754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ind w:left="350" w:hanging="350"/>
        <w:spacing w:after="0"/>
        <w:tabs>
          <w:tab w:leader="none" w:pos="350"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color w:val="auto"/>
        </w:rPr>
        <w:t>52,024</w:t>
      </w:r>
    </w:p>
    <w:p>
      <w:pPr>
        <w:spacing w:after="0" w:line="291" w:lineRule="exact"/>
        <w:rPr>
          <w:sz w:val="20"/>
          <w:szCs w:val="20"/>
          <w:color w:val="auto"/>
        </w:rPr>
      </w:pPr>
    </w:p>
    <w:p>
      <w:pPr>
        <w:ind w:left="350" w:hanging="350"/>
        <w:spacing w:after="0"/>
        <w:tabs>
          <w:tab w:leader="none" w:pos="35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12,334</w:t>
      </w:r>
    </w:p>
    <w:p>
      <w:pPr>
        <w:spacing w:after="0" w:line="182" w:lineRule="exact"/>
        <w:rPr>
          <w:rFonts w:ascii="Arial" w:cs="Arial" w:eastAsia="Arial" w:hAnsi="Arial"/>
          <w:sz w:val="17"/>
          <w:szCs w:val="17"/>
          <w:color w:val="auto"/>
        </w:rPr>
      </w:pPr>
    </w:p>
    <w:p>
      <w:pPr>
        <w:ind w:left="590"/>
        <w:spacing w:after="0"/>
        <w:rPr>
          <w:rFonts w:ascii="Arial" w:cs="Arial" w:eastAsia="Arial" w:hAnsi="Arial"/>
          <w:sz w:val="17"/>
          <w:szCs w:val="17"/>
          <w:color w:val="auto"/>
        </w:rPr>
      </w:pPr>
      <w:r>
        <w:rPr>
          <w:rFonts w:ascii="Arial" w:cs="Arial" w:eastAsia="Arial" w:hAnsi="Arial"/>
          <w:sz w:val="16"/>
          <w:szCs w:val="16"/>
          <w:color w:val="auto"/>
        </w:rPr>
        <w:t>86.2%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7754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181" w:lineRule="exact"/>
        <w:rPr>
          <w:sz w:val="20"/>
          <w:szCs w:val="20"/>
          <w:color w:val="auto"/>
        </w:rPr>
      </w:pPr>
    </w:p>
    <w:p>
      <w:pPr>
        <w:ind w:left="350" w:hanging="350"/>
        <w:spacing w:after="0"/>
        <w:tabs>
          <w:tab w:leader="none" w:pos="350"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color w:val="auto"/>
        </w:rPr>
        <w:t>10,632</w:t>
      </w:r>
    </w:p>
    <w:p>
      <w:pPr>
        <w:spacing w:after="0" w:line="47" w:lineRule="exact"/>
        <w:rPr>
          <w:rFonts w:ascii="Arial" w:cs="Arial" w:eastAsia="Arial" w:hAnsi="Arial"/>
          <w:sz w:val="17"/>
          <w:szCs w:val="17"/>
          <w:b w:val="1"/>
          <w:bCs w:val="1"/>
          <w:color w:val="auto"/>
        </w:rPr>
      </w:pPr>
    </w:p>
    <w:p>
      <w:pPr>
        <w:ind w:left="590"/>
        <w:spacing w:after="0"/>
        <w:rPr>
          <w:rFonts w:ascii="Arial" w:cs="Arial" w:eastAsia="Arial" w:hAnsi="Arial"/>
          <w:sz w:val="17"/>
          <w:szCs w:val="17"/>
          <w:b w:val="1"/>
          <w:bCs w:val="1"/>
          <w:color w:val="auto"/>
        </w:rPr>
      </w:pPr>
      <w:r>
        <w:rPr>
          <w:rFonts w:ascii="Arial" w:cs="Arial" w:eastAsia="Arial" w:hAnsi="Arial"/>
          <w:sz w:val="16"/>
          <w:szCs w:val="16"/>
          <w:b w:val="1"/>
          <w:bCs w:val="1"/>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7754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-116840</wp:posOffset>
            </wp:positionV>
            <wp:extent cx="67754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19685</wp:posOffset>
            </wp:positionV>
            <wp:extent cx="67754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67754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460" w:space="430"/>
            <w:col w:w="1250"/>
          </w:cols>
          <w:pgMar w:left="320" w:top="486" w:right="439" w:bottom="1440" w:gutter="0" w:footer="0" w:header="0"/>
          <w:type w:val="continuous"/>
        </w:sectPr>
      </w:pPr>
    </w:p>
    <w:p>
      <w:pPr>
        <w:ind w:left="540" w:hanging="424"/>
        <w:spacing w:after="0"/>
        <w:tabs>
          <w:tab w:leader="none" w:pos="540" w:val="left"/>
        </w:tabs>
        <w:numPr>
          <w:ilvl w:val="0"/>
          <w:numId w:val="161"/>
        </w:numPr>
        <w:rPr>
          <w:rFonts w:ascii="Arial" w:cs="Arial" w:eastAsia="Arial" w:hAnsi="Arial"/>
          <w:sz w:val="14"/>
          <w:szCs w:val="14"/>
          <w:b w:val="1"/>
          <w:bCs w:val="1"/>
          <w:color w:val="auto"/>
        </w:rPr>
      </w:pPr>
      <w:r>
        <w:rPr>
          <w:rFonts w:ascii="Arial" w:cs="Arial" w:eastAsia="Arial" w:hAnsi="Arial"/>
          <w:sz w:val="14"/>
          <w:szCs w:val="14"/>
          <w:color w:val="auto"/>
        </w:rPr>
        <w:t>The adjustments related primarily to noncash amortization of intangible assets from business acquisitions.</w:t>
      </w:r>
    </w:p>
    <w:p>
      <w:pPr>
        <w:spacing w:after="0" w:line="1" w:lineRule="exact"/>
        <w:rPr>
          <w:rFonts w:ascii="Arial" w:cs="Arial" w:eastAsia="Arial" w:hAnsi="Arial"/>
          <w:sz w:val="14"/>
          <w:szCs w:val="14"/>
          <w:b w:val="1"/>
          <w:bCs w:val="1"/>
          <w:color w:val="auto"/>
        </w:rPr>
      </w:pPr>
    </w:p>
    <w:p>
      <w:pPr>
        <w:jc w:val="both"/>
        <w:ind w:left="540" w:right="20" w:hanging="424"/>
        <w:spacing w:after="0" w:line="241" w:lineRule="auto"/>
        <w:tabs>
          <w:tab w:leader="none" w:pos="540" w:val="left"/>
        </w:tabs>
        <w:numPr>
          <w:ilvl w:val="0"/>
          <w:numId w:val="161"/>
        </w:numPr>
        <w:rPr>
          <w:rFonts w:ascii="Arial" w:cs="Arial" w:eastAsia="Arial" w:hAnsi="Arial"/>
          <w:sz w:val="14"/>
          <w:szCs w:val="14"/>
          <w:b w:val="1"/>
          <w:bCs w:val="1"/>
          <w:color w:val="auto"/>
        </w:rPr>
      </w:pPr>
      <w:r>
        <w:rPr>
          <w:rFonts w:ascii="Arial" w:cs="Arial" w:eastAsia="Arial" w:hAnsi="Arial"/>
          <w:sz w:val="14"/>
          <w:szCs w:val="14"/>
          <w:color w:val="auto"/>
        </w:rPr>
        <w:t>Effective January 2022, the Company’s non-GAAP financial measures for financial reporting purposes no longer exclude adjustments for upfront license fees, development milestones and IPR&amp;D expenses of pre-approval programs related to licensing, collaboration and asset acquisition transactions. However, we continue to exclude such adjustments from non-GAAP financial measures for purposes of performance-based compensation.</w:t>
      </w:r>
    </w:p>
    <w:p>
      <w:pPr>
        <w:spacing w:after="0" w:line="1" w:lineRule="exact"/>
        <w:rPr>
          <w:rFonts w:ascii="Arial" w:cs="Arial" w:eastAsia="Arial" w:hAnsi="Arial"/>
          <w:sz w:val="14"/>
          <w:szCs w:val="14"/>
          <w:b w:val="1"/>
          <w:bCs w:val="1"/>
          <w:color w:val="auto"/>
        </w:rPr>
      </w:pPr>
    </w:p>
    <w:p>
      <w:pPr>
        <w:ind w:left="540" w:right="20" w:hanging="424"/>
        <w:spacing w:after="0" w:line="241" w:lineRule="auto"/>
        <w:tabs>
          <w:tab w:leader="none" w:pos="540" w:val="left"/>
        </w:tabs>
        <w:numPr>
          <w:ilvl w:val="0"/>
          <w:numId w:val="161"/>
        </w:numPr>
        <w:rPr>
          <w:rFonts w:ascii="Arial" w:cs="Arial" w:eastAsia="Arial" w:hAnsi="Arial"/>
          <w:sz w:val="14"/>
          <w:szCs w:val="14"/>
          <w:b w:val="1"/>
          <w:bCs w:val="1"/>
          <w:color w:val="auto"/>
        </w:rPr>
      </w:pPr>
      <w:r>
        <w:rPr>
          <w:rFonts w:ascii="Arial" w:cs="Arial" w:eastAsia="Arial" w:hAnsi="Arial"/>
          <w:sz w:val="14"/>
          <w:szCs w:val="14"/>
          <w:color w:val="auto"/>
        </w:rPr>
        <w:t>For the year ended December 31, 2022, the adjustments relate primarily to cumulative foreign currency translation adjustments from a nonstrategic divestiture. For the years ended December 31, 2021 and 2020, the adjustments related primarily to legal matters.</w:t>
      </w:r>
    </w:p>
    <w:p>
      <w:pPr>
        <w:ind w:left="540" w:hanging="424"/>
        <w:spacing w:after="0"/>
        <w:tabs>
          <w:tab w:leader="none" w:pos="540" w:val="left"/>
        </w:tabs>
        <w:numPr>
          <w:ilvl w:val="0"/>
          <w:numId w:val="161"/>
        </w:numPr>
        <w:rPr>
          <w:rFonts w:ascii="Arial" w:cs="Arial" w:eastAsia="Arial" w:hAnsi="Arial"/>
          <w:sz w:val="14"/>
          <w:szCs w:val="14"/>
          <w:b w:val="1"/>
          <w:bCs w:val="1"/>
          <w:color w:val="auto"/>
        </w:rPr>
      </w:pPr>
      <w:r>
        <w:rPr>
          <w:rFonts w:ascii="Arial" w:cs="Arial" w:eastAsia="Arial" w:hAnsi="Arial"/>
          <w:sz w:val="14"/>
          <w:szCs w:val="14"/>
          <w:color w:val="auto"/>
        </w:rPr>
        <w:t>The adjustments related to certain acquisition items, prior period and other items excluded from GAAP earnings.</w:t>
      </w:r>
    </w:p>
    <w:p>
      <w:pPr>
        <w:spacing w:after="0" w:line="1" w:lineRule="exact"/>
        <w:rPr>
          <w:rFonts w:ascii="Arial" w:cs="Arial" w:eastAsia="Arial" w:hAnsi="Arial"/>
          <w:sz w:val="14"/>
          <w:szCs w:val="14"/>
          <w:b w:val="1"/>
          <w:bCs w:val="1"/>
          <w:color w:val="auto"/>
        </w:rPr>
      </w:pPr>
    </w:p>
    <w:p>
      <w:pPr>
        <w:jc w:val="both"/>
        <w:ind w:left="540" w:right="20" w:hanging="424"/>
        <w:spacing w:after="0" w:line="241" w:lineRule="auto"/>
        <w:tabs>
          <w:tab w:leader="none" w:pos="540" w:val="left"/>
        </w:tabs>
        <w:numPr>
          <w:ilvl w:val="0"/>
          <w:numId w:val="161"/>
        </w:numPr>
        <w:rPr>
          <w:rFonts w:ascii="Arial" w:cs="Arial" w:eastAsia="Arial" w:hAnsi="Arial"/>
          <w:sz w:val="14"/>
          <w:szCs w:val="14"/>
          <w:b w:val="1"/>
          <w:bCs w:val="1"/>
          <w:color w:val="auto"/>
        </w:rPr>
      </w:pPr>
      <w:r>
        <w:rPr>
          <w:rFonts w:ascii="Arial" w:cs="Arial" w:eastAsia="Arial" w:hAnsi="Arial"/>
          <w:sz w:val="14"/>
          <w:szCs w:val="14"/>
          <w:color w:val="auto"/>
        </w:rPr>
        <w:t>Effective January 2021, we began to exclude the gains and losses on our investments in equity securities from our non-GAAP measures that are recorded to Other (expense) income, net. For the year ended December 31, 2022, the adjustments related to equity investment losses and the amortization of the basis difference from our BeiGene equity method investment. For the year ended December 31, 2021, the adjustments related to equity investment gains, partially offset by the amortization of the basis difference from our BeiGene equity method investment. For the year ended December 31, 2020, the adjustments related to the amortization of the basis difference from our BeiGene equity method investment, partially offset by a gain from legal judgment proceeds.</w:t>
      </w:r>
    </w:p>
    <w:p>
      <w:pPr>
        <w:spacing w:after="0" w:line="1" w:lineRule="exact"/>
        <w:rPr>
          <w:rFonts w:ascii="Arial" w:cs="Arial" w:eastAsia="Arial" w:hAnsi="Arial"/>
          <w:sz w:val="14"/>
          <w:szCs w:val="14"/>
          <w:b w:val="1"/>
          <w:bCs w:val="1"/>
          <w:color w:val="auto"/>
        </w:rPr>
      </w:pPr>
    </w:p>
    <w:p>
      <w:pPr>
        <w:jc w:val="both"/>
        <w:ind w:left="540" w:right="20" w:hanging="424"/>
        <w:spacing w:after="0" w:line="244" w:lineRule="auto"/>
        <w:tabs>
          <w:tab w:leader="none" w:pos="540" w:val="left"/>
        </w:tabs>
        <w:numPr>
          <w:ilvl w:val="0"/>
          <w:numId w:val="161"/>
        </w:numPr>
        <w:rPr>
          <w:rFonts w:ascii="Arial" w:cs="Arial" w:eastAsia="Arial" w:hAnsi="Arial"/>
          <w:sz w:val="14"/>
          <w:szCs w:val="14"/>
          <w:b w:val="1"/>
          <w:bCs w:val="1"/>
          <w:color w:val="auto"/>
        </w:rPr>
      </w:pPr>
      <w:r>
        <w:rPr>
          <w:rFonts w:ascii="Arial" w:cs="Arial" w:eastAsia="Arial" w:hAnsi="Arial"/>
          <w:sz w:val="14"/>
          <w:szCs w:val="14"/>
          <w:color w:val="auto"/>
        </w:rPr>
        <w:t>The tax effect of the adjustments between our GAAP and non-GAAP results takes into account the tax treatment and related tax rate(s) that apply to each adjustment in the applicable tax jurisdiction(s). Generally, this results in a tax impact at the U.S. marginal tax rate for certain adjustments, including the majority of amortization of intangible assets, whereas the tax impact of other adjustments, including restructuring initiatives, depends on whether the amounts are deductible in the respective tax jurisdictions and the applicable tax rate(s) in those jurisdictions. Acquired IPR&amp;D expense from the Five Prime acquisition was not tax deductible. Due to these factors, the effective tax rate for the adjustments to our GAAP income before income taxes, for the year ended December 31, 2022, was 18.4% compared to 13.9% and 19.6% for 2021 and 2020, respectively.</w:t>
      </w:r>
    </w:p>
    <w:p>
      <w:pPr>
        <w:spacing w:after="0" w:line="117"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25"/>
          <w:szCs w:val="25"/>
          <w:color w:val="666666"/>
        </w:rPr>
        <w:t xml:space="preserve">ï </w:t>
      </w:r>
      <w:r>
        <w:rPr>
          <w:rFonts w:ascii="Arial" w:cs="Arial" w:eastAsia="Arial" w:hAnsi="Arial"/>
          <w:sz w:val="19"/>
          <w:szCs w:val="19"/>
          <w:i w:val="1"/>
          <w:iCs w:val="1"/>
          <w:color w:val="474747"/>
        </w:rPr>
        <w:t>2023 Proxy Statement</w:t>
      </w:r>
      <w:r>
        <w:rPr>
          <w:sz w:val="20"/>
          <w:szCs w:val="20"/>
          <w:color w:val="auto"/>
        </w:rPr>
        <w:tab/>
      </w:r>
      <w:r>
        <w:rPr>
          <w:rFonts w:ascii="Arial" w:cs="Arial" w:eastAsia="Arial" w:hAnsi="Arial"/>
          <w:sz w:val="19"/>
          <w:szCs w:val="19"/>
          <w:b w:val="1"/>
          <w:bCs w:val="1"/>
          <w:color w:val="474747"/>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-162560</wp:posOffset>
            </wp:positionV>
            <wp:extent cx="582930" cy="13716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7029450" cy="915543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86" w:right="1440"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88" w:lineRule="exact"/>
        <w:rPr>
          <w:sz w:val="20"/>
          <w:szCs w:val="20"/>
          <w:color w:val="auto"/>
        </w:rPr>
      </w:pPr>
    </w:p>
    <w:p>
      <w:pPr>
        <w:jc w:val="right"/>
        <w:ind w:right="3839"/>
        <w:spacing w:after="0"/>
        <w:rPr>
          <w:sz w:val="20"/>
          <w:szCs w:val="20"/>
          <w:color w:val="auto"/>
        </w:rPr>
      </w:pPr>
      <w:r>
        <w:rPr>
          <w:rFonts w:ascii="Arial" w:cs="Arial" w:eastAsia="Arial" w:hAnsi="Arial"/>
          <w:sz w:val="32"/>
          <w:szCs w:val="32"/>
          <w:b w:val="1"/>
          <w:bCs w:val="1"/>
          <w:color w:val="auto"/>
        </w:rPr>
        <w:t>SAMPLE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183515</wp:posOffset>
            </wp:positionV>
            <wp:extent cx="5829300" cy="75438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86" w:right="1440"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88" w:lineRule="exact"/>
        <w:rPr>
          <w:sz w:val="20"/>
          <w:szCs w:val="20"/>
          <w:color w:val="auto"/>
        </w:rPr>
      </w:pPr>
    </w:p>
    <w:p>
      <w:pPr>
        <w:jc w:val="right"/>
        <w:ind w:right="3839"/>
        <w:spacing w:after="0"/>
        <w:rPr>
          <w:sz w:val="20"/>
          <w:szCs w:val="20"/>
          <w:color w:val="auto"/>
        </w:rPr>
      </w:pPr>
      <w:r>
        <w:rPr>
          <w:rFonts w:ascii="Arial" w:cs="Arial" w:eastAsia="Arial" w:hAnsi="Arial"/>
          <w:sz w:val="32"/>
          <w:szCs w:val="32"/>
          <w:b w:val="1"/>
          <w:bCs w:val="1"/>
          <w:color w:val="auto"/>
        </w:rPr>
        <w:t>SAMPLE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183515</wp:posOffset>
            </wp:positionV>
            <wp:extent cx="5829300" cy="75438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10139"/>
      </w:cols>
      <w:pgMar w:left="320" w:top="4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1)"/>
      <w:numFmt w:val="decimal"/>
      <w:start w:val="1"/>
    </w:lvl>
  </w:abstractNum>
  <w:abstractNum w:abstractNumId="6">
    <w:nsid w:val="100F59DC"/>
    <w:multiLevelType w:val="hybridMultilevel"/>
    <w:lvl w:ilvl="0">
      <w:lvlJc w:val="left"/>
      <w:lvlText w:val="%1."/>
      <w:numFmt w:val="decimal"/>
      <w:start w:val="1"/>
    </w:lvl>
  </w:abstractNum>
  <w:abstractNum w:abstractNumId="7">
    <w:nsid w:val="7FB7E0AA"/>
    <w:multiLevelType w:val="hybridMultilevel"/>
    <w:lvl w:ilvl="0">
      <w:lvlJc w:val="left"/>
      <w:lvlText w:val="ï"/>
      <w:numFmt w:val="bullet"/>
      <w:start w:val="1"/>
    </w:lvl>
  </w:abstractNum>
  <w:abstractNum w:abstractNumId="8">
    <w:nsid w:val="6EB5BD4"/>
    <w:multiLevelType w:val="hybridMultilevel"/>
    <w:lvl w:ilvl="0">
      <w:lvlJc w:val="left"/>
      <w:lvlText w:val="✓"/>
      <w:numFmt w:val="bullet"/>
      <w:start w:val="1"/>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1)"/>
      <w:numFmt w:val="decimal"/>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1)"/>
      <w:numFmt w:val="decimal"/>
      <w:start w:val="1"/>
    </w:lvl>
  </w:abstractNum>
  <w:abstractNum w:abstractNumId="14">
    <w:nsid w:val="1716703B"/>
    <w:multiLevelType w:val="hybridMultilevel"/>
    <w:lvl w:ilvl="0">
      <w:lvlJc w:val="left"/>
      <w:lvlText w:val="(%1)"/>
      <w:numFmt w:val="decimal"/>
      <w:start w:val="1"/>
    </w:lvl>
  </w:abstractNum>
  <w:abstractNum w:abstractNumId="15">
    <w:nsid w:val="14E17E33"/>
    <w:multiLevelType w:val="hybridMultilevel"/>
    <w:lvl w:ilvl="0">
      <w:lvlJc w:val="left"/>
      <w:lvlText w:val="✓"/>
      <w:numFmt w:val="bullet"/>
      <w:start w:val="1"/>
    </w:lvl>
  </w:abstractNum>
  <w:abstractNum w:abstractNumId="16">
    <w:nsid w:val="3222E7CD"/>
    <w:multiLevelType w:val="hybridMultilevel"/>
    <w:lvl w:ilvl="0">
      <w:lvlJc w:val="left"/>
      <w:lvlText w:val="×"/>
      <w:numFmt w:val="bullet"/>
      <w:start w:val="1"/>
    </w:lvl>
  </w:abstractNum>
  <w:abstractNum w:abstractNumId="17">
    <w:nsid w:val="74DE0EE3"/>
    <w:multiLevelType w:val="hybridMultilevel"/>
    <w:lvl w:ilvl="0">
      <w:lvlJc w:val="left"/>
      <w:lvlText w:val="(%1)"/>
      <w:numFmt w:val="decimal"/>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1)"/>
      <w:numFmt w:val="decimal"/>
      <w:start w:val="1"/>
    </w:lvl>
  </w:abstractNum>
  <w:abstractNum w:abstractNumId="20">
    <w:nsid w:val="46B7D447"/>
    <w:multiLevelType w:val="hybridMultilevel"/>
    <w:lvl w:ilvl="0">
      <w:lvlJc w:val="left"/>
      <w:lvlText w:val="\endash "/>
      <w:numFmt w:val="bullet"/>
      <w:start w:val="1"/>
    </w:lvl>
  </w:abstractNum>
  <w:abstractNum w:abstractNumId="21">
    <w:nsid w:val="4A2AC315"/>
    <w:multiLevelType w:val="hybridMultilevel"/>
    <w:lvl w:ilvl="0">
      <w:lvlJc w:val="left"/>
      <w:lvlText w:val="•"/>
      <w:numFmt w:val="bullet"/>
      <w:start w:val="1"/>
    </w:lvl>
    <w:lvl w:ilvl="1">
      <w:lvlJc w:val="left"/>
      <w:lvlText w:val="\endash "/>
      <w:numFmt w:val="bullet"/>
      <w:start w:val="1"/>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1)"/>
      <w:numFmt w:val="decimal"/>
      <w:start w:val="1"/>
    </w:lvl>
  </w:abstractNum>
  <w:abstractNum w:abstractNumId="25">
    <w:nsid w:val="43F18422"/>
    <w:multiLevelType w:val="hybridMultilevel"/>
    <w:lvl w:ilvl="0">
      <w:lvlJc w:val="left"/>
      <w:lvlText w:val="•"/>
      <w:numFmt w:val="bullet"/>
      <w:start w:val="1"/>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
      <w:numFmt w:val="bullet"/>
      <w:start w:val="1"/>
    </w:lvl>
  </w:abstractNum>
  <w:abstractNum w:abstractNumId="28">
    <w:nsid w:val="7F01579B"/>
    <w:multiLevelType w:val="hybridMultilevel"/>
    <w:lvl w:ilvl="0">
      <w:lvlJc w:val="left"/>
      <w:lvlText w:val="•"/>
      <w:numFmt w:val="bullet"/>
      <w:start w:val="1"/>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
      <w:numFmt w:val="bullet"/>
      <w:start w:val="1"/>
    </w:lvl>
  </w:abstractNum>
  <w:abstractNum w:abstractNumId="31">
    <w:nsid w:val="5FB8370B"/>
    <w:multiLevelType w:val="hybridMultilevel"/>
    <w:lvl w:ilvl="0">
      <w:lvlJc w:val="left"/>
      <w:lvlText w:val="•"/>
      <w:numFmt w:val="bullet"/>
      <w:start w:val="1"/>
    </w:lvl>
  </w:abstractNum>
  <w:abstractNum w:abstractNumId="32">
    <w:nsid w:val="50801EE1"/>
    <w:multiLevelType w:val="hybridMultilevel"/>
    <w:lvl w:ilvl="0">
      <w:lvlJc w:val="left"/>
      <w:lvlText w:val="•"/>
      <w:numFmt w:val="bullet"/>
      <w:start w:val="1"/>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
      <w:numFmt w:val="bullet"/>
      <w:start w:val="1"/>
    </w:lvl>
  </w:abstractNum>
  <w:abstractNum w:abstractNumId="35">
    <w:nsid w:val="6AA78F7F"/>
    <w:multiLevelType w:val="hybridMultilevel"/>
    <w:lvl w:ilvl="0">
      <w:lvlJc w:val="left"/>
      <w:lvlText w:val="(%1)"/>
      <w:numFmt w:val="decimal"/>
      <w:start w:val="1"/>
    </w:lvl>
  </w:abstractNum>
  <w:abstractNum w:abstractNumId="36">
    <w:nsid w:val="7672BD23"/>
    <w:multiLevelType w:val="hybridMultilevel"/>
    <w:lvl w:ilvl="0">
      <w:lvlJc w:val="left"/>
      <w:lvlText w:val="(%1)"/>
      <w:numFmt w:val="decimal"/>
      <w:start w:val="1"/>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1)"/>
      <w:numFmt w:val="lowerRoman"/>
      <w:start w:val="1"/>
    </w:lvl>
  </w:abstractNum>
  <w:abstractNum w:abstractNumId="39">
    <w:nsid w:val="7D5E18F8"/>
    <w:multiLevelType w:val="hybridMultilevel"/>
    <w:lvl w:ilvl="0">
      <w:lvlJc w:val="left"/>
      <w:lvlText w:val="•"/>
      <w:numFmt w:val="bullet"/>
      <w:start w:val="1"/>
    </w:lvl>
  </w:abstractNum>
  <w:abstractNum w:abstractNumId="40">
    <w:nsid w:val="5F3534A4"/>
    <w:multiLevelType w:val="hybridMultilevel"/>
    <w:lvl w:ilvl="0">
      <w:lvlJc w:val="left"/>
      <w:lvlText w:val="•"/>
      <w:numFmt w:val="bullet"/>
      <w:start w:val="1"/>
    </w:lvl>
  </w:abstractNum>
  <w:abstractNum w:abstractNumId="41">
    <w:nsid w:val="73A1821B"/>
    <w:multiLevelType w:val="hybridMultilevel"/>
    <w:lvl w:ilvl="0">
      <w:lvlJc w:val="left"/>
      <w:lvlText w:val="•"/>
      <w:numFmt w:val="bullet"/>
      <w:start w:val="1"/>
    </w:lvl>
  </w:abstractNum>
  <w:abstractNum w:abstractNumId="42">
    <w:nsid w:val="7DE67713"/>
    <w:multiLevelType w:val="hybridMultilevel"/>
    <w:lvl w:ilvl="0">
      <w:lvlJc w:val="left"/>
      <w:lvlText w:val="•"/>
      <w:numFmt w:val="bullet"/>
      <w:start w:val="1"/>
    </w:lvl>
  </w:abstractNum>
  <w:abstractNum w:abstractNumId="43">
    <w:nsid w:val="555C55B5"/>
    <w:multiLevelType w:val="hybridMultilevel"/>
    <w:lvl w:ilvl="0">
      <w:lvlJc w:val="left"/>
      <w:lvlText w:val="(%1)"/>
      <w:numFmt w:val="decimal"/>
      <w:start w:val="1"/>
    </w:lvl>
  </w:abstractNum>
  <w:abstractNum w:abstractNumId="44">
    <w:nsid w:val="3FA62ACA"/>
    <w:multiLevelType w:val="hybridMultilevel"/>
    <w:lvl w:ilvl="0">
      <w:lvlJc w:val="left"/>
      <w:lvlText w:val="(%1)"/>
      <w:numFmt w:val="decimal"/>
      <w:start w:val="1"/>
    </w:lvl>
  </w:abstractNum>
  <w:abstractNum w:abstractNumId="45">
    <w:nsid w:val="14FCE74E"/>
    <w:multiLevelType w:val="hybridMultilevel"/>
    <w:lvl w:ilvl="0">
      <w:lvlJc w:val="left"/>
      <w:lvlText w:val="•"/>
      <w:numFmt w:val="bullet"/>
      <w:start w:val="1"/>
    </w:lvl>
  </w:abstractNum>
  <w:abstractNum w:abstractNumId="46">
    <w:nsid w:val="6A3DD3E8"/>
    <w:multiLevelType w:val="hybridMultilevel"/>
    <w:lvl w:ilvl="0">
      <w:lvlJc w:val="left"/>
      <w:lvlText w:val="•"/>
      <w:numFmt w:val="bullet"/>
      <w:start w:val="1"/>
    </w:lvl>
  </w:abstractNum>
  <w:abstractNum w:abstractNumId="47">
    <w:nsid w:val="71C91298"/>
    <w:multiLevelType w:val="hybridMultilevel"/>
    <w:lvl w:ilvl="0">
      <w:lvlJc w:val="left"/>
      <w:lvlText w:val="(%1)"/>
      <w:numFmt w:val="decimal"/>
      <w:start w:val="1"/>
    </w:lvl>
  </w:abstractNum>
  <w:abstractNum w:abstractNumId="48">
    <w:nsid w:val="9DAF632"/>
    <w:multiLevelType w:val="hybridMultilevel"/>
    <w:lvl w:ilvl="0">
      <w:lvlJc w:val="left"/>
      <w:lvlText w:val="•"/>
      <w:numFmt w:val="bullet"/>
      <w:start w:val="1"/>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
      <w:numFmt w:val="bullet"/>
      <w:start w:val="1"/>
    </w:lvl>
  </w:abstractNum>
  <w:abstractNum w:abstractNumId="51">
    <w:nsid w:val="5092CA79"/>
    <w:multiLevelType w:val="hybridMultilevel"/>
    <w:lvl w:ilvl="0">
      <w:lvlJc w:val="left"/>
      <w:lvlText w:val="(%1)"/>
      <w:numFmt w:val="decimal"/>
      <w:start w:val="1"/>
    </w:lvl>
  </w:abstractNum>
  <w:abstractNum w:abstractNumId="52">
    <w:nsid w:val="1D545C4D"/>
    <w:multiLevelType w:val="hybridMultilevel"/>
    <w:lvl w:ilvl="0">
      <w:lvlJc w:val="left"/>
      <w:lvlText w:val="•"/>
      <w:numFmt w:val="bullet"/>
      <w:start w:val="1"/>
    </w:lvl>
  </w:abstractNum>
  <w:abstractNum w:abstractNumId="53">
    <w:nsid w:val="59ADEA3D"/>
    <w:multiLevelType w:val="hybridMultilevel"/>
    <w:lvl w:ilvl="0">
      <w:lvlJc w:val="left"/>
      <w:lvlText w:val="•"/>
      <w:numFmt w:val="bullet"/>
      <w:start w:val="1"/>
    </w:lvl>
  </w:abstractNum>
  <w:abstractNum w:abstractNumId="54">
    <w:nsid w:val="288F1A34"/>
    <w:multiLevelType w:val="hybridMultilevel"/>
    <w:lvl w:ilvl="0">
      <w:lvlJc w:val="left"/>
      <w:lvlText w:val="(%1)"/>
      <w:numFmt w:val="decimal"/>
      <w:start w:val="1"/>
    </w:lvl>
  </w:abstractNum>
  <w:abstractNum w:abstractNumId="55">
    <w:nsid w:val="2A155DBC"/>
    <w:multiLevelType w:val="hybridMultilevel"/>
    <w:lvl w:ilvl="0">
      <w:lvlJc w:val="left"/>
      <w:lvlText w:val="(%1)"/>
      <w:numFmt w:val="decimal"/>
      <w:start w:val="1"/>
    </w:lvl>
  </w:abstractNum>
  <w:abstractNum w:abstractNumId="56">
    <w:nsid w:val="1D9F6E5F"/>
    <w:multiLevelType w:val="hybridMultilevel"/>
    <w:lvl w:ilvl="0">
      <w:lvlJc w:val="left"/>
      <w:lvlText w:val="(%1)"/>
      <w:numFmt w:val="decimal"/>
      <w:start w:val="1"/>
    </w:lvl>
  </w:abstractNum>
  <w:abstractNum w:abstractNumId="57">
    <w:nsid w:val="97E1B4E"/>
    <w:multiLevelType w:val="hybridMultilevel"/>
    <w:lvl w:ilvl="0">
      <w:lvlJc w:val="left"/>
      <w:lvlText w:val="•"/>
      <w:numFmt w:val="bullet"/>
      <w:start w:val="1"/>
    </w:lvl>
  </w:abstractNum>
  <w:abstractNum w:abstractNumId="58">
    <w:nsid w:val="51088277"/>
    <w:multiLevelType w:val="hybridMultilevel"/>
    <w:lvl w:ilvl="0">
      <w:lvlJc w:val="left"/>
      <w:lvlText w:val="•"/>
      <w:numFmt w:val="bullet"/>
      <w:start w:val="1"/>
    </w:lvl>
  </w:abstractNum>
  <w:abstractNum w:abstractNumId="59">
    <w:nsid w:val="1CA0C5FA"/>
    <w:multiLevelType w:val="hybridMultilevel"/>
    <w:lvl w:ilvl="0">
      <w:lvlJc w:val="left"/>
      <w:lvlText w:val="(%1)"/>
      <w:numFmt w:val="decimal"/>
      <w:start w:val="1"/>
    </w:lvl>
  </w:abstractNum>
  <w:abstractNum w:abstractNumId="60">
    <w:nsid w:val="53584BCB"/>
    <w:multiLevelType w:val="hybridMultilevel"/>
    <w:lvl w:ilvl="0">
      <w:lvlJc w:val="left"/>
      <w:lvlText w:val="✓"/>
      <w:numFmt w:val="bullet"/>
      <w:start w:val="1"/>
    </w:lvl>
    <w:lvl w:ilvl="1">
      <w:lvlJc w:val="left"/>
      <w:lvlText w:val="✓"/>
      <w:numFmt w:val="bullet"/>
      <w:start w:val="1"/>
    </w:lvl>
  </w:abstractNum>
  <w:abstractNum w:abstractNumId="61">
    <w:nsid w:val="415E286C"/>
    <w:multiLevelType w:val="hybridMultilevel"/>
    <w:lvl w:ilvl="0">
      <w:lvlJc w:val="left"/>
      <w:lvlText w:val="×"/>
      <w:numFmt w:val="bullet"/>
      <w:start w:val="1"/>
    </w:lvl>
  </w:abstractNum>
  <w:abstractNum w:abstractNumId="62">
    <w:nsid w:val="7C58FD05"/>
    <w:multiLevelType w:val="hybridMultilevel"/>
    <w:lvl w:ilvl="0">
      <w:lvlJc w:val="left"/>
      <w:lvlText w:val="(%1)"/>
      <w:numFmt w:val="decimal"/>
      <w:start w:val="1"/>
    </w:lvl>
  </w:abstractNum>
  <w:abstractNum w:abstractNumId="63">
    <w:nsid w:val="23D86AAC"/>
    <w:multiLevelType w:val="hybridMultilevel"/>
    <w:lvl w:ilvl="0">
      <w:lvlJc w:val="left"/>
      <w:lvlText w:val="•"/>
      <w:numFmt w:val="bullet"/>
      <w:start w:val="1"/>
    </w:lvl>
  </w:abstractNum>
  <w:abstractNum w:abstractNumId="64">
    <w:nsid w:val="45E6D486"/>
    <w:multiLevelType w:val="hybridMultilevel"/>
    <w:lvl w:ilvl="0">
      <w:lvlJc w:val="left"/>
      <w:lvlText w:val="•"/>
      <w:numFmt w:val="bullet"/>
      <w:start w:val="1"/>
    </w:lvl>
  </w:abstractNum>
  <w:abstractNum w:abstractNumId="65">
    <w:nsid w:val="5C10FE21"/>
    <w:multiLevelType w:val="hybridMultilevel"/>
    <w:lvl w:ilvl="0">
      <w:lvlJc w:val="left"/>
      <w:lvlText w:val="%1."/>
      <w:numFmt w:val="decimal"/>
      <w:start w:val="1"/>
    </w:lvl>
    <w:lvl w:ilvl="1">
      <w:lvlJc w:val="left"/>
      <w:lvlText w:val="(%2)"/>
      <w:numFmt w:val="lowerLetter"/>
      <w:start w:val="1"/>
    </w:lvl>
  </w:abstractNum>
  <w:abstractNum w:abstractNumId="66">
    <w:nsid w:val="E7FFA2B"/>
    <w:multiLevelType w:val="hybridMultilevel"/>
    <w:lvl w:ilvl="0">
      <w:lvlJc w:val="left"/>
      <w:lvlText w:val="%1."/>
      <w:numFmt w:val="decimal"/>
      <w:start w:val="2"/>
    </w:lvl>
    <w:lvl w:ilvl="1">
      <w:lvlJc w:val="left"/>
      <w:lvlText w:val="%2."/>
      <w:numFmt w:val="lowerLetter"/>
      <w:start w:val="1"/>
    </w:lvl>
  </w:abstractNum>
  <w:abstractNum w:abstractNumId="67">
    <w:nsid w:val="3C5991AA"/>
    <w:multiLevelType w:val="hybridMultilevel"/>
    <w:lvl w:ilvl="0">
      <w:lvlJc w:val="left"/>
      <w:lvlText w:val="•"/>
      <w:numFmt w:val="bullet"/>
      <w:start w:val="1"/>
    </w:lvl>
  </w:abstractNum>
  <w:abstractNum w:abstractNumId="68">
    <w:nsid w:val="4BD8591A"/>
    <w:multiLevelType w:val="hybridMultilevel"/>
    <w:lvl w:ilvl="0">
      <w:lvlJc w:val="left"/>
      <w:lvlText w:val="(%1)"/>
      <w:numFmt w:val="decimal"/>
      <w:start w:val="1"/>
    </w:lvl>
  </w:abstractNum>
  <w:abstractNum w:abstractNumId="69">
    <w:nsid w:val="78DF6A55"/>
    <w:multiLevelType w:val="hybridMultilevel"/>
    <w:lvl w:ilvl="0">
      <w:lvlJc w:val="left"/>
      <w:lvlText w:val="•"/>
      <w:numFmt w:val="bullet"/>
      <w:start w:val="1"/>
    </w:lvl>
  </w:abstractNum>
  <w:abstractNum w:abstractNumId="70">
    <w:nsid w:val="39B7AAA2"/>
    <w:multiLevelType w:val="hybridMultilevel"/>
    <w:lvl w:ilvl="0">
      <w:lvlJc w:val="left"/>
      <w:lvlText w:val="•"/>
      <w:numFmt w:val="bullet"/>
      <w:start w:val="1"/>
    </w:lvl>
  </w:abstractNum>
  <w:abstractNum w:abstractNumId="71">
    <w:nsid w:val="2B0D8DBE"/>
    <w:multiLevelType w:val="hybridMultilevel"/>
    <w:lvl w:ilvl="0">
      <w:lvlJc w:val="left"/>
      <w:lvlText w:val="•"/>
      <w:numFmt w:val="bullet"/>
      <w:start w:val="1"/>
    </w:lvl>
  </w:abstractNum>
  <w:abstractNum w:abstractNumId="72">
    <w:nsid w:val="6C80EC70"/>
    <w:multiLevelType w:val="hybridMultilevel"/>
    <w:lvl w:ilvl="0">
      <w:lvlJc w:val="left"/>
      <w:lvlText w:val="•"/>
      <w:numFmt w:val="bullet"/>
      <w:start w:val="1"/>
    </w:lvl>
  </w:abstractNum>
  <w:abstractNum w:abstractNumId="73">
    <w:nsid w:val="379E21B5"/>
    <w:multiLevelType w:val="hybridMultilevel"/>
    <w:lvl w:ilvl="0">
      <w:lvlJc w:val="left"/>
      <w:lvlText w:val="%1."/>
      <w:numFmt w:val="decimal"/>
      <w:start w:val="3"/>
    </w:lvl>
    <w:lvl w:ilvl="1">
      <w:lvlJc w:val="left"/>
      <w:lvlText w:val="%2."/>
      <w:numFmt w:val="lowerLetter"/>
      <w:start w:val="1"/>
    </w:lvl>
  </w:abstractNum>
  <w:abstractNum w:abstractNumId="74">
    <w:nsid w:val="69E373"/>
    <w:multiLevelType w:val="hybridMultilevel"/>
    <w:lvl w:ilvl="0">
      <w:lvlJc w:val="left"/>
      <w:lvlText w:val="•"/>
      <w:numFmt w:val="bullet"/>
      <w:start w:val="1"/>
    </w:lvl>
    <w:lvl w:ilvl="1">
      <w:lvlJc w:val="left"/>
      <w:lvlText w:val="\endash "/>
      <w:numFmt w:val="bullet"/>
      <w:start w:val="1"/>
    </w:lvl>
  </w:abstractNum>
  <w:abstractNum w:abstractNumId="75">
    <w:nsid w:val="2C27173B"/>
    <w:multiLevelType w:val="hybridMultilevel"/>
    <w:lvl w:ilvl="0">
      <w:lvlJc w:val="left"/>
      <w:lvlText w:val="•"/>
      <w:numFmt w:val="bullet"/>
      <w:start w:val="1"/>
    </w:lvl>
    <w:lvl w:ilvl="1">
      <w:lvlJc w:val="left"/>
      <w:lvlText w:val="-"/>
      <w:numFmt w:val="bullet"/>
      <w:start w:val="1"/>
    </w:lvl>
  </w:abstractNum>
  <w:abstractNum w:abstractNumId="76">
    <w:nsid w:val="4C9B0904"/>
    <w:multiLevelType w:val="hybridMultilevel"/>
    <w:lvl w:ilvl="0">
      <w:lvlJc w:val="left"/>
      <w:lvlText w:val="•"/>
      <w:numFmt w:val="bullet"/>
      <w:start w:val="1"/>
    </w:lvl>
    <w:lvl w:ilvl="1">
      <w:lvlJc w:val="left"/>
      <w:lvlText w:val="\endash "/>
      <w:numFmt w:val="bullet"/>
      <w:start w:val="1"/>
    </w:lvl>
  </w:abstractNum>
  <w:abstractNum w:abstractNumId="77">
    <w:nsid w:val="6AA7B75C"/>
    <w:multiLevelType w:val="hybridMultilevel"/>
    <w:lvl w:ilvl="0">
      <w:lvlJc w:val="left"/>
      <w:lvlText w:val="(%1)"/>
      <w:numFmt w:val="decimal"/>
      <w:start w:val="1"/>
    </w:lvl>
  </w:abstractNum>
  <w:abstractNum w:abstractNumId="78">
    <w:nsid w:val="1DF029D3"/>
    <w:multiLevelType w:val="hybridMultilevel"/>
    <w:lvl w:ilvl="0">
      <w:lvlJc w:val="left"/>
      <w:lvlText w:val="•"/>
      <w:numFmt w:val="bullet"/>
      <w:start w:val="1"/>
    </w:lvl>
    <w:lvl w:ilvl="1">
      <w:lvlJc w:val="left"/>
      <w:lvlText w:val="\endash "/>
      <w:numFmt w:val="bullet"/>
      <w:start w:val="1"/>
    </w:lvl>
  </w:abstractNum>
  <w:abstractNum w:abstractNumId="79">
    <w:nsid w:val="5675FF36"/>
    <w:multiLevelType w:val="hybridMultilevel"/>
    <w:lvl w:ilvl="0">
      <w:lvlJc w:val="left"/>
      <w:lvlText w:val="(%1)"/>
      <w:numFmt w:val="decimal"/>
      <w:start w:val="1"/>
    </w:lvl>
  </w:abstractNum>
  <w:abstractNum w:abstractNumId="80">
    <w:nsid w:val="3DD15094"/>
    <w:multiLevelType w:val="hybridMultilevel"/>
    <w:lvl w:ilvl="0">
      <w:lvlJc w:val="left"/>
      <w:lvlText w:val="(%1)"/>
      <w:numFmt w:val="decimal"/>
      <w:start w:val="1"/>
    </w:lvl>
  </w:abstractNum>
  <w:abstractNum w:abstractNumId="81">
    <w:nsid w:val="3DB012B3"/>
    <w:multiLevelType w:val="hybridMultilevel"/>
    <w:lvl w:ilvl="0">
      <w:lvlJc w:val="left"/>
      <w:lvlText w:val="\endash "/>
      <w:numFmt w:val="bullet"/>
      <w:start w:val="1"/>
    </w:lvl>
  </w:abstractNum>
  <w:abstractNum w:abstractNumId="82">
    <w:nsid w:val="2708C9AF"/>
    <w:multiLevelType w:val="hybridMultilevel"/>
    <w:lvl w:ilvl="0">
      <w:lvlJc w:val="left"/>
      <w:lvlText w:val="\endash "/>
      <w:numFmt w:val="bullet"/>
      <w:start w:val="1"/>
    </w:lvl>
  </w:abstractNum>
  <w:abstractNum w:abstractNumId="83">
    <w:nsid w:val="5B25ACE2"/>
    <w:multiLevelType w:val="hybridMultilevel"/>
    <w:lvl w:ilvl="0">
      <w:lvlJc w:val="left"/>
      <w:lvlText w:val="(%1)"/>
      <w:numFmt w:val="decimal"/>
      <w:start w:val="1"/>
    </w:lvl>
  </w:abstractNum>
  <w:abstractNum w:abstractNumId="84">
    <w:nsid w:val="175DFCF0"/>
    <w:multiLevelType w:val="hybridMultilevel"/>
    <w:lvl w:ilvl="0">
      <w:lvlJc w:val="left"/>
      <w:lvlText w:val="*"/>
      <w:numFmt w:val="bullet"/>
      <w:start w:val="1"/>
    </w:lvl>
  </w:abstractNum>
  <w:abstractNum w:abstractNumId="85">
    <w:nsid w:val="4F97E3E4"/>
    <w:multiLevelType w:val="hybridMultilevel"/>
    <w:lvl w:ilvl="0">
      <w:lvlJc w:val="left"/>
      <w:lvlText w:val="(%1)"/>
      <w:numFmt w:val="decimal"/>
      <w:start w:val="1"/>
    </w:lvl>
  </w:abstractNum>
  <w:abstractNum w:abstractNumId="86">
    <w:nsid w:val="53B0A9E"/>
    <w:multiLevelType w:val="hybridMultilevel"/>
    <w:lvl w:ilvl="0">
      <w:lvlJc w:val="left"/>
      <w:lvlText w:val="(%1)"/>
      <w:numFmt w:val="lowerLetter"/>
      <w:start w:val="1"/>
    </w:lvl>
  </w:abstractNum>
  <w:abstractNum w:abstractNumId="87">
    <w:nsid w:val="34FD6B4F"/>
    <w:multiLevelType w:val="hybridMultilevel"/>
    <w:lvl w:ilvl="0">
      <w:lvlJc w:val="left"/>
      <w:lvlText w:val="(%1)"/>
      <w:numFmt w:val="decimal"/>
      <w:start w:val="1"/>
    </w:lvl>
  </w:abstractNum>
  <w:abstractNum w:abstractNumId="88">
    <w:nsid w:val="5915FF32"/>
    <w:multiLevelType w:val="hybridMultilevel"/>
    <w:lvl w:ilvl="0">
      <w:lvlJc w:val="left"/>
      <w:lvlText w:val="(%1)"/>
      <w:numFmt w:val="decimal"/>
      <w:start w:val="1"/>
    </w:lvl>
  </w:abstractNum>
  <w:abstractNum w:abstractNumId="89">
    <w:nsid w:val="56438D15"/>
    <w:multiLevelType w:val="hybridMultilevel"/>
    <w:lvl w:ilvl="0">
      <w:lvlJc w:val="left"/>
      <w:lvlText w:val="‡"/>
      <w:numFmt w:val="bullet"/>
      <w:start w:val="1"/>
    </w:lvl>
  </w:abstractNum>
  <w:abstractNum w:abstractNumId="90">
    <w:nsid w:val="519E3149"/>
    <w:multiLevelType w:val="hybridMultilevel"/>
    <w:lvl w:ilvl="0">
      <w:lvlJc w:val="left"/>
      <w:lvlText w:val="(%1)"/>
      <w:numFmt w:val="decimal"/>
      <w:start w:val="1"/>
    </w:lvl>
  </w:abstractNum>
  <w:abstractNum w:abstractNumId="91">
    <w:nsid w:val="2C6E4AFD"/>
    <w:multiLevelType w:val="hybridMultilevel"/>
    <w:lvl w:ilvl="0">
      <w:lvlJc w:val="left"/>
      <w:lvlText w:val="‡"/>
      <w:numFmt w:val="bullet"/>
      <w:start w:val="1"/>
    </w:lvl>
  </w:abstractNum>
  <w:abstractNum w:abstractNumId="92">
    <w:nsid w:val="17A1B582"/>
    <w:multiLevelType w:val="hybridMultilevel"/>
    <w:lvl w:ilvl="0">
      <w:lvlJc w:val="left"/>
      <w:lvlText w:val="(%1)"/>
      <w:numFmt w:val="decimal"/>
      <w:start w:val="1"/>
    </w:lvl>
  </w:abstractNum>
  <w:abstractNum w:abstractNumId="93">
    <w:nsid w:val="4DF72E4E"/>
    <w:multiLevelType w:val="hybridMultilevel"/>
    <w:lvl w:ilvl="0">
      <w:lvlJc w:val="left"/>
      <w:lvlText w:val="(%1)"/>
      <w:numFmt w:val="decimal"/>
      <w:start w:val="1"/>
    </w:lvl>
  </w:abstractNum>
  <w:abstractNum w:abstractNumId="94">
    <w:nsid w:val="5046B5A9"/>
    <w:multiLevelType w:val="hybridMultilevel"/>
    <w:lvl w:ilvl="0">
      <w:lvlJc w:val="left"/>
      <w:lvlText w:val="(%1)"/>
      <w:numFmt w:val="decimal"/>
      <w:start w:val="1"/>
    </w:lvl>
  </w:abstractNum>
  <w:abstractNum w:abstractNumId="95">
    <w:nsid w:val="5D888A08"/>
    <w:multiLevelType w:val="hybridMultilevel"/>
    <w:lvl w:ilvl="0">
      <w:lvlJc w:val="left"/>
      <w:lvlText w:val="(%1)"/>
      <w:numFmt w:val="decimal"/>
      <w:start w:val="1"/>
    </w:lvl>
  </w:abstractNum>
  <w:abstractNum w:abstractNumId="96">
    <w:nsid w:val="2A082C70"/>
    <w:multiLevelType w:val="hybridMultilevel"/>
    <w:lvl w:ilvl="0">
      <w:lvlJc w:val="left"/>
      <w:lvlText w:val="(%1)"/>
      <w:numFmt w:val="decimal"/>
      <w:start w:val="1"/>
    </w:lvl>
  </w:abstractNum>
  <w:abstractNum w:abstractNumId="97">
    <w:nsid w:val="5EC6AFD4"/>
    <w:multiLevelType w:val="hybridMultilevel"/>
    <w:lvl w:ilvl="0">
      <w:lvlJc w:val="left"/>
      <w:lvlText w:val="(%1)"/>
      <w:numFmt w:val="decimal"/>
      <w:start w:val="1"/>
    </w:lvl>
  </w:abstractNum>
  <w:abstractNum w:abstractNumId="98">
    <w:nsid w:val="19E21BB2"/>
    <w:multiLevelType w:val="hybridMultilevel"/>
    <w:lvl w:ilvl="0">
      <w:lvlJc w:val="left"/>
      <w:lvlText w:val="(%1)"/>
      <w:numFmt w:val="decimal"/>
      <w:start w:val="1"/>
    </w:lvl>
  </w:abstractNum>
  <w:abstractNum w:abstractNumId="99">
    <w:nsid w:val="75E0858A"/>
    <w:multiLevelType w:val="hybridMultilevel"/>
    <w:lvl w:ilvl="0">
      <w:lvlJc w:val="left"/>
      <w:lvlText w:val="(%1)"/>
      <w:numFmt w:val="decimal"/>
      <w:start w:val="1"/>
    </w:lvl>
  </w:abstractNum>
  <w:abstractNum w:abstractNumId="100">
    <w:nsid w:val="57A61A29"/>
    <w:multiLevelType w:val="hybridMultilevel"/>
    <w:lvl w:ilvl="0">
      <w:lvlJc w:val="left"/>
      <w:lvlText w:val="•"/>
      <w:numFmt w:val="bullet"/>
      <w:start w:val="1"/>
    </w:lvl>
  </w:abstractNum>
  <w:abstractNum w:abstractNumId="101">
    <w:nsid w:val="5399C654"/>
    <w:multiLevelType w:val="hybridMultilevel"/>
    <w:lvl w:ilvl="0">
      <w:lvlJc w:val="left"/>
      <w:lvlText w:val="(%1)"/>
      <w:numFmt w:val="lowerRoman"/>
      <w:start w:val="4"/>
    </w:lvl>
  </w:abstractNum>
  <w:abstractNum w:abstractNumId="102">
    <w:nsid w:val="20EE1348"/>
    <w:multiLevelType w:val="hybridMultilevel"/>
    <w:lvl w:ilvl="0">
      <w:lvlJc w:val="left"/>
      <w:lvlText w:val="(%1)"/>
      <w:numFmt w:val="decimal"/>
      <w:start w:val="1"/>
    </w:lvl>
  </w:abstractNum>
  <w:abstractNum w:abstractNumId="103">
    <w:nsid w:val="4427069A"/>
    <w:multiLevelType w:val="hybridMultilevel"/>
    <w:lvl w:ilvl="0">
      <w:lvlJc w:val="left"/>
      <w:lvlText w:val="•"/>
      <w:numFmt w:val="bullet"/>
      <w:start w:val="1"/>
    </w:lvl>
  </w:abstractNum>
  <w:abstractNum w:abstractNumId="104">
    <w:nsid w:val="B37E80A"/>
    <w:multiLevelType w:val="hybridMultilevel"/>
    <w:lvl w:ilvl="0">
      <w:lvlJc w:val="left"/>
      <w:lvlText w:val="(%1)"/>
      <w:numFmt w:val="decimal"/>
      <w:start w:val="1"/>
    </w:lvl>
  </w:abstractNum>
  <w:abstractNum w:abstractNumId="105">
    <w:nsid w:val="2157F6BC"/>
    <w:multiLevelType w:val="hybridMultilevel"/>
    <w:lvl w:ilvl="0">
      <w:lvlJc w:val="left"/>
      <w:lvlText w:val="(%1)"/>
      <w:numFmt w:val="decimal"/>
      <w:start w:val="1"/>
    </w:lvl>
  </w:abstractNum>
  <w:abstractNum w:abstractNumId="106">
    <w:nsid w:val="704E1DD5"/>
    <w:multiLevelType w:val="hybridMultilevel"/>
    <w:lvl w:ilvl="0">
      <w:lvlJc w:val="left"/>
      <w:lvlText w:val="(%1)"/>
      <w:numFmt w:val="decimal"/>
      <w:start w:val="3"/>
    </w:lvl>
  </w:abstractNum>
  <w:abstractNum w:abstractNumId="107">
    <w:nsid w:val="57D2F10E"/>
    <w:multiLevelType w:val="hybridMultilevel"/>
    <w:lvl w:ilvl="0">
      <w:lvlJc w:val="left"/>
      <w:lvlText w:val="(%1)"/>
      <w:numFmt w:val="decimal"/>
      <w:start w:val="1"/>
    </w:lvl>
  </w:abstractNum>
  <w:abstractNum w:abstractNumId="108">
    <w:nsid w:val="BFFAE18"/>
    <w:multiLevelType w:val="hybridMultilevel"/>
    <w:lvl w:ilvl="0">
      <w:lvlJc w:val="left"/>
      <w:lvlText w:val="(%1)"/>
      <w:numFmt w:val="decimal"/>
      <w:start w:val="3"/>
    </w:lvl>
    <w:lvl w:ilvl="1">
      <w:lvlJc w:val="left"/>
      <w:lvlText w:val="(%2)"/>
      <w:numFmt w:val="lowerLetter"/>
      <w:start w:val="1"/>
    </w:lvl>
  </w:abstractNum>
  <w:abstractNum w:abstractNumId="109">
    <w:nsid w:val="E3E47A8"/>
    <w:multiLevelType w:val="hybridMultilevel"/>
    <w:lvl w:ilvl="0">
      <w:lvlJc w:val="left"/>
      <w:lvlText w:val="(%1)"/>
      <w:numFmt w:val="decimal"/>
      <w:start w:val="1"/>
    </w:lvl>
  </w:abstractNum>
  <w:abstractNum w:abstractNumId="110">
    <w:nsid w:val="2E48F044"/>
    <w:multiLevelType w:val="hybridMultilevel"/>
    <w:lvl w:ilvl="0">
      <w:lvlJc w:val="left"/>
      <w:lvlText w:val="(%1)"/>
      <w:numFmt w:val="decimal"/>
      <w:start w:val="3"/>
    </w:lvl>
  </w:abstractNum>
  <w:abstractNum w:abstractNumId="111">
    <w:nsid w:val="49D0FEAC"/>
    <w:multiLevelType w:val="hybridMultilevel"/>
    <w:lvl w:ilvl="0">
      <w:lvlJc w:val="left"/>
      <w:lvlText w:val="(%1)"/>
      <w:numFmt w:val="decimal"/>
      <w:start w:val="1"/>
    </w:lvl>
  </w:abstractNum>
  <w:abstractNum w:abstractNumId="112">
    <w:nsid w:val="4BEE5A5B"/>
    <w:multiLevelType w:val="hybridMultilevel"/>
    <w:lvl w:ilvl="0">
      <w:lvlJc w:val="left"/>
      <w:lvlText w:val="(%1)"/>
      <w:numFmt w:val="decimal"/>
      <w:start w:val="2"/>
    </w:lvl>
  </w:abstractNum>
  <w:abstractNum w:abstractNumId="113">
    <w:nsid w:val="5551B9F3"/>
    <w:multiLevelType w:val="hybridMultilevel"/>
    <w:lvl w:ilvl="0">
      <w:lvlJc w:val="left"/>
      <w:lvlText w:val="%1"/>
      <w:numFmt w:val="decimal"/>
      <w:start w:val="1"/>
    </w:lvl>
    <w:lvl w:ilvl="1">
      <w:lvlJc w:val="left"/>
      <w:lvlText w:val="(%2)"/>
      <w:numFmt w:val="lowerLetter"/>
      <w:start w:val="1"/>
    </w:lvl>
  </w:abstractNum>
  <w:abstractNum w:abstractNumId="114">
    <w:nsid w:val="24F6AB8E"/>
    <w:multiLevelType w:val="hybridMultilevel"/>
    <w:lvl w:ilvl="0">
      <w:lvlJc w:val="left"/>
      <w:lvlText w:val="(%1)"/>
      <w:numFmt w:val="decimal"/>
      <w:start w:val="3"/>
    </w:lvl>
    <w:lvl w:ilvl="1">
      <w:lvlJc w:val="left"/>
      <w:lvlText w:val="%2"/>
      <w:numFmt w:val="lowerLetter"/>
      <w:start w:val="1"/>
    </w:lvl>
  </w:abstractNum>
  <w:abstractNum w:abstractNumId="115">
    <w:nsid w:val="634C574C"/>
    <w:multiLevelType w:val="hybridMultilevel"/>
    <w:lvl w:ilvl="0">
      <w:lvlJc w:val="left"/>
      <w:lvlText w:val="(%1)"/>
      <w:numFmt w:val="decimal"/>
      <w:start w:val="1"/>
    </w:lvl>
  </w:abstractNum>
  <w:abstractNum w:abstractNumId="116">
    <w:nsid w:val="24E99DD7"/>
    <w:multiLevelType w:val="hybridMultilevel"/>
    <w:lvl w:ilvl="0">
      <w:lvlJc w:val="left"/>
      <w:lvlText w:val="(%1)"/>
      <w:numFmt w:val="decimal"/>
      <w:start w:val="1"/>
    </w:lvl>
  </w:abstractNum>
  <w:abstractNum w:abstractNumId="117">
    <w:nsid w:val="2A31B62D"/>
    <w:multiLevelType w:val="hybridMultilevel"/>
    <w:lvl w:ilvl="0">
      <w:lvlJc w:val="left"/>
      <w:lvlText w:val="(%1)"/>
      <w:numFmt w:val="decimal"/>
      <w:start w:val="1"/>
    </w:lvl>
  </w:abstractNum>
  <w:abstractNum w:abstractNumId="118">
    <w:nsid w:val="1849C29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9">
    <w:nsid w:val="7DFF9D09"/>
    <w:multiLevelType w:val="hybridMultilevel"/>
    <w:lvl w:ilvl="0">
      <w:lvlJc w:val="left"/>
      <w:lvlText w:val="•"/>
      <w:numFmt w:val="bullet"/>
      <w:start w:val="1"/>
    </w:lvl>
  </w:abstractNum>
  <w:abstractNum w:abstractNumId="120">
    <w:nsid w:val="754342"/>
    <w:multiLevelType w:val="hybridMultilevel"/>
    <w:lvl w:ilvl="0">
      <w:lvlJc w:val="left"/>
      <w:lvlText w:val="(%1)"/>
      <w:numFmt w:val="lowerRoman"/>
      <w:start w:val="2"/>
    </w:lvl>
  </w:abstractNum>
  <w:abstractNum w:abstractNumId="121">
    <w:nsid w:val="69E7F3E5"/>
    <w:multiLevelType w:val="hybridMultilevel"/>
    <w:lvl w:ilvl="0">
      <w:lvlJc w:val="left"/>
      <w:lvlText w:val="(%1)"/>
      <w:numFmt w:val="lowerRoman"/>
      <w:start w:val="4"/>
    </w:lvl>
  </w:abstractNum>
  <w:abstractNum w:abstractNumId="122">
    <w:nsid w:val="2A6DE806"/>
    <w:multiLevelType w:val="hybridMultilevel"/>
    <w:lvl w:ilvl="0">
      <w:lvlJc w:val="left"/>
      <w:lvlText w:val="(%1)"/>
      <w:numFmt w:val="upperLetter"/>
      <w:start w:val="2"/>
    </w:lvl>
  </w:abstractNum>
  <w:abstractNum w:abstractNumId="123">
    <w:nsid w:val="1816F8C4"/>
    <w:multiLevelType w:val="hybridMultilevel"/>
    <w:lvl w:ilvl="0">
      <w:lvlJc w:val="left"/>
      <w:lvlText w:val="(%1)"/>
      <w:numFmt w:val="lowerRoman"/>
      <w:start w:val="2"/>
    </w:lvl>
  </w:abstractNum>
  <w:abstractNum w:abstractNumId="124">
    <w:nsid w:val="37DF2233"/>
    <w:multiLevelType w:val="hybridMultilevel"/>
    <w:lvl w:ilvl="0">
      <w:lvlJc w:val="left"/>
      <w:lvlText w:val="(%1)"/>
      <w:numFmt w:val="decimal"/>
      <w:start w:val="1"/>
    </w:lvl>
  </w:abstractNum>
  <w:abstractNum w:abstractNumId="125">
    <w:nsid w:val="7AB49DAF"/>
    <w:multiLevelType w:val="hybridMultilevel"/>
    <w:lvl w:ilvl="0">
      <w:lvlJc w:val="left"/>
      <w:lvlText w:val="(%1)"/>
      <w:numFmt w:val="decimal"/>
      <w:start w:val="2"/>
    </w:lvl>
  </w:abstractNum>
  <w:abstractNum w:abstractNumId="126">
    <w:nsid w:val="759F82CD"/>
    <w:multiLevelType w:val="hybridMultilevel"/>
    <w:lvl w:ilvl="0">
      <w:lvlJc w:val="left"/>
      <w:lvlText w:val="(%1)"/>
      <w:numFmt w:val="decimal"/>
      <w:start w:val="1"/>
    </w:lvl>
  </w:abstractNum>
  <w:abstractNum w:abstractNumId="127">
    <w:nsid w:val="61E74EA3"/>
    <w:multiLevelType w:val="hybridMultilevel"/>
    <w:lvl w:ilvl="0">
      <w:lvlJc w:val="left"/>
      <w:lvlText w:val="(%1)"/>
      <w:numFmt w:val="decimal"/>
      <w:start w:val="2"/>
    </w:lvl>
  </w:abstractNum>
  <w:abstractNum w:abstractNumId="128">
    <w:nsid w:val="597B4D84"/>
    <w:multiLevelType w:val="hybridMultilevel"/>
    <w:lvl w:ilvl="0">
      <w:lvlJc w:val="left"/>
      <w:lvlText w:val="(%1)"/>
      <w:numFmt w:val="decimal"/>
      <w:start w:val="3"/>
    </w:lvl>
  </w:abstractNum>
  <w:abstractNum w:abstractNumId="129">
    <w:nsid w:val="F819E7F"/>
    <w:multiLevelType w:val="hybridMultilevel"/>
    <w:lvl w:ilvl="0">
      <w:lvlJc w:val="left"/>
      <w:lvlText w:val="(%1)"/>
      <w:numFmt w:val="decimal"/>
      <w:start w:val="1"/>
    </w:lvl>
  </w:abstractNum>
  <w:abstractNum w:abstractNumId="130">
    <w:nsid w:val="57C7D42D"/>
    <w:multiLevelType w:val="hybridMultilevel"/>
    <w:lvl w:ilvl="0">
      <w:lvlJc w:val="left"/>
      <w:lvlText w:val="(%1)"/>
      <w:numFmt w:val="decimal"/>
      <w:start w:val="1"/>
    </w:lvl>
  </w:abstractNum>
  <w:abstractNum w:abstractNumId="131">
    <w:nsid w:val="312167AD"/>
    <w:multiLevelType w:val="hybridMultilevel"/>
    <w:lvl w:ilvl="0">
      <w:lvlJc w:val="left"/>
      <w:lvlText w:val="(%1)"/>
      <w:numFmt w:val="decimal"/>
      <w:start w:val="1"/>
    </w:lvl>
  </w:abstractNum>
  <w:abstractNum w:abstractNumId="132">
    <w:nsid w:val="631B64D4"/>
    <w:multiLevelType w:val="hybridMultilevel"/>
    <w:lvl w:ilvl="0">
      <w:lvlJc w:val="left"/>
      <w:lvlText w:val="(%1)"/>
      <w:numFmt w:val="decimal"/>
      <w:start w:val="5"/>
    </w:lvl>
  </w:abstractNum>
  <w:abstractNum w:abstractNumId="133">
    <w:nsid w:val="78B5E776"/>
    <w:multiLevelType w:val="hybridMultilevel"/>
    <w:lvl w:ilvl="0">
      <w:lvlJc w:val="left"/>
      <w:lvlText w:val="%1"/>
      <w:numFmt w:val="decimal"/>
      <w:start w:val="1"/>
    </w:lvl>
    <w:lvl w:ilvl="1">
      <w:lvlJc w:val="left"/>
      <w:lvlText w:val="(%2)"/>
      <w:numFmt w:val="lowerLetter"/>
      <w:start w:val="1"/>
    </w:lvl>
  </w:abstractNum>
  <w:abstractNum w:abstractNumId="134">
    <w:nsid w:val="75486E47"/>
    <w:multiLevelType w:val="hybridMultilevel"/>
    <w:lvl w:ilvl="0">
      <w:lvlJc w:val="left"/>
      <w:lvlText w:val="(%1)"/>
      <w:numFmt w:val="decimal"/>
      <w:start w:val="6"/>
    </w:lvl>
    <w:lvl w:ilvl="1">
      <w:lvlJc w:val="left"/>
      <w:lvlText w:val="%2"/>
      <w:numFmt w:val="lowerLetter"/>
      <w:start w:val="1"/>
    </w:lvl>
  </w:abstractNum>
  <w:abstractNum w:abstractNumId="135">
    <w:nsid w:val="6E534CDE"/>
    <w:multiLevelType w:val="hybridMultilevel"/>
    <w:lvl w:ilvl="0">
      <w:lvlJc w:val="left"/>
      <w:lvlText w:val="(%1)"/>
      <w:numFmt w:val="lowerLetter"/>
      <w:start w:val="1"/>
    </w:lvl>
  </w:abstractNum>
  <w:abstractNum w:abstractNumId="136">
    <w:nsid w:val="1A0DDE32"/>
    <w:multiLevelType w:val="hybridMultilevel"/>
    <w:lvl w:ilvl="0">
      <w:lvlJc w:val="left"/>
      <w:lvlText w:val="(%1)"/>
      <w:numFmt w:val="lowerLetter"/>
      <w:start w:val="3"/>
    </w:lvl>
  </w:abstractNum>
  <w:abstractNum w:abstractNumId="137">
    <w:nsid w:val="65968C1C"/>
    <w:multiLevelType w:val="hybridMultilevel"/>
    <w:lvl w:ilvl="0">
      <w:lvlJc w:val="left"/>
      <w:lvlText w:val="*"/>
      <w:numFmt w:val="bullet"/>
      <w:start w:val="1"/>
    </w:lvl>
  </w:abstractNum>
  <w:abstractNum w:abstractNumId="138">
    <w:nsid w:val="46263DEC"/>
    <w:multiLevelType w:val="hybridMultilevel"/>
    <w:lvl w:ilvl="0">
      <w:lvlJc w:val="left"/>
      <w:lvlText w:val="(%1)"/>
      <w:numFmt w:val="decimal"/>
      <w:start w:val="1"/>
    </w:lvl>
  </w:abstractNum>
  <w:abstractNum w:abstractNumId="139">
    <w:nsid w:val="260D8C4A"/>
    <w:multiLevelType w:val="hybridMultilevel"/>
    <w:lvl w:ilvl="0">
      <w:lvlJc w:val="left"/>
      <w:lvlText w:val="(%1)"/>
      <w:numFmt w:val="decimal"/>
      <w:start w:val="3"/>
    </w:lvl>
  </w:abstractNum>
  <w:abstractNum w:abstractNumId="140">
    <w:nsid w:val="73D4D3C4"/>
    <w:multiLevelType w:val="hybridMultilevel"/>
    <w:lvl w:ilvl="0">
      <w:lvlJc w:val="left"/>
      <w:lvlText w:val="(%1)"/>
      <w:numFmt w:val="decimal"/>
      <w:start w:val="4"/>
    </w:lvl>
  </w:abstractNum>
  <w:abstractNum w:abstractNumId="141">
    <w:nsid w:val="746F2E30"/>
    <w:multiLevelType w:val="hybridMultilevel"/>
    <w:lvl w:ilvl="0">
      <w:lvlJc w:val="left"/>
      <w:lvlText w:val="(%1)"/>
      <w:numFmt w:val="decimal"/>
      <w:start w:val="1"/>
    </w:lvl>
  </w:abstractNum>
  <w:abstractNum w:abstractNumId="142">
    <w:nsid w:val="6FDE8AF6"/>
    <w:multiLevelType w:val="hybridMultilevel"/>
    <w:lvl w:ilvl="0">
      <w:lvlJc w:val="left"/>
      <w:lvlText w:val="(%1)"/>
      <w:numFmt w:val="decimal"/>
      <w:start w:val="1"/>
    </w:lvl>
  </w:abstractNum>
  <w:abstractNum w:abstractNumId="143">
    <w:nsid w:val="3FC32E20"/>
    <w:multiLevelType w:val="hybridMultilevel"/>
    <w:lvl w:ilvl="0">
      <w:lvlJc w:val="left"/>
      <w:lvlText w:val="%1."/>
      <w:numFmt w:val="decimal"/>
      <w:start w:val="1"/>
    </w:lvl>
  </w:abstractNum>
  <w:abstractNum w:abstractNumId="144">
    <w:nsid w:val="49C0E823"/>
    <w:multiLevelType w:val="hybridMultilevel"/>
    <w:lvl w:ilvl="0">
      <w:lvlJc w:val="left"/>
      <w:lvlText w:val="•"/>
      <w:numFmt w:val="bullet"/>
      <w:start w:val="1"/>
    </w:lvl>
    <w:lvl w:ilvl="1">
      <w:lvlJc w:val="left"/>
      <w:lvlText w:val="(%2)"/>
      <w:numFmt w:val="lowerRoman"/>
      <w:start w:val="2"/>
    </w:lvl>
  </w:abstractNum>
  <w:abstractNum w:abstractNumId="145">
    <w:nsid w:val="14D53685"/>
    <w:multiLevelType w:val="hybridMultilevel"/>
    <w:lvl w:ilvl="0">
      <w:lvlJc w:val="left"/>
      <w:lvlText w:val="•"/>
      <w:numFmt w:val="bullet"/>
      <w:start w:val="1"/>
    </w:lvl>
  </w:abstractNum>
  <w:abstractNum w:abstractNumId="146">
    <w:nsid w:val="230F856C"/>
    <w:multiLevelType w:val="hybridMultilevel"/>
    <w:lvl w:ilvl="0">
      <w:lvlJc w:val="left"/>
      <w:lvlText w:val="•"/>
      <w:numFmt w:val="bullet"/>
      <w:start w:val="1"/>
    </w:lvl>
  </w:abstractNum>
  <w:abstractNum w:abstractNumId="147">
    <w:nsid w:val="6EAA85FB"/>
    <w:multiLevelType w:val="hybridMultilevel"/>
    <w:lvl w:ilvl="0">
      <w:lvlJc w:val="left"/>
      <w:lvlText w:val="(%1)"/>
      <w:numFmt w:val="decimal"/>
      <w:start w:val="1"/>
    </w:lvl>
  </w:abstractNum>
  <w:abstractNum w:abstractNumId="148">
    <w:nsid w:val="3F06ECB2"/>
    <w:multiLevelType w:val="hybridMultilevel"/>
    <w:lvl w:ilvl="0">
      <w:lvlJc w:val="left"/>
      <w:lvlText w:val="(%1)"/>
      <w:numFmt w:val="decimal"/>
      <w:start w:val="1"/>
    </w:lvl>
  </w:abstractNum>
  <w:abstractNum w:abstractNumId="149">
    <w:nsid w:val="3B594807"/>
    <w:multiLevelType w:val="hybridMultilevel"/>
    <w:lvl w:ilvl="0">
      <w:lvlJc w:val="left"/>
      <w:lvlText w:val="(%1)"/>
      <w:numFmt w:val="lowerRoman"/>
      <w:start w:val="2"/>
    </w:lvl>
  </w:abstractNum>
  <w:abstractNum w:abstractNumId="150">
    <w:nsid w:val="6CAA2304"/>
    <w:multiLevelType w:val="hybridMultilevel"/>
    <w:lvl w:ilvl="0">
      <w:lvlJc w:val="left"/>
      <w:lvlText w:val="•"/>
      <w:numFmt w:val="bullet"/>
      <w:start w:val="1"/>
    </w:lvl>
  </w:abstractNum>
  <w:abstractNum w:abstractNumId="151">
    <w:nsid w:val="3F7C2FF4"/>
    <w:multiLevelType w:val="hybridMultilevel"/>
    <w:lvl w:ilvl="0">
      <w:lvlJc w:val="left"/>
      <w:lvlText w:val="(%1)"/>
      <w:numFmt w:val="decimal"/>
      <w:start w:val="805"/>
    </w:lvl>
  </w:abstractNum>
  <w:abstractNum w:abstractNumId="152">
    <w:nsid w:val="25413BEC"/>
    <w:multiLevelType w:val="hybridMultilevel"/>
    <w:lvl w:ilvl="0">
      <w:lvlJc w:val="left"/>
      <w:lvlText w:val="(%1)"/>
      <w:numFmt w:val="decimal"/>
      <w:start w:val="805"/>
    </w:lvl>
  </w:abstractNum>
  <w:abstractNum w:abstractNumId="153">
    <w:nsid w:val="17180B0B"/>
    <w:multiLevelType w:val="hybridMultilevel"/>
    <w:lvl w:ilvl="0">
      <w:lvlJc w:val="left"/>
      <w:lvlText w:val="(%1)"/>
      <w:numFmt w:val="decimal"/>
      <w:start w:val="1"/>
    </w:lvl>
  </w:abstractNum>
  <w:abstractNum w:abstractNumId="154">
    <w:nsid w:val="579328B9"/>
    <w:multiLevelType w:val="hybridMultilevel"/>
    <w:lvl w:ilvl="0">
      <w:lvlJc w:val="left"/>
      <w:lvlText w:val="•"/>
      <w:numFmt w:val="bullet"/>
      <w:start w:val="1"/>
    </w:lvl>
  </w:abstractNum>
  <w:abstractNum w:abstractNumId="155">
    <w:nsid w:val="5D205E20"/>
    <w:multiLevelType w:val="hybridMultilevel"/>
    <w:lvl w:ilvl="0">
      <w:lvlJc w:val="left"/>
      <w:lvlText w:val="•"/>
      <w:numFmt w:val="bullet"/>
      <w:start w:val="1"/>
    </w:lvl>
  </w:abstractNum>
  <w:abstractNum w:abstractNumId="156">
    <w:nsid w:val="11CCA8BA"/>
    <w:multiLevelType w:val="hybridMultilevel"/>
    <w:lvl w:ilvl="0">
      <w:lvlJc w:val="left"/>
      <w:lvlText w:val="(%1)"/>
      <w:numFmt w:val="lowerLetter"/>
      <w:start w:val="1"/>
    </w:lvl>
  </w:abstractNum>
  <w:abstractNum w:abstractNumId="157">
    <w:nsid w:val="4D32AB86"/>
    <w:multiLevelType w:val="hybridMultilevel"/>
    <w:lvl w:ilvl="0">
      <w:lvlJc w:val="left"/>
      <w:lvlText w:val="$"/>
      <w:numFmt w:val="bullet"/>
      <w:start w:val="1"/>
    </w:lvl>
  </w:abstractNum>
  <w:abstractNum w:abstractNumId="158">
    <w:nsid w:val="3F07ACC3"/>
    <w:multiLevelType w:val="hybridMultilevel"/>
    <w:lvl w:ilvl="0">
      <w:lvlJc w:val="left"/>
      <w:lvlText w:val="$"/>
      <w:numFmt w:val="bullet"/>
      <w:start w:val="1"/>
    </w:lvl>
  </w:abstractNum>
  <w:abstractNum w:abstractNumId="159">
    <w:nsid w:val="6B47F63E"/>
    <w:multiLevelType w:val="hybridMultilevel"/>
    <w:lvl w:ilvl="0">
      <w:lvlJc w:val="left"/>
      <w:lvlText w:val="$"/>
      <w:numFmt w:val="bullet"/>
      <w:start w:val="1"/>
    </w:lvl>
  </w:abstractNum>
  <w:abstractNum w:abstractNumId="160">
    <w:nsid w:val="5CB44A0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jpeg"/><Relationship Id="rId520" Type="http://schemas.openxmlformats.org/officeDocument/2006/relationships/image" Target="media/image513.png"/><Relationship Id="rId521" Type="http://schemas.openxmlformats.org/officeDocument/2006/relationships/image" Target="media/image514.jpe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jpeg"/><Relationship Id="rId545" Type="http://schemas.openxmlformats.org/officeDocument/2006/relationships/image" Target="media/image538.png"/><Relationship Id="rId546" Type="http://schemas.openxmlformats.org/officeDocument/2006/relationships/image" Target="media/image539.jpe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jpe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jpe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jpe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jpe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jpe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jpe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jpe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jpe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jpe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jpe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jpeg"/><Relationship Id="rId624" Type="http://schemas.openxmlformats.org/officeDocument/2006/relationships/image" Target="media/image617.png"/><Relationship Id="rId625" Type="http://schemas.openxmlformats.org/officeDocument/2006/relationships/image" Target="media/image618.jpeg"/><Relationship Id="rId626" Type="http://schemas.openxmlformats.org/officeDocument/2006/relationships/image" Target="media/image619.png"/><Relationship Id="rId627" Type="http://schemas.openxmlformats.org/officeDocument/2006/relationships/image" Target="media/image620.jpe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jpe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jpe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jpeg"/><Relationship Id="rId645" Type="http://schemas.openxmlformats.org/officeDocument/2006/relationships/image" Target="media/image638.jpe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jpe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jpe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jpeg"/><Relationship Id="rId656" Type="http://schemas.openxmlformats.org/officeDocument/2006/relationships/image" Target="media/image649.png"/><Relationship Id="rId657" Type="http://schemas.openxmlformats.org/officeDocument/2006/relationships/image" Target="media/image650.jpe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jpeg"/><Relationship Id="rId666" Type="http://schemas.openxmlformats.org/officeDocument/2006/relationships/image" Target="media/image659.png"/><Relationship Id="rId667" Type="http://schemas.openxmlformats.org/officeDocument/2006/relationships/image" Target="media/image660.jpeg"/><Relationship Id="rId668" Type="http://schemas.openxmlformats.org/officeDocument/2006/relationships/image" Target="media/image661.png"/><Relationship Id="rId669" Type="http://schemas.openxmlformats.org/officeDocument/2006/relationships/image" Target="media/image662.jpeg"/><Relationship Id="rId670" Type="http://schemas.openxmlformats.org/officeDocument/2006/relationships/image" Target="media/image663.png"/><Relationship Id="rId671" Type="http://schemas.openxmlformats.org/officeDocument/2006/relationships/image" Target="media/image66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2023-04-06T15:35:26Z</dcterms:created>
  <dcterms:modified xsi:type="dcterms:W3CDTF">2023-04-06T15:35:26Z</dcterms:modified>
</cp:coreProperties>
</file>