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2"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spacing w:after="0" w:line="22" w:lineRule="exact"/>
        <w:rPr>
          <w:sz w:val="24"/>
          <w:szCs w:val="24"/>
          <w:color w:val="auto"/>
        </w:rPr>
      </w:pPr>
    </w:p>
    <w:p>
      <w:pPr>
        <w:ind w:left="1180" w:hanging="1145"/>
        <w:spacing w:after="0"/>
        <w:tabs>
          <w:tab w:leader="none" w:pos="11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1934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spacing w:after="0" w:line="22"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OF 1934</w:t>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000-12477</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40" w:type="dxa"/>
            <w:vAlign w:val="bottom"/>
          </w:tcPr>
          <w:p>
            <w:pPr>
              <w:jc w:val="center"/>
              <w:ind w:left="201"/>
              <w:spacing w:after="0"/>
              <w:rPr>
                <w:sz w:val="20"/>
                <w:szCs w:val="20"/>
                <w:color w:val="auto"/>
              </w:rPr>
            </w:pPr>
            <w:r>
              <w:rPr>
                <w:rFonts w:ascii="Times New Roman" w:cs="Times New Roman" w:eastAsia="Times New Roman" w:hAnsi="Times New Roman"/>
                <w:sz w:val="18"/>
                <w:szCs w:val="18"/>
                <w:b w:val="1"/>
                <w:bCs w:val="1"/>
                <w:color w:val="auto"/>
                <w:w w:val="98"/>
              </w:rPr>
              <w:t>95-3540776</w:t>
            </w:r>
          </w:p>
        </w:tc>
      </w:tr>
      <w:tr>
        <w:trPr>
          <w:trHeight w:val="180"/>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340" w:type="dxa"/>
            <w:vAlign w:val="bottom"/>
          </w:tcPr>
          <w:p>
            <w:pPr>
              <w:jc w:val="center"/>
              <w:ind w:left="201"/>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40" w:type="dxa"/>
            <w:vAlign w:val="bottom"/>
          </w:tcPr>
          <w:p>
            <w:pPr>
              <w:jc w:val="center"/>
              <w:ind w:left="18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555"/>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8"/>
                <w:szCs w:val="18"/>
                <w:b w:val="1"/>
                <w:bCs w:val="1"/>
                <w:color w:val="auto"/>
              </w:rPr>
              <w:t>One Amgen Center Drive,</w:t>
            </w:r>
          </w:p>
        </w:tc>
        <w:tc>
          <w:tcPr>
            <w:tcW w:w="1340" w:type="dxa"/>
            <w:vAlign w:val="bottom"/>
          </w:tcPr>
          <w:p>
            <w:pPr>
              <w:spacing w:after="0"/>
              <w:rPr>
                <w:sz w:val="24"/>
                <w:szCs w:val="24"/>
                <w:color w:val="auto"/>
              </w:rPr>
            </w:pPr>
          </w:p>
        </w:tc>
      </w:tr>
      <w:tr>
        <w:trPr>
          <w:trHeight w:val="238"/>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8"/>
                <w:szCs w:val="18"/>
                <w:b w:val="1"/>
                <w:bCs w:val="1"/>
                <w:color w:val="auto"/>
              </w:rPr>
              <w:t>Thousand Oaks, California</w:t>
            </w:r>
          </w:p>
        </w:tc>
        <w:tc>
          <w:tcPr>
            <w:tcW w:w="1340" w:type="dxa"/>
            <w:vAlign w:val="bottom"/>
          </w:tcPr>
          <w:p>
            <w:pPr>
              <w:jc w:val="center"/>
              <w:ind w:left="201"/>
              <w:spacing w:after="0"/>
              <w:rPr>
                <w:sz w:val="20"/>
                <w:szCs w:val="20"/>
                <w:color w:val="auto"/>
              </w:rPr>
            </w:pPr>
            <w:r>
              <w:rPr>
                <w:rFonts w:ascii="Times New Roman" w:cs="Times New Roman" w:eastAsia="Times New Roman" w:hAnsi="Times New Roman"/>
                <w:sz w:val="18"/>
                <w:szCs w:val="18"/>
                <w:b w:val="1"/>
                <w:bCs w:val="1"/>
                <w:color w:val="auto"/>
                <w:w w:val="98"/>
              </w:rPr>
              <w:t>91320-1799</w:t>
            </w:r>
          </w:p>
        </w:tc>
      </w:tr>
      <w:tr>
        <w:trPr>
          <w:trHeight w:val="220"/>
        </w:trPr>
        <w:tc>
          <w:tcPr>
            <w:tcW w:w="6220" w:type="dxa"/>
            <w:vAlign w:val="bottom"/>
          </w:tcPr>
          <w:p>
            <w:pPr>
              <w:jc w:val="center"/>
              <w:ind w:right="38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40" w:type="dxa"/>
            <w:vAlign w:val="bottom"/>
          </w:tcPr>
          <w:p>
            <w:pPr>
              <w:jc w:val="center"/>
              <w:ind w:left="181"/>
              <w:spacing w:after="0"/>
              <w:rPr>
                <w:sz w:val="20"/>
                <w:szCs w:val="20"/>
                <w:color w:val="auto"/>
              </w:rPr>
            </w:pPr>
            <w:r>
              <w:rPr>
                <w:rFonts w:ascii="Times New Roman" w:cs="Times New Roman" w:eastAsia="Times New Roman" w:hAnsi="Times New Roman"/>
                <w:sz w:val="14"/>
                <w:szCs w:val="14"/>
                <w:color w:val="auto"/>
              </w:rPr>
              <w:t>(Zip Code)</w:t>
            </w:r>
          </w:p>
        </w:tc>
      </w:tr>
      <w:tr>
        <w:trPr>
          <w:trHeight w:val="370"/>
        </w:trPr>
        <w:tc>
          <w:tcPr>
            <w:tcW w:w="6220" w:type="dxa"/>
            <w:vAlign w:val="bottom"/>
          </w:tcPr>
          <w:p>
            <w:pPr>
              <w:jc w:val="right"/>
              <w:ind w:right="1517"/>
              <w:spacing w:after="0"/>
              <w:rPr>
                <w:sz w:val="20"/>
                <w:szCs w:val="20"/>
                <w:color w:val="auto"/>
              </w:rPr>
            </w:pPr>
            <w:r>
              <w:rPr>
                <w:rFonts w:ascii="Times New Roman" w:cs="Times New Roman" w:eastAsia="Times New Roman" w:hAnsi="Times New Roman"/>
                <w:sz w:val="18"/>
                <w:szCs w:val="18"/>
                <w:b w:val="1"/>
                <w:bCs w:val="1"/>
                <w:color w:val="auto"/>
              </w:rPr>
              <w:t>(805) 447-1000</w:t>
            </w:r>
          </w:p>
        </w:tc>
        <w:tc>
          <w:tcPr>
            <w:tcW w:w="1340" w:type="dxa"/>
            <w:vAlign w:val="bottom"/>
          </w:tcPr>
          <w:p>
            <w:pPr>
              <w:spacing w:after="0"/>
              <w:rPr>
                <w:sz w:val="24"/>
                <w:szCs w:val="24"/>
                <w:color w:val="auto"/>
              </w:rPr>
            </w:pPr>
          </w:p>
        </w:tc>
      </w:tr>
      <w:tr>
        <w:trPr>
          <w:trHeight w:val="234"/>
        </w:trPr>
        <w:tc>
          <w:tcPr>
            <w:tcW w:w="6220" w:type="dxa"/>
            <w:vAlign w:val="bottom"/>
          </w:tcPr>
          <w:p>
            <w:pPr>
              <w:jc w:val="center"/>
              <w:ind w:left="1797"/>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340" w:type="dxa"/>
            <w:vAlign w:val="bottom"/>
          </w:tcPr>
          <w:p>
            <w:pPr>
              <w:spacing w:after="0"/>
              <w:rPr>
                <w:sz w:val="20"/>
                <w:szCs w:val="20"/>
                <w:color w:val="auto"/>
              </w:rPr>
            </w:pPr>
          </w:p>
        </w:tc>
      </w:tr>
    </w:tbl>
    <w:p>
      <w:pPr>
        <w:spacing w:after="0" w:line="144"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619" w:right="239" w:bottom="1440" w:gutter="0" w:footer="0" w:header="0"/>
        </w:sectPr>
      </w:pPr>
    </w:p>
    <w:p>
      <w:pPr>
        <w:spacing w:after="0" w:line="124" w:lineRule="exact"/>
        <w:rPr>
          <w:sz w:val="24"/>
          <w:szCs w:val="24"/>
          <w:color w:val="auto"/>
        </w:rPr>
      </w:pPr>
    </w:p>
    <w:p>
      <w:pPr>
        <w:ind w:left="2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25" w:lineRule="exact"/>
        <w:rPr>
          <w:sz w:val="24"/>
          <w:szCs w:val="24"/>
          <w:color w:val="auto"/>
        </w:rPr>
      </w:pPr>
    </w:p>
    <w:p>
      <w:pPr>
        <w:sectPr>
          <w:pgSz w:w="11900" w:h="16838" w:orient="portrait"/>
          <w:cols w:equalWidth="0" w:num="4">
            <w:col w:w="2060" w:space="500"/>
            <w:col w:w="1460" w:space="720"/>
            <w:col w:w="3440" w:space="720"/>
            <w:col w:w="2520"/>
          </w:cols>
          <w:pgMar w:left="240" w:top="619" w:right="239" w:bottom="1440" w:gutter="0" w:footer="0" w:header="0"/>
          <w:type w:val="continuous"/>
        </w:sectPr>
      </w:pPr>
    </w:p>
    <w:p>
      <w:pPr>
        <w:ind w:left="500" w:right="25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21, 2014, the registrant had 760,670,000 shares of common stock, $0.0001 par value, outstanding.</w:t>
      </w:r>
    </w:p>
    <w:p>
      <w:pPr>
        <w:sectPr>
          <w:pgSz w:w="11900" w:h="16838" w:orient="portrait"/>
          <w:cols w:equalWidth="0" w:num="1">
            <w:col w:w="11420"/>
          </w:cols>
          <w:pgMar w:left="240" w:top="619" w:right="239" w:bottom="1440" w:gutter="0" w:footer="0" w:header="0"/>
          <w:type w:val="continuous"/>
        </w:sectPr>
      </w:pPr>
    </w:p>
    <w:bookmarkStart w:id="1" w:name="page2"/>
    <w:bookmarkEnd w:id="1"/>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1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96"/>
        </w:trPr>
        <w:tc>
          <w:tcPr>
            <w:tcW w:w="3140" w:type="dxa"/>
            <w:vAlign w:val="bottom"/>
            <w:tcBorders>
              <w:bottom w:val="single" w:sz="8" w:color="0000FF"/>
            </w:tcBorders>
            <w:gridSpan w:val="9"/>
          </w:tcPr>
          <w:p>
            <w:pPr>
              <w:spacing w:after="0" w:line="170" w:lineRule="exact"/>
              <w:rPr>
                <w:rFonts w:ascii="Times New Roman" w:cs="Times New Roman" w:eastAsia="Times New Roman" w:hAnsi="Times New Roman"/>
                <w:sz w:val="18"/>
                <w:szCs w:val="18"/>
                <w:b w:val="1"/>
                <w:bCs w:val="1"/>
                <w:color w:val="0000FF"/>
                <w:w w:val="98"/>
              </w:rPr>
            </w:pPr>
            <w:hyperlink w:anchor="page2">
              <w:r>
                <w:rPr>
                  <w:rFonts w:ascii="Times New Roman" w:cs="Times New Roman" w:eastAsia="Times New Roman" w:hAnsi="Times New Roman"/>
                  <w:sz w:val="18"/>
                  <w:szCs w:val="18"/>
                  <w:b w:val="1"/>
                  <w:bCs w:val="1"/>
                  <w:color w:val="0000FF"/>
                  <w:w w:val="98"/>
                </w:rPr>
                <w:t>PART I - FINANCIAL INFORMATION</w:t>
              </w:r>
            </w:hyperlink>
          </w:p>
        </w:tc>
        <w:tc>
          <w:tcPr>
            <w:tcW w:w="6520" w:type="dxa"/>
            <w:vAlign w:val="bottom"/>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b w:val="1"/>
                <w:bCs w:val="1"/>
                <w:color w:val="0000FF"/>
                <w:w w:val="88"/>
              </w:rPr>
            </w:pPr>
            <w:hyperlink w:anchor="page2">
              <w:r>
                <w:rPr>
                  <w:rFonts w:ascii="Times New Roman" w:cs="Times New Roman" w:eastAsia="Times New Roman" w:hAnsi="Times New Roman"/>
                  <w:sz w:val="18"/>
                  <w:szCs w:val="18"/>
                  <w:b w:val="1"/>
                  <w:bCs w:val="1"/>
                  <w:color w:val="0000FF"/>
                  <w:w w:val="88"/>
                </w:rPr>
                <w:t>1</w:t>
              </w:r>
            </w:hyperlink>
          </w:p>
        </w:tc>
        <w:tc>
          <w:tcPr>
            <w:tcW w:w="20" w:type="dxa"/>
            <w:vAlign w:val="bottom"/>
          </w:tcPr>
          <w:p>
            <w:pPr>
              <w:spacing w:after="0"/>
              <w:rPr>
                <w:sz w:val="17"/>
                <w:szCs w:val="17"/>
                <w:color w:val="auto"/>
              </w:rPr>
            </w:pPr>
          </w:p>
        </w:tc>
      </w:tr>
      <w:tr>
        <w:trPr>
          <w:trHeight w:val="25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1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7"/>
              </w:rPr>
            </w:pPr>
            <w:hyperlink w:anchor="page3">
              <w:r>
                <w:rPr>
                  <w:rFonts w:ascii="Times New Roman" w:cs="Times New Roman" w:eastAsia="Times New Roman" w:hAnsi="Times New Roman"/>
                  <w:sz w:val="18"/>
                  <w:szCs w:val="18"/>
                  <w:color w:val="0000FF"/>
                  <w:w w:val="97"/>
                </w:rPr>
                <w:t>FINANCIAL STATEMENTS</w:t>
              </w:r>
            </w:hyperlink>
          </w:p>
        </w:tc>
        <w:tc>
          <w:tcPr>
            <w:tcW w:w="6520" w:type="dxa"/>
            <w:vAlign w:val="bottom"/>
            <w:gridSpan w:val="9"/>
          </w:tcPr>
          <w:p>
            <w:pPr>
              <w:spacing w:after="0"/>
              <w:rPr>
                <w:sz w:val="22"/>
                <w:szCs w:val="22"/>
                <w:color w:val="auto"/>
              </w:rPr>
            </w:pPr>
          </w:p>
        </w:tc>
        <w:tc>
          <w:tcPr>
            <w:tcW w:w="106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20" w:type="dxa"/>
            <w:vAlign w:val="bottom"/>
          </w:tcPr>
          <w:p>
            <w:pPr>
              <w:spacing w:after="0"/>
              <w:rPr>
                <w:sz w:val="22"/>
                <w:szCs w:val="22"/>
                <w:color w:val="auto"/>
              </w:rPr>
            </w:pPr>
          </w:p>
        </w:tc>
      </w:tr>
      <w:tr>
        <w:trPr>
          <w:trHeight w:val="250"/>
        </w:trPr>
        <w:tc>
          <w:tcPr>
            <w:tcW w:w="980" w:type="dxa"/>
            <w:vAlign w:val="bottom"/>
          </w:tcPr>
          <w:p>
            <w:pPr>
              <w:spacing w:after="0"/>
              <w:rPr>
                <w:sz w:val="21"/>
                <w:szCs w:val="21"/>
                <w:color w:val="auto"/>
              </w:rPr>
            </w:pPr>
          </w:p>
        </w:tc>
        <w:tc>
          <w:tcPr>
            <w:tcW w:w="47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CONDENSED CONSOLIDATED STATEMENTS OF INCOME</w:t>
              </w:r>
            </w:hyperlink>
          </w:p>
        </w:tc>
        <w:tc>
          <w:tcPr>
            <w:tcW w:w="3960" w:type="dxa"/>
            <w:vAlign w:val="bottom"/>
            <w:gridSpan w:val="6"/>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62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8"/>
              </w:rPr>
            </w:pPr>
            <w:hyperlink w:anchor="page3">
              <w:r>
                <w:rPr>
                  <w:rFonts w:ascii="Times New Roman" w:cs="Times New Roman" w:eastAsia="Times New Roman" w:hAnsi="Times New Roman"/>
                  <w:sz w:val="18"/>
                  <w:szCs w:val="18"/>
                  <w:color w:val="0000FF"/>
                  <w:w w:val="98"/>
                </w:rPr>
                <w:t>CONDENSED CONSOLIDATED STATEMENTS OF COMPREHENSIVE INCOME</w:t>
              </w:r>
            </w:hyperlink>
          </w:p>
        </w:tc>
        <w:tc>
          <w:tcPr>
            <w:tcW w:w="240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BALANCE SHEETS</w:t>
              </w:r>
            </w:hyperlink>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CONDENSED CONSOLIDATED STATEMENTS OF CASH FLOWS</w:t>
              </w:r>
            </w:hyperlink>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NOTES TO CONDENSED CONSOLIDATED FINANCIAL STATEMENTS</w:t>
              </w:r>
            </w:hyperlink>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26">
              <w:r>
                <w:rPr>
                  <w:rFonts w:ascii="Times New Roman" w:cs="Times New Roman" w:eastAsia="Times New Roman" w:hAnsi="Times New Roman"/>
                  <w:sz w:val="18"/>
                  <w:szCs w:val="18"/>
                  <w:color w:val="0000FF"/>
                  <w:w w:val="99"/>
                </w:rPr>
                <w:t>MANAGEMENT’S DISCUSSION AND ANALYSIS OF FINANCIAL CONDITION AND RESULTS OF</w:t>
              </w:r>
            </w:hyperlink>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8680" w:type="dxa"/>
            <w:vAlign w:val="bottom"/>
            <w:gridSpan w:val="17"/>
          </w:tcPr>
          <w:p>
            <w:pPr>
              <w:spacing w:after="0" w:line="196" w:lineRule="exact"/>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OPERATIONS</w:t>
              </w:r>
            </w:hyperlink>
          </w:p>
        </w:tc>
        <w:tc>
          <w:tcPr>
            <w:tcW w:w="1180" w:type="dxa"/>
            <w:vAlign w:val="bottom"/>
            <w:gridSpan w:val="4"/>
          </w:tcPr>
          <w:p>
            <w:pPr>
              <w:jc w:val="right"/>
              <w:ind w:right="20"/>
              <w:spacing w:after="0" w:line="196" w:lineRule="exact"/>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680" w:type="dxa"/>
            <w:vAlign w:val="bottom"/>
            <w:gridSpan w:val="17"/>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QUANTITATIVE AND QUALITATIVE DISCLOSURES ABOUT MARKET RISK</w:t>
              </w:r>
            </w:hyperlink>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gridSpan w:val="14"/>
          </w:tcPr>
          <w:p>
            <w:pPr>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CONTROLS AND PROCEDURES</w:t>
              </w:r>
            </w:hyperlink>
          </w:p>
        </w:tc>
        <w:tc>
          <w:tcPr>
            <w:tcW w:w="254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color w:val="0000FF"/>
                </w:rPr>
                <w:t>35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60" w:type="dxa"/>
            <w:vAlign w:val="bottom"/>
            <w:gridSpan w:val="18"/>
          </w:tcPr>
          <w:p>
            <w:pPr>
              <w:spacing w:after="0"/>
              <w:rPr>
                <w:rFonts w:ascii="Times New Roman" w:cs="Times New Roman" w:eastAsia="Times New Roman" w:hAnsi="Times New Roman"/>
                <w:sz w:val="18"/>
                <w:szCs w:val="18"/>
                <w:b w:val="1"/>
                <w:bCs w:val="1"/>
                <w:color w:val="0000FF"/>
              </w:rPr>
            </w:pPr>
            <w:hyperlink w:anchor="page37">
              <w:r>
                <w:rPr>
                  <w:rFonts w:ascii="Times New Roman" w:cs="Times New Roman" w:eastAsia="Times New Roman" w:hAnsi="Times New Roman"/>
                  <w:sz w:val="18"/>
                  <w:szCs w:val="18"/>
                  <w:b w:val="1"/>
                  <w:bCs w:val="1"/>
                  <w:color w:val="0000FF"/>
                </w:rPr>
                <w:t>PART II - OTHER INFORMATION</w:t>
              </w:r>
            </w:hyperlink>
          </w:p>
        </w:tc>
        <w:tc>
          <w:tcPr>
            <w:tcW w:w="1180" w:type="dxa"/>
            <w:vAlign w:val="bottom"/>
            <w:gridSpan w:val="4"/>
          </w:tcPr>
          <w:p>
            <w:pPr>
              <w:jc w:val="right"/>
              <w:ind w:right="20"/>
              <w:spacing w:after="0"/>
              <w:rPr>
                <w:rFonts w:ascii="Times New Roman" w:cs="Times New Roman" w:eastAsia="Times New Roman" w:hAnsi="Times New Roman"/>
                <w:sz w:val="18"/>
                <w:szCs w:val="18"/>
                <w:b w:val="1"/>
                <w:bCs w:val="1"/>
                <w:color w:val="0000FF"/>
              </w:rPr>
            </w:pPr>
            <w:hyperlink w:anchor="page37">
              <w:r>
                <w:rPr>
                  <w:rFonts w:ascii="Times New Roman" w:cs="Times New Roman" w:eastAsia="Times New Roman" w:hAnsi="Times New Roman"/>
                  <w:sz w:val="18"/>
                  <w:szCs w:val="18"/>
                  <w:b w:val="1"/>
                  <w:bCs w:val="1"/>
                  <w:color w:val="0000FF"/>
                </w:rPr>
                <w:t>36</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6"/>
          </w:tcPr>
          <w:p>
            <w:pPr>
              <w:spacing w:after="0"/>
              <w:rPr>
                <w:rFonts w:ascii="Times New Roman" w:cs="Times New Roman" w:eastAsia="Times New Roman" w:hAnsi="Times New Roman"/>
                <w:sz w:val="18"/>
                <w:szCs w:val="18"/>
                <w:color w:val="0000FF"/>
                <w:w w:val="99"/>
              </w:rPr>
            </w:pPr>
            <w:hyperlink w:anchor="page38">
              <w:r>
                <w:rPr>
                  <w:rFonts w:ascii="Times New Roman" w:cs="Times New Roman" w:eastAsia="Times New Roman" w:hAnsi="Times New Roman"/>
                  <w:sz w:val="18"/>
                  <w:szCs w:val="18"/>
                  <w:color w:val="0000FF"/>
                  <w:w w:val="99"/>
                </w:rPr>
                <w:t>LEGAL PROCEEDINGS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36</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880" w:type="dxa"/>
            <w:vAlign w:val="bottom"/>
            <w:gridSpan w:val="6"/>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RISK FACTORS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36</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240" w:type="dxa"/>
            <w:vAlign w:val="bottom"/>
            <w:gridSpan w:val="4"/>
          </w:tcPr>
          <w:p>
            <w:pPr>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EXHIBITS</w:t>
              </w:r>
            </w:hyperlink>
          </w:p>
        </w:tc>
        <w:tc>
          <w:tcPr>
            <w:tcW w:w="7440" w:type="dxa"/>
            <w:vAlign w:val="bottom"/>
            <w:gridSpan w:val="13"/>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36</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rFonts w:ascii="Times New Roman" w:cs="Times New Roman" w:eastAsia="Times New Roman" w:hAnsi="Times New Roman"/>
                <w:sz w:val="18"/>
                <w:szCs w:val="18"/>
                <w:color w:val="0000FF"/>
                <w:w w:val="96"/>
              </w:rPr>
            </w:pPr>
            <w:hyperlink w:anchor="page38">
              <w:r>
                <w:rPr>
                  <w:rFonts w:ascii="Times New Roman" w:cs="Times New Roman" w:eastAsia="Times New Roman" w:hAnsi="Times New Roman"/>
                  <w:sz w:val="18"/>
                  <w:szCs w:val="18"/>
                  <w:color w:val="0000FF"/>
                  <w:w w:val="96"/>
                </w:rPr>
                <w:t>SIGNATURES</w:t>
              </w:r>
            </w:hyperlink>
          </w:p>
        </w:tc>
        <w:tc>
          <w:tcPr>
            <w:tcW w:w="8560" w:type="dxa"/>
            <w:vAlign w:val="bottom"/>
            <w:gridSpan w:val="16"/>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color w:val="0000FF"/>
                </w:rPr>
                <w:t>37</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3"/>
          </w:tcPr>
          <w:p>
            <w:pPr>
              <w:spacing w:after="0"/>
              <w:rPr>
                <w:rFonts w:ascii="Times New Roman" w:cs="Times New Roman" w:eastAsia="Times New Roman" w:hAnsi="Times New Roman"/>
                <w:sz w:val="18"/>
                <w:szCs w:val="18"/>
                <w:b w:val="1"/>
                <w:bCs w:val="1"/>
                <w:color w:val="0000FF"/>
                <w:w w:val="98"/>
              </w:rPr>
            </w:pPr>
            <w:hyperlink w:anchor="page39">
              <w:r>
                <w:rPr>
                  <w:rFonts w:ascii="Times New Roman" w:cs="Times New Roman" w:eastAsia="Times New Roman" w:hAnsi="Times New Roman"/>
                  <w:sz w:val="18"/>
                  <w:szCs w:val="18"/>
                  <w:b w:val="1"/>
                  <w:bCs w:val="1"/>
                  <w:color w:val="0000FF"/>
                  <w:w w:val="98"/>
                </w:rPr>
                <w:t>INDEX TO EXHIBITS</w:t>
              </w:r>
            </w:hyperlink>
          </w:p>
        </w:tc>
        <w:tc>
          <w:tcPr>
            <w:tcW w:w="7860" w:type="dxa"/>
            <w:vAlign w:val="bottom"/>
            <w:gridSpan w:val="15"/>
          </w:tcPr>
          <w:p>
            <w:pPr>
              <w:spacing w:after="0"/>
              <w:rPr>
                <w:sz w:val="21"/>
                <w:szCs w:val="21"/>
                <w:color w:val="auto"/>
              </w:rPr>
            </w:pPr>
          </w:p>
        </w:tc>
        <w:tc>
          <w:tcPr>
            <w:tcW w:w="1180" w:type="dxa"/>
            <w:vAlign w:val="bottom"/>
            <w:gridSpan w:val="4"/>
          </w:tcPr>
          <w:p>
            <w:pPr>
              <w:jc w:val="right"/>
              <w:ind w:right="20"/>
              <w:spacing w:after="0"/>
              <w:rPr>
                <w:rFonts w:ascii="Times New Roman" w:cs="Times New Roman" w:eastAsia="Times New Roman" w:hAnsi="Times New Roman"/>
                <w:sz w:val="18"/>
                <w:szCs w:val="18"/>
                <w:b w:val="1"/>
                <w:bCs w:val="1"/>
                <w:color w:val="0000FF"/>
              </w:rPr>
            </w:pPr>
            <w:hyperlink w:anchor="page39">
              <w:r>
                <w:rPr>
                  <w:rFonts w:ascii="Times New Roman" w:cs="Times New Roman" w:eastAsia="Times New Roman" w:hAnsi="Times New Roman"/>
                  <w:sz w:val="18"/>
                  <w:szCs w:val="18"/>
                  <w:b w:val="1"/>
                  <w:bCs w:val="1"/>
                  <w:color w:val="0000FF"/>
                </w:rPr>
                <w:t>38</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840"/>
          </w:cols>
          <w:pgMar w:left="280" w:top="360" w:right="7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5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416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14,153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13,393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5,031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14,732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13,665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8,985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4,251</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calculation of earnings per share:</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per share</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729"/>
        </w:trPr>
        <w:tc>
          <w:tcPr>
            <w:tcW w:w="4160" w:type="dxa"/>
            <w:vAlign w:val="bottom"/>
          </w:tcPr>
          <w:p>
            <w:pPr>
              <w:spacing w:after="0"/>
              <w:rPr>
                <w:sz w:val="24"/>
                <w:szCs w:val="24"/>
                <w:color w:val="auto"/>
              </w:rPr>
            </w:pPr>
          </w:p>
        </w:tc>
        <w:tc>
          <w:tcPr>
            <w:tcW w:w="29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See accompanying notes.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r>
      <w:tr>
        <w:trPr>
          <w:trHeight w:val="78"/>
        </w:trPr>
        <w:tc>
          <w:tcPr>
            <w:tcW w:w="56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59"/>
        </w:trPr>
        <w:tc>
          <w:tcPr>
            <w:tcW w:w="56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8"/>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4,060</w:t>
            </w:r>
          </w:p>
        </w:tc>
      </w:tr>
      <w:tr>
        <w:trPr>
          <w:trHeight w:val="225"/>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reclassification adjustments and</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(losses) gains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portion of cash flow hedges</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gains on available-for-sale securities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57"/>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8"/>
              </w:rPr>
              <w:t>1,263</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3"/>
              </w:rPr>
              <w:t>1,342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3,921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3,817</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16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4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35"/>
        </w:trPr>
        <w:tc>
          <w:tcPr>
            <w:tcW w:w="7440" w:type="dxa"/>
            <w:vAlign w:val="bottom"/>
            <w:tcBorders>
              <w:bottom w:val="single" w:sz="8" w:color="CCEEFF"/>
            </w:tcBorders>
            <w:shd w:val="clear" w:color="auto" w:fill="CCEEFF"/>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3,805</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15,596</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2,697</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3,019</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2,250</w:t>
            </w:r>
          </w:p>
        </w:tc>
      </w:tr>
      <w:tr>
        <w:trPr>
          <w:trHeight w:val="237"/>
        </w:trPr>
        <w:tc>
          <w:tcPr>
            <w:tcW w:w="7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36,048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27,367</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5,349</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14,968</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1,767</w:t>
            </w:r>
          </w:p>
        </w:tc>
      </w:tr>
      <w:tr>
        <w:trPr>
          <w:trHeight w:val="27"/>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70,775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66,125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0"/>
        </w:trPr>
        <w:tc>
          <w:tcPr>
            <w:tcW w:w="7820" w:type="dxa"/>
            <w:vAlign w:val="bottom"/>
            <w:tcBorders>
              <w:bottom w:val="single" w:sz="8" w:color="CCEEFF"/>
            </w:tcBorders>
            <w:gridSpan w:val="2"/>
            <w:shd w:val="clear" w:color="auto" w:fill="CCEEFF"/>
          </w:tcPr>
          <w:p>
            <w:pPr>
              <w:ind w:left="37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787</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4,655</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2,505</w:t>
            </w:r>
          </w:p>
        </w:tc>
      </w:tr>
      <w:tr>
        <w:trPr>
          <w:trHeight w:val="237"/>
        </w:trPr>
        <w:tc>
          <w:tcPr>
            <w:tcW w:w="74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7,947</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29,623</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6,459</w:t>
            </w:r>
          </w:p>
        </w:tc>
      </w:tr>
      <w:tr>
        <w:trPr>
          <w:trHeight w:val="56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1"/>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5"/>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and additional paid-in capital; $0.0001 par value; 2,750.0 shares authorized;</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- 760.6 shares in 2014 and 754.6 shares in 2013</w:t>
            </w:r>
          </w:p>
        </w:tc>
        <w:tc>
          <w:tcPr>
            <w:tcW w:w="38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29,891</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r>
      <w:tr>
        <w:trPr>
          <w:trHeight w:val="243"/>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22,096</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70,775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66,125</w:t>
            </w:r>
          </w:p>
        </w:tc>
      </w:tr>
      <w:tr>
        <w:trPr>
          <w:trHeight w:val="27"/>
        </w:trPr>
        <w:tc>
          <w:tcPr>
            <w:tcW w:w="7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42"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24765</wp:posOffset>
            </wp:positionV>
            <wp:extent cx="2238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4,060</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842</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items, net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receivables, net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income taxes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7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4,456</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15,743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4,846</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restricted investments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7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1,649</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debt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 in connection with the Company’s equity award programs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7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3,257</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8,281</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AMGEN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14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financial information for the three and nine months ended September 30, 2014 and 2013, is unaudited but includes all adjustments (consisting of only normal recurring adjustments, unless otherwise indicated), which Amgen considers necessary for a fair presentation of its condensed consolidated results of operations for those periods. Interim results are not necessarily indicative of results for the full fiscal year.</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our consolidated financial statements and the notes thereto contained in our Annual Report on Form 10-K for the year ended December 31, 2013 and in our Quarterly Reports on Form 10-Q for the periods ended March 31, 2014, and June 30, 2014.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Amgen as well as its majority-owned subsidiaries. We do not have any significant interests in any variable interest entities. All material intercompany transactions and balances have been eliminated in consolidation.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accounting principles generally accepted in the United States (GAAP) requires management to make estimates and assumptions that affect the amounts reported in the condensed consolidated financial statements and accompanying notes. Actual results may differ from those estimates.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Property, plant and equipment is recorded at historical cost, net of accumulated depreciation and amortization of $7.4 billion and $6.9 billion as of September 30, 2014, and December 31, 2013,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investments</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December 31, 2013, we had restricted investments on our Condensed Consolidated Balance Sheet that were owned by ATL Holdings Limited (ATL Holdings), a wholly-owned subsidiary. ATL Holdings was an entity distinct from the Company and its other subsidiaries, with separate assets and liabilities. Because certain third parties owned Class A preferred shares of ATL Holdings, this entity was required to hold restricted investments, which were composed of interest-bearing securities, cash and related interest receivable as of December 31, 2013. On May 22, 2014, the Company repurchased all of the outstanding Class A preferred shares, and therefore, there were no remaining restricted investments on our Condensed Consolidated Balance Sheet as of September 30, 2014. See Note 9, Financing arrangements.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Branded prescription drug fee</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2014, the Internal Revenue Service (IRS) issued final regulations for the branded prescription drug (BPD) fee, an annual non-tax deductible fee imposed on certain companies engaged in the business of manufacturing or importing branded prescription drugs enacted under the Patient Protection and Affordable Care Act. The final regulations accelerated the expense recognition criteria for the fee obligation by one year, from the year in which the fee is paid to the year in which the sales used to calculate the fee occur. As a result, our Consolidated Statement of Income for the year ended December 31, 2014, will include both the estimated BPD fee imposed and paid in 2014 and an estimated BPD fee to be imposed and paid in 2015. Pursuant to the issuance of these final regulations, we recognized an additional $145 million in Selling, general and administrative (SG&amp;A) expense during the three months ended September 30, 2014, for: (i) the accrual of the estimated fee to be imposed and paid in 2015 related to sales which will be used to calculate the fee that occurred during the nine months ended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September 30, 2014, and (ii) the derecognition of the remaining deferred charge related to the fee imposed and paid in 2014 recorded under the method of accounting previously used for recognition of the BPD fee under the IRS temporary regulations.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May 2014, a new accounting standard was issued that amends the guidance for the recognition of revenue from contracts with customers to transfer goods and services. This new standard will be effective for interim and annual periods beginning January 1, 2017, is required to be adopted retrospectively and early adoption is not permitted. We are currently evaluating the impact that this new standard will have on our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Restructuring</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29, 2014, we announced a restructuring plan to invest in continuing innovation and the launch of our new pipeline molecules, while improving our cost structure. As part of the plan, we stated that we would reduce our staff by 2,400 to 2,900 by the end of 2015, close our facilities in Washington state and Colorado and reduce the number of buildings occupied at our headquarters in Thousand Oaks, California. After evaluating additional efficiency initiatives, particularly in the area of shared services, outsourcing and other external expense categories, we are expanding the total planned reduction of our staff to 3,500 to 4,000 by the end of 2015.</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currently estimate that $935 million to $1,035 million of restructuring charges will be incurred in connection with the implementation of our restructuring plan. Included in these amounts are: (i) separation costs of $535 million to $585 million with respect to the staff reductions, and (ii) asset related charges of $400 million to $450 million consisting primarily of asset impairments, accelerated depreciation and other related costs resulting from the consolidation of our worldwide facilities. Approximately 55% of the total charges will result in cash outlays, associated primarily with staff separation costs.</w:t>
      </w:r>
    </w:p>
    <w:p>
      <w:pPr>
        <w:spacing w:after="0" w:line="9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2014, we initiated the above-noted actions and incurred $376 million of restructuring costs. We expect that substantially all remaining restructuring actions and related estimated costs to be incurred will occur during the fourth quarter of 2014 and in 2015.</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charges recorded during the three months ended September 30, 2014, related to the restructuring plan by type of activity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Asset impairment and accelerated depreciation charges were recognized in connection with our decision to exit Boulder and Longmont, Colorado and Bothell and Seattle, Washington as well as the consolidation of facilities in Thousand Oaks, California. The decision to accelerate the closure of these manufacturing and research and development (R&amp;D) facilities was based principally on optimizing the utilization of our sites in the United States, which includes an expansion of our presence in the key U.S. biotechnology hubs of South San Francisco, California and Cambridge, Massachusetts.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expense and payments regarding liabilities related to the restructuring plan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Separation Costs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liabilities as of June 30, 2014</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w:t>
            </w:r>
          </w:p>
        </w:tc>
        <w:tc>
          <w:tcPr>
            <w:tcW w:w="4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liabilities as of September 30, 2014</w:t>
            </w: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311</w:t>
            </w:r>
          </w:p>
        </w:tc>
      </w:tr>
      <w:tr>
        <w:trPr>
          <w:trHeight w:val="20"/>
        </w:trPr>
        <w:tc>
          <w:tcPr>
            <w:tcW w:w="7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Onyx Pharmaceuticals</w:t>
      </w:r>
    </w:p>
    <w:p>
      <w:pPr>
        <w:spacing w:after="0" w:line="146" w:lineRule="exact"/>
        <w:rPr>
          <w:sz w:val="20"/>
          <w:szCs w:val="20"/>
          <w:color w:val="auto"/>
        </w:rPr>
      </w:pPr>
    </w:p>
    <w:p>
      <w:pPr>
        <w:jc w:val="both"/>
        <w:ind w:firstLine="405"/>
        <w:spacing w:after="0" w:line="217" w:lineRule="auto"/>
        <w:rPr>
          <w:sz w:val="20"/>
          <w:szCs w:val="20"/>
          <w:color w:val="auto"/>
        </w:rPr>
      </w:pPr>
      <w:r>
        <w:rPr>
          <w:rFonts w:ascii="Times New Roman" w:cs="Times New Roman" w:eastAsia="Times New Roman" w:hAnsi="Times New Roman"/>
          <w:sz w:val="18"/>
          <w:szCs w:val="18"/>
          <w:color w:val="auto"/>
        </w:rPr>
        <w:t>On October 1, 2013, we acquired all of the outstanding stock of Onyx Pharmaceuticals, Inc. (Onyx), a global biopharmaceutical company engaged in the development and commercialization of innovative therapies for improving the lives of people afflicted with cancer. Onyx has a multiple myeloma franchise, with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(carfilzomib) for Injection already approved in the United States, and with oprozomib being evaluated in clinical trials for patients with hematologic malignancies. In addition, Onyx has three partnered oncology assets: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(sorafenib) tablets (an Onyx and Bayer compound), Stivarga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(regorafenib) tablets (a Bayer compound), and palbociclib (a Pfizer, Inc. compound). This transaction, which was accounted for as a business combination, provides us with an opportunity to expand our oncology franchise. Onyx’s operations have been included in our condensed consolidated financial statements commencing on the acquisition date.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aggregate consideration to acquire Onyx was paid in cash and consisted of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9,517</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w:t>
            </w:r>
          </w:p>
        </w:tc>
        <w:tc>
          <w:tcPr>
            <w:tcW w:w="9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9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paid</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9,714</w:t>
            </w:r>
          </w:p>
        </w:tc>
      </w:tr>
      <w:tr>
        <w:trPr>
          <w:trHeight w:val="20"/>
        </w:trPr>
        <w:tc>
          <w:tcPr>
            <w:tcW w:w="9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$9,517 million cash payment consisted of a $9,186 million cash payment to the outstanding common stockholders and a $331 million cash payment to the Onyx equity award holders for services rendered prior to October 1, 2013 under the Onyx equity award plans. The remaining $197 million of cash, which related to the accelerated vesting of the remaining Onyx equity awards, was recognized as compensation expense during the three months ended December 31, 2013. This amount was included primarily in SG&amp;A expense in the Consolidated Statement of Income.</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consideration to acquire Onyx was allocated to the acquisition date fair values of assets acquired and liabilities assumed as follows (in millions):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 In-process research and development (IPR&amp;D)</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 Developed product technology rights</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6,190</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 Licensing rights</w:t>
            </w:r>
          </w:p>
        </w:tc>
        <w:tc>
          <w:tcPr>
            <w:tcW w:w="9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2,792</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2,402</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contingent consideration</w:t>
            </w: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9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7"/>
        </w:trPr>
        <w:tc>
          <w:tcPr>
            <w:tcW w:w="9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(liabilities), net</w:t>
            </w:r>
          </w:p>
        </w:tc>
        <w:tc>
          <w:tcPr>
            <w:tcW w:w="9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9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consideration</w:t>
            </w:r>
          </w:p>
        </w:tc>
        <w:tc>
          <w:tcPr>
            <w:tcW w:w="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9,517</w:t>
            </w:r>
          </w:p>
        </w:tc>
      </w:tr>
      <w:tr>
        <w:trPr>
          <w:trHeight w:val="27"/>
        </w:trPr>
        <w:tc>
          <w:tcPr>
            <w:tcW w:w="9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Onyx’s preliminary goodwill at December 31, 2013 has been revised. Goodwill was reduced by $124 million due primarily to revisions which increased the acquisition date fair values of developed product technology rights by $280 million and deferred income taxes by $93 million, and decreased inventory by $80 million. The adjustments did not have a material effect on our current or prior period financial statements.</w:t>
      </w:r>
    </w:p>
    <w:p>
      <w:pPr>
        <w:spacing w:after="0" w:line="95"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The developed product technology rights acquired relate to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which is approved in the United States. This product technology is being amortized on a straight-line basis over the estimated useful life of 12 years.</w:t>
      </w:r>
    </w:p>
    <w:p>
      <w:pPr>
        <w:spacing w:after="0" w:line="11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Licensing rights acquired represent the aggregate estimated fair values of receiving future milestone, royalty and/or profit sharing payments associated with various contract agreements that were entered into by Onyx prior to the acquisition. The weighted-average useful life of these finite-lived intangible assets is ten years, and they are being amortized on a straight-line basis.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Filgrastim and pegfilgrastim rights acquisition</w:t>
      </w:r>
    </w:p>
    <w:p>
      <w:pPr>
        <w:spacing w:after="0" w:line="14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October 2013, we entered into an agreement to acquire the licenses to filgrastim and pegfilgrastim effective January 1, 2014 (acquisition date), that were held by F. Hoffmann-La Roche Ltd. (Roche) in approximately 100 markets in Eastern Europe,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60" w:right="2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Latin America, Asia, the Middle East and Africa (Product Rights), and to settle our preexisting relationship related to the Product Rights for total consideration of $497 million. The acquisition of the Product Rights was accounted for as a business combination as the acquired rights and processes are capable of producing an immediate return to us, and the settlement of the preexisting relationship was accounted for separately from the business combination.</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This transaction provides us with an opportunity to expand our geographic presence and reach more patients in more countries that could benefit from our therapies. The operations of the acquired set of activities have been included in our financial statements commencing on the acquisition date. Pro forma results of operations for this acquisition have not been presented because this acquisition is not material to our consolidated results of operations.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aggregate consideration transferred consisted of (in millions):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 or to be transferred</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497</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preexisting relationship at fair value</w:t>
            </w:r>
          </w:p>
        </w:tc>
        <w:tc>
          <w:tcPr>
            <w:tcW w:w="10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9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 transferred to acquire the Product Rights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9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settlement of the preexisting relationship relates to a supply contract between Amgen and Roche that was terminated as a result of the acquisition of the Product Rights. The fair value of the contract of $99 million was recognized in Cost of sales in the Condensed Consolidated Statement of Income for the nine months ended September 30, 2014.</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consideration to acquire the Product Rights was allocated to the acquisition date fair values of assets acquired as follows (in millions):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 Marketing-related rights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 Developed product technology rights</w:t>
            </w:r>
          </w:p>
        </w:tc>
        <w:tc>
          <w:tcPr>
            <w:tcW w:w="10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9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9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marketing-related and developed product technology rights acquired relate to the Product Rights and are being amortized on a straight-line basis over their estimated useful lives of five years and three and one-half years,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2014 were 7.0% and 10.1%, respectively, compared with 9.0% and 4.5% for the corresponding periods of the prior year. The effective rates are different from the federal statutory rates primarily as a result of indefinitely invested earnings of our foreign operations. We do not provide for U.S. income taxes on undistributed earnings of our foreign operations that are intended to be invested indefinitely outside of the United States. In addition, the effective tax rates for both periods were reduced by foreign tax credits associated with the Puerto Rico excise tax described below.</w:t>
      </w:r>
    </w:p>
    <w:p>
      <w:pPr>
        <w:spacing w:after="0" w:line="10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decrease in our effective tax rate for the three months ended September 30, 2014, is due primarily to the favorable tax impact of changes in the jurisdictional mix of income and expenses, including higher domestic acquisition-related expenses and restructuring costs. The decrease was offset partially by the exclusion of the benefit of the R&amp;D tax credit, which expired as of December 31, 2013, and was not reinstated as of September 30, 2014.</w:t>
      </w:r>
    </w:p>
    <w:p>
      <w:pPr>
        <w:spacing w:after="0" w:line="9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increase in our effective tax rate for the nine months ended September 30, 2014, is due primarily to two significant events that occurred during the three months ended March 31, 2013. First, we settled our examination with the IRS for the years ended December 31, 2007, 2008 and 2009 in which we agreed to certain adjustments proposed by the IRS and remeasured our unrecognized tax benefits (UTBs) accordingly. Second, the American Taxpayer Relief Act of 2012, enacted during the first quarter of 2013, reinstated the federal R&amp;D tax credit for 2012 and 2013. Therefore, our effective tax rate for the nine months ended September 30, 2013, included a benefit for the full-year 2012 R&amp;D tax credit, recorded as a discrete item in the first quarter of 2013. The increase was offset partially by the favorable tax impact of changes in the jurisdictional mix of income and expenses due primarily to higher domestic acquisition-related expenses and restructuring costs in the nine months ended September 30, 2014.</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Puerto Rico imposes an excise tax on the gross intercompany purchase price of goods and services from our manufacturing subsidiary in Puerto Rico. The rate was 2.75% in the first half of 2013 and 4.0% effective July 1, 2013 through December 31, 2017. We account for the excise tax as a manufacturing cost that is capitalized in inventory and expensed in cost of sales when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related products are sold. For U.S. income tax purposes, the excise tax results in foreign tax credits that are generally recognized in our provision for income taxes when the excise tax is incurred. Excluding the impact of the Puerto Rico excise tax, our effective tax rates for the three and nine months ended September 30, 2014, would have been 12.5% and 15.0%, respectively, compared with 13.8% and 9.8% for the corresponding periods of the prior year.</w:t>
      </w:r>
    </w:p>
    <w:p>
      <w:pPr>
        <w:spacing w:after="0" w:line="9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One or more of our legal entities file income tax returns in the U.S. federal jurisdiction, various U.S. state jurisdictions and certain foreign jurisdictions. Our income tax returns are routinely audited by the tax authorities in those jurisdictions. Significant disputes may arise with these tax authorities involving issues of the timing and amount of income and deductions, the use of tax credits and allocations of income among various tax jurisdictions because of differing interpretations of tax laws and regulations. We are no longer subject to U.S. federal income tax examinations for years ending on or before December 31, 2009, or to California state income tax examinations for years ending on or before December 31, 2005.</w:t>
      </w:r>
    </w:p>
    <w:p>
      <w:pPr>
        <w:spacing w:after="0" w:line="1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2014, the gross amount of our UTBs increased by approximately $90 million and $255 million, respectively, as a result of tax positions taken during the current year. Substantially all of the UTBs as of September 30, 2014, if recognized, would affect our effective tax rate. As of September 30, 2014, we believe it is reasonably possible that our gross liabilities for UTBs may decrease by approximately $70 million within the succeeding 12 months due to the resolution of state audits.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weighted-average number of our common shares outstanding. The computation of diluted EPS is based on the weighted-average number of our common shares outstanding and dilutive potential common shares, which include principally shares that may be issued under our stock option awards and restricted stock and performance unit awards, determined using the treasury stock method (collectively “dilutive securities”).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computation for basic and diluted EPS was as follows (in millions, except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r>
      <w:tr>
        <w:trPr>
          <w:trHeight w:val="78"/>
        </w:trPr>
        <w:tc>
          <w:tcPr>
            <w:tcW w:w="51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59"/>
        </w:trPr>
        <w:tc>
          <w:tcPr>
            <w:tcW w:w="5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(Numerator):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for basic and diluted EPS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4,060</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(Denominator):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for basic EPS</w:t>
            </w:r>
          </w:p>
        </w:tc>
        <w:tc>
          <w:tcPr>
            <w:tcW w:w="92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752</w:t>
            </w: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for diluted EPS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764</w:t>
            </w:r>
          </w:p>
        </w:tc>
      </w:tr>
      <w:tr>
        <w:trPr>
          <w:trHeight w:val="27"/>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EPS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5.31</w:t>
            </w:r>
          </w:p>
        </w:tc>
      </w:tr>
    </w:tbl>
    <w:p>
      <w:pPr>
        <w:spacing w:after="0" w:line="14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2014 and 2013, the number of anti-dilutive employee stock-based awards excluded from the computation of diluted EPS was not significant.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Available-for-sale investments</w:t>
      </w:r>
    </w:p>
    <w:p>
      <w:pPr>
        <w:spacing w:after="0" w:line="14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gross unrealized losses and estimated fair values of available-for-sale investments by type of security were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3"/>
                <w:szCs w:val="13"/>
                <w:color w:val="auto"/>
              </w:rPr>
            </w:pPr>
          </w:p>
        </w:tc>
        <w:tc>
          <w:tcPr>
            <w:tcW w:w="11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security as of September 30, 2014</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3,577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Foreign and 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Financial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6,043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2,386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27,704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27,582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27,792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27,670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24"/>
                <w:szCs w:val="24"/>
                <w:color w:val="auto"/>
              </w:rPr>
            </w:pPr>
          </w:p>
        </w:tc>
        <w:tc>
          <w:tcPr>
            <w:tcW w:w="11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security as of December 31, 2013</w:t>
            </w:r>
          </w:p>
        </w:tc>
        <w:tc>
          <w:tcPr>
            <w:tcW w:w="30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Foreign and 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Financial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22,268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22,363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fair values of available-for-sale investments by classification in the Condensed Consolidated Balance Sheets were as follows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Classification in the Condensed Consolidated Balance Sheets</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5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24,398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15,596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 noncurrent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investments</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27,670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22,363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Cash and cash equivalents in the table above excludes cash of $493 million and $539 million as of September 30, 2014, and December 31, 2013, respectively. Restricted investments in the table above excludes $6 million of interest receivable as of December 31, 2013.</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available-for-sale interest-bearing security investments by contractual maturity, except for mortgage- and asset- backed securities that do not have a single maturity date, were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after three years through five years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6,057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Maturing after five years through ten years</w:t>
            </w: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Maturing after ten years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interest-bearing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27,582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22,268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2014 and 2013, realized gains totaled $17 million and $24 million, respectively, and realized losses totaled $28 million and $26 million, respectively. For the nine months ended September 30, 2014 and 2013, realized gains totaled $102 million and $142 million, respectively, and realized losses totaled $71 million and $70 million, respectively. The cost of securities sold is based on the specific identification method.</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unrealized losses on available-for-sale investments and their related fair values were as follows (in millions):</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 of security as of September 30, 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4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12,345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 of security as of December 31, 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Unrealized losses</w:t>
            </w:r>
          </w:p>
        </w:tc>
      </w:tr>
      <w:tr>
        <w:trPr>
          <w:trHeight w:val="249"/>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portfolio is to enhance overall returns in an efficient manner while maintaining safety of principal, prudent levels of liquidity and acceptable levels of risk. Our investment policy limits interest-bearing security investments to certain types of debt and money market instruments issued by institutions with primarily investment grade credit ratings and places restrictions on maturities and concentration by asset class and issuer.</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review our available-for-sale investments for other-than-temporary declines in fair value below our cost basis each quarter and whenever events or changes in circumstances indicate that the cost basis of an asset may not be recoverable. This evaluation is based on a number of factors, including the length of time and the extent to which the fair value has been below our cost basis and adverse conditions related specifically to the security, including any changes to the credit rating of the security. As of September 30, 2014, and December 31, 2013, we believe the cost bases for our available-for-sale investments were recoverable in all material respects.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tcPr>
          <w:p>
            <w:pPr>
              <w:jc w:val="center"/>
              <w:ind w:right="6050"/>
              <w:spacing w:after="0"/>
              <w:rPr>
                <w:sz w:val="20"/>
                <w:szCs w:val="20"/>
                <w:color w:val="auto"/>
              </w:rPr>
            </w:pPr>
            <w:r>
              <w:rPr>
                <w:rFonts w:ascii="Times New Roman" w:cs="Times New Roman" w:eastAsia="Times New Roman" w:hAnsi="Times New Roman"/>
                <w:sz w:val="18"/>
                <w:szCs w:val="18"/>
                <w:color w:val="auto"/>
                <w:w w:val="97"/>
              </w:rPr>
              <w:t>Total inventories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millions):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6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12,662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Goodwill related to acquisitions of businesses</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tcPr>
          <w:p>
            <w:pPr>
              <w:jc w:val="center"/>
              <w:ind w:right="609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12,572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20" w:hanging="208"/>
        <w:spacing w:after="0" w:line="218" w:lineRule="auto"/>
        <w:tabs>
          <w:tab w:leader="none" w:pos="54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Composed primarily of adjustments to goodwill resulting from changes to the acquisition date fair values of net assets acquired in business combinations recorded during their respective measurement periods.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0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product technology rights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Licensing rights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technology rights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Marketing-related rights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15,197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IPR&amp;D</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18,698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17,837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Developed product technology rights consist of rights related to marketed products acquired in business combinations. Licensing rights are composed primarily of intangible assets acquired as part of the acquisition of Onyx (see Note 3, Business combinations), capitalized payments to third parties for milestones related to regulatory approvals to commercialize products and up-front payments associated with royalty obligations for marketed products. R&amp;D technology rights consist of technology used in R&amp;D with alternative future uses. Marketing-related intangible assets are composed primarily of rights related to the sale and distribution of marketed products, including assets purchased from the Glaxo Group Limited (Glaxo) discussed below and licenses to filgrastim and pegfilgrastim acquired from Roche (see Note 3, Business combinations).</w:t>
      </w:r>
    </w:p>
    <w:p>
      <w:pPr>
        <w:spacing w:after="0" w:line="10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April 1, 2014, we entered into a Termination and Transition Agreement (the Transition Agreement) with Glaxo which terminated, in part, and amended, in part, our agreement with Glaxo (the Collaboration Agreement) for the commercialization of denosumab for osteoporosis indications in certain geographic territories, including the European Union (EU), Switzerland, Australia, Norway, Russia and Mexico. The Transition Agreement terminated the Collaboration Agreement for all countries and regions, except for Australia. All commercial activities assigned to Glaxo under the Collaboration Agreement other than those in Australia will be transitioned back to us no later than December 31, 2014. In exchange for the early termination (except Australia) of the Collaboration Agreement, we will make payments to Glaxo totaling $275 million, which represents the reacquisition of a previously shared economic interest in geographic territories where we were already marketing denosumab and accordingly, the transaction was accounted for as an acquisition of identifiable intangible assets.</w:t>
      </w:r>
    </w:p>
    <w:p>
      <w:pPr>
        <w:spacing w:after="0" w:line="10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Transition Agreement does not change the terms of the related Expansion Agreement under which Glaxo will commercialize denosumab for all indications in certain other geographic territories.</w:t>
      </w:r>
    </w:p>
    <w:p>
      <w:pPr>
        <w:spacing w:after="0" w:line="81" w:lineRule="exact"/>
        <w:rPr>
          <w:sz w:val="20"/>
          <w:szCs w:val="20"/>
          <w:color w:val="auto"/>
        </w:rPr>
      </w:pPr>
    </w:p>
    <w:p>
      <w:pPr>
        <w:jc w:val="both"/>
        <w:ind w:firstLine="405"/>
        <w:spacing w:after="0" w:line="236" w:lineRule="auto"/>
        <w:rPr>
          <w:sz w:val="20"/>
          <w:szCs w:val="20"/>
          <w:color w:val="auto"/>
        </w:rPr>
      </w:pPr>
      <w:r>
        <w:rPr>
          <w:rFonts w:ascii="Times New Roman" w:cs="Times New Roman" w:eastAsia="Times New Roman" w:hAnsi="Times New Roman"/>
          <w:sz w:val="18"/>
          <w:szCs w:val="18"/>
          <w:color w:val="auto"/>
        </w:rPr>
        <w:t>IPR&amp;D consists of R&amp;D projects acquired in a business combination which are not complete due to remaining technological risks and/or lack of receipt of the required regulatory approvals. These projects include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 treatment for multiple myeloma being developed for use outside the United States (excluding Japan) acquired in the Onyx transaction (see Note 3, Business combinations); AMG 416 (formerly known as velcalcetide), a treatment for secondary hyperparathyroidism in patients with chronic kidney disease who are on dialysis; blinatumomab, a treatment for acute lymphoblastic leukemia (ALL), and talimogene laherparepvec, a treatment for melanoma.</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all IPR&amp;D projects, there are major risks and uncertainties associated with the timely and successful completion of development and commercialization of these product candidates, including our ability to confirm their safety and efficacy based on data from clinical trials, our ability to obtain necessary regulatory approvals and our ability to successfully complete these tasks within budgeted costs. We are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payers, including government healthcare programs and private insurance plans, impact the revenues a product can generate. Consequently, the eventual realized value, if any, of these acquired IPR&amp;D projects may vary from their estimated fair values.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2014 and 2013, we recognized amortization charges associated with our finite-lived intangible assets of $339 million and $117 million, respectively. During the nine months ended September 30, 2014 and 2013, we recognized amortization charges associated with our finite-lived intangible assets of $1,037 million and $353 million, respectively. The total estimated amortization charges for our finite-lived intangible assets for the three months ending December 31,</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62" w:right="23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2014, and the years ending December 31, 2015, 2016, 2017, 2018 and 2019, are $334 million, $1.3 billion, $1.3 billion, $1.2 billion, $996 million and $922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Financing arrangements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values and the fixed contractual coupon rates, as applicable, of our long-term borrowings were as follows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1.875% notes due 2014 (1.875% 2014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4.85% notes due 2014 (4.85% 2014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2.30% notes due 2016 (2.30% 2016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2.50% notes due 2016 (2.50% 2016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Floating Rate Notes due 2017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1.25% notes due 2017 (1.25% 2017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2.125% notes due 2017 (2.125% 2017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5.85% notes due 2017 (5.85% 2017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6.15% notes due 2018 (6.15% 2018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Master Repurchase Agreement obligation due 2018</w:t>
            </w: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due 2018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4.375% euro-denominated notes due 2018 (4.375% 2018 euro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Floating Rate Notes due 2019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2.20% notes due 2019 (2.20% 2019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5.70% notes due 2019 (5.70% 2019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2.125% euro-denominated notes due 2019 (2.125% 2019 euro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4.50% notes due 2020 (4.50% 2020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3.45% notes due 2020 (3.45% 2020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4.10% notes due 2021 (4.10% 2021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3.875% notes due 2021 (3.875% 2021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3.625% notes due 2022 (3.625% 2022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3.625% notes due 2024 (3.625% 2024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5.50% pound-sterling-denominated notes due 2026 (5.50% 2026 pound sterling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4.00% pound-sterling-denominated notes due 2029 (4.00% 2029 pound sterling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6.375% notes due 2037 (6.375% 2037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6.90% notes due 2038 (6.90% 2038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6.40% notes due 2039 (6.40% 2039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5.75% notes due 2040 (5.75% 2040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4.95% notes due 2041 (4.95% 2041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5.15% notes due 2041 (5.15% 2041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5.65% notes due 2042 (5.65% 2042 Notes)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5.375% notes due 2043 (5.375% 2043 Notes)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notes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32,980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32,128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3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noncurrent debt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30,480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29,623</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Debt repayments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2014, we repurchased all of the Class A preferred shares of ATL Holdings that were subject to a Master Repurchase Agreement for $3.1 billion. We also repaid $375 million of principal on our Term Loan Credit Facility and $5 million of Other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May 2014, we issued $4.5 billion aggregate principal amount of notes, comprised of the Floating Rate Notes due 2017, the 1.25% 2017 Notes, the Floating Rate Notes due 2019, the 2.20% 2019 Notes and the 3.625% 2024 Notes. The Floating Rate Notes due in 2017 and 2019 bear interest equal to three-month London Interbank Offered Rates (LIBOR) plus 0.38% and three-month LIBOR plus 0.60%, respectively, and are not subject to redemption at our option. The fixed rate notes that were issued may be redeemed at any time at our option, in whole or in part, at the principal amount of the notes being redeemed plus accrued and unpaid interest and, except as discussed below, a "make-whole" amount, as defined. The 2.20% 2019 Notes and 3.625% 2024 Notes may be redeemed without payment of a "make-whole" amount if they are redeemed on or after one month or three months, respectively, prior to their maturity dates. In the event of a change-in-control triggering event, as defined, we may be required to purchase all or a portion of the notes at a price equal to 101% of the principal amount of the notes plus accrued and unpaid interest. Debt issuance costs incurred in connection with the issuance of these notes totaling approximately $18 million are being amortized over the respective lives of the notes, and the related charge is included in Interest expense, net, in the Condensed Consolidated Statements of Income.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had no repurchases under our stock repurchase program during the nine months ended September 30, 2014. As of September 30, 2014, $1.6 billion remained available under our Board of Directors-approved stock repurchase program. In October 2014, our Board of Directors authorized an increase that resulted in a total of $4.0 billion available under the stock repurchase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each of December 13, 2013, March 5, 2014 and July 25, 2014, the Board of Directors declared a quarterly cash dividend of $0.61 per share of common stock, which were paid on March 7, June 6, and September 5, 2014, respectively. On October 17, 2014, the Board of Directors declared a quarterly cash dividend of $0.61 per share of common stock, which will be paid on December 5, 2014, to all stockholders of record as of the close of business on November 13, 2014.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(AOCI) were as follows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2014</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to income</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2" w:right="2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The reclassifications out of AOCI to earnings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Amounts reclassified out of AOCI</w:t>
            </w: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AOCI</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2"/>
                <w:szCs w:val="12"/>
                <w:color w:val="auto"/>
              </w:rPr>
            </w:pPr>
          </w:p>
        </w:tc>
        <w:tc>
          <w:tcPr>
            <w:tcW w:w="160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2"/>
                <w:szCs w:val="12"/>
                <w:color w:val="auto"/>
              </w:rPr>
            </w:pPr>
          </w:p>
        </w:tc>
        <w:tc>
          <w:tcPr>
            <w:tcW w:w="2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Line item affected in the Statements of Income</w:t>
            </w:r>
          </w:p>
        </w:tc>
        <w:tc>
          <w:tcPr>
            <w:tcW w:w="0" w:type="dxa"/>
            <w:vAlign w:val="bottom"/>
          </w:tcPr>
          <w:p>
            <w:pPr>
              <w:spacing w:after="0"/>
              <w:rPr>
                <w:sz w:val="1"/>
                <w:szCs w:val="1"/>
                <w:color w:val="auto"/>
              </w:rPr>
            </w:pPr>
          </w:p>
        </w:tc>
      </w:tr>
      <w:tr>
        <w:trPr>
          <w:trHeight w:val="195"/>
        </w:trPr>
        <w:tc>
          <w:tcPr>
            <w:tcW w:w="4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00" w:type="dxa"/>
            <w:vAlign w:val="bottom"/>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contract gains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Cross-currency swap contract (losses) gains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Forward interest rate contract losses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before income tax</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benefit/(expense)</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realized losses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Amounts reclassified out of AOCI</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 of AOCI</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2"/>
                <w:szCs w:val="12"/>
                <w:color w:val="auto"/>
              </w:rPr>
            </w:pPr>
          </w:p>
        </w:tc>
        <w:tc>
          <w:tcPr>
            <w:tcW w:w="160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2"/>
                <w:szCs w:val="12"/>
                <w:color w:val="auto"/>
              </w:rPr>
            </w:pPr>
          </w:p>
        </w:tc>
        <w:tc>
          <w:tcPr>
            <w:tcW w:w="2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Line item affected in the Statements of Income</w:t>
            </w:r>
          </w:p>
        </w:tc>
        <w:tc>
          <w:tcPr>
            <w:tcW w:w="0" w:type="dxa"/>
            <w:vAlign w:val="bottom"/>
          </w:tcPr>
          <w:p>
            <w:pPr>
              <w:spacing w:after="0"/>
              <w:rPr>
                <w:sz w:val="1"/>
                <w:szCs w:val="1"/>
                <w:color w:val="auto"/>
              </w:rPr>
            </w:pPr>
          </w:p>
        </w:tc>
      </w:tr>
      <w:tr>
        <w:trPr>
          <w:trHeight w:val="195"/>
        </w:trPr>
        <w:tc>
          <w:tcPr>
            <w:tcW w:w="4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00" w:type="dxa"/>
            <w:vAlign w:val="bottom"/>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contract gains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Cross-currency swap contract (losses) gains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Forward interest rate contract losses</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before income tax</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benefit/(expense)</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realized gains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taxes</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4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Fair value measurement</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divided into three levels based on the source of inputs as follows:</w:t>
      </w:r>
    </w:p>
    <w:p>
      <w:pPr>
        <w:spacing w:after="0" w:line="238"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 Valuations based on unadjusted quoted prices in active markets for identical assets or liabilities that the Company has the ability to access</w:t>
      </w:r>
    </w:p>
    <w:p>
      <w:pPr>
        <w:spacing w:after="0" w:line="63"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 Valuations for which all significant inputs are observable, either directly or indirectly, other than level 1 inputs</w:t>
      </w:r>
    </w:p>
    <w:p>
      <w:pPr>
        <w:spacing w:after="0" w:line="63"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 Valuations based on inputs that are unobservable and significant to the overall fair value measurement</w:t>
      </w:r>
    </w:p>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 of each major class of the Company’s financial assets and liabilities measured at fair value on a recurring basis was as follows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18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2014,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21,990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Contingent consideration obligations in connection with</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business combinations</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60"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w:t>
            </w:r>
          </w:p>
        </w:tc>
        <w:tc>
          <w:tcPr>
            <w:tcW w:w="18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observable</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obligations in connection with</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 combinations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our U.S. Treasury securities, money market mutual funds and equity securities are based on quoted market prices in active markets with no valuation adjustment.</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Most of our other government-related and corporate debt securities are investment grade with maturity dates of five years or less from the balance sheet date. Our other government-related debt securities portfolio is composed of securities with weighted-average credit ratings of A by Standard &amp; Poor's Financial Services LLC (S&amp;P), A+ by Moody's Investor Service, Inc. (Moody's) or Fitch, Inc. (Fitch); and our corporate debt securities portfolio has a weighted-average credit rating of BBB+ by S&amp;P or Moody's, and A- by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residential mortgage-, other mortgage- and asset-backed securities portfolio is composed entirely of senior tranches, with credit ratings of AAA by S&amp;P, Moody's or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value our other short-term interest-bearing securities at amortized cost, which approximates fair value given their near term maturity dates.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70" w:right="239" w:bottom="1440" w:gutter="0" w:footer="0" w:header="0"/>
        </w:sectPr>
      </w:pPr>
    </w:p>
    <w:bookmarkStart w:id="20" w:name="page21"/>
    <w:bookmarkEnd w:id="20"/>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All of our foreign currency forward and option derivatives contracts have maturities of three years or less and all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rates, LIBOR cash and swap rates and obligor credit default swap rates. In addition, inputs for our foreign currency option contracts also include implied volatility measures. These inputs, where applicable, are at commonly quoted intervals. See Note 12, Derivative instruments.</w:t>
      </w:r>
    </w:p>
    <w:p>
      <w:pPr>
        <w:spacing w:after="0" w:line="1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cross-currency swap contracts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exchange rates, LIBOR, swap rates, obligor credit default swap rates and cross-currency basis swap spreads. See Note 12, Derivative instruments.</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interest rate swap contracts are with counterparties that have minimum credit ratings of A- or equivalent by S&amp;P, Moody’s or Fitch. We estimated the fair values of these contracts by using an income-based industry standard valuation model for which all significant inputs were observable either directly or indirectly. These inputs included LIBOR, swap rates and obligor credit default swap rates.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obligations</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incurred contingent consideration obligations as a result of our acquisition of a business and upon the assumption of contingent consideration obligations incurred by an acquired company discussed below. These contingent consideration obligations are recorded at their estimated fair values, and we revalue these obligations each reporting period until the related contingencies are resolved. The fair value measurements of these obligations are based on significant unobservable inputs related to product candidates acquired in the business combinations and are reviewed quarterly by management in our R&amp;D and commercial sales organizations. These inputs include, as applicable, estimated probabilities and timing of achieving specified regulatory and commercial milestones and estimated annual sales. Significant changes which increase or decrease the probabilities of achieving the related regulatory and commercial events, shorten or lengthen the time required to achieve such events, or increase or decrease estimated annual sales would result in corresponding increases or decreases in the fair values of these obligations, as applicable. Changes in fair values of contingent consideration obligations are recognized in Other operating expenses in the Condensed Consolidated Statements of Income.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carrying amounts of contingent consideration obligations were as follows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3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3"/>
                <w:szCs w:val="13"/>
                <w:color w:val="auto"/>
              </w:rPr>
            </w:pPr>
          </w:p>
        </w:tc>
      </w:tr>
      <w:tr>
        <w:trPr>
          <w:trHeight w:val="195"/>
        </w:trPr>
        <w:tc>
          <w:tcPr>
            <w:tcW w:w="59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r>
      <w:tr>
        <w:trPr>
          <w:trHeight w:val="249"/>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changes in valuation</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59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5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a result of our acquisition of BioVex Group, Inc. (BioVex) in March 2011, we are obligated to pay its former shareholders up to $575 million of additional consideration contingent upon achieving separate regulatory and sales-related milestones with regard to talimogene laherparepvec, which was acquired in the acquisition. In July 2014, we submitted a Biologics License Application (BLA) in the United States for regionally and distantly metastatic melanoma. In September 2014, we submitted a Marketing Authorization Application (MAA) to the European Medicines Agency (EMA) for the treatment of adults with regionally and distantly metastatic melanoma. As a result of the U.S. filing, a $125 million milestone payment is now due to the former BioVex shareholders. The remaining potential milestone payments include: (i) $125 million upon the first commercial sale in the United States following receipt of marketing approval for use of the product in specified patient populations, (ii) $125 million upon achievement of an agreed level of worldwide sales within a specified period of time and (iii) up to $200 million of additional consideration of varying amounts upon achievement of certain other regulatory and sales-related milestones.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estimate the fair values of the obligations to the former shareholders of BioVex by using a combination of probability-adjusted discounted cash flows, option pricing techniques and a simulation model of expected annual sales. As a result of our quarterly review of the key assumptions, the estimated aggregate fair value of the contingent consideration obligations increased by $13 million during the nine months ended September 30, 2014 to a fair value of $347 million as of September 30, 2014. There was no change in the aggregate fair value of the estimated contingent consideration obligations during the three months ended September 30, 2014.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4" w:right="239" w:bottom="1440" w:gutter="0" w:footer="0" w:header="0"/>
        </w:sectPr>
      </w:pPr>
    </w:p>
    <w:bookmarkStart w:id="21" w:name="page22"/>
    <w:bookmarkEnd w:id="21"/>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We assumed contingent consideration obligations upon the acquisition of Onyx arising from Onyx's 2009 acquisition of Proteolix, Inc. There are two separate milestone payments of $150 million each which would be triggered if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receives specified marketing approvals for relapsed multiple myeloma on or before March 31, 2016, by each of the U.S. Food and Drug Administration (FDA) and the EMA. We estimate the fair values of contingent obligations to the former shareholders of Proteolix, Inc. by using probability-adjusted discounted cash flows. During the three months ended September 30, 2014, we reduced the estimated probability of receiving marketing approval from the EMA by the date required to obligate us to make the associated milestone payment, although our assessment of the probability of receiving marketing approval from the EMA did not change. Accordingly, the estimated aggregate fair value of the contingent consideration obligations decreased by $62 million and $60 million during the three and nine months ended September 30, 2014, respectively, to a fair value of $201 million as of September 30, 2014.</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measurement levels, and there were no material remeasurements to fair value during the nine months ended September 30, 2014 and 2013, of assets and liabilities that are not measured at fair value on a recurring basis, except as disclosed in Note 2, Restructuring.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fair value of other financial instruments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fair values of cash equivalents approximate their carrying values due to the short-term nature of these financial instruments.</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46" w:lineRule="exact"/>
        <w:rPr>
          <w:sz w:val="20"/>
          <w:szCs w:val="20"/>
          <w:color w:val="auto"/>
        </w:rPr>
      </w:pPr>
    </w:p>
    <w:p>
      <w:pPr>
        <w:jc w:val="both"/>
        <w:ind w:firstLine="405"/>
        <w:spacing w:after="0" w:line="277" w:lineRule="auto"/>
        <w:rPr>
          <w:sz w:val="20"/>
          <w:szCs w:val="20"/>
          <w:color w:val="auto"/>
        </w:rPr>
      </w:pPr>
      <w:r>
        <w:rPr>
          <w:rFonts w:ascii="Times New Roman" w:cs="Times New Roman" w:eastAsia="Times New Roman" w:hAnsi="Times New Roman"/>
          <w:sz w:val="17"/>
          <w:szCs w:val="17"/>
          <w:color w:val="auto"/>
        </w:rPr>
        <w:t>We estimated the fair value of our long-term debt (Level 2) by taking into consideration indicative prices obtained from a third-party financial institution that utilizes industry standard valuation models, including both income- and market-based approaches, for which all significant inputs are observable either directly or indirectly. These inputs include reported trades of and broker/dealer quotes on the same or similar securities; credit spreads; benchmark yields; foreign currency exchange rates, as applicable; and other observable inputs. As of September 30, 2014, and December 31, 2013, the aggregate fair values of our long-term debt were $35.3 billion and $33.5 billion, respectively, and the carrying values were $33.0 billion and $32.1 billion,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4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is exposed to foreign currency exchange rate and interest rate risks related to its business operations. To reduce our risks related to these exposures, we utilize or have utilized certain derivative instruments, including foreign currency forward, foreign currency option, cross-currency swap, forward interest rate and interest rate swap contracts. We do not use derivatives for speculative trading purposes.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4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exposed to possible changes in the values of certain anticipated foreign currency cash flows resulting from changes in foreign currency exchange rates, associated primarily with our euro-denominated international product sales. Increases and decreases in the cash flows associated with our international product sales due to movements in foreign currency exchange rates are offset partially by the corresponding increases and decreases in our international operating expenses resulting from these foreign currency exchange rate movements. To further reduce our exposure to foreign currency exchange rate fluctuations on our international product sales, we enter into foreign currency forward and option contracts to hedge a portion of our projected international product sales primarily over a three-year time horizon, with, at any given point in time, a higher percentage of nearer-term projected product sales being hedged than in successive periods. As of September 30, 2014, and December 31, 2013, we had open foreign currency forward contracts with notional amounts of $3.8 billion and $4.0 billion, respectively, and open foreign currency option contracts with notional amounts of $261 million and $516 million, respectively. These foreign currency forward and option contracts, primarily euro based, have been designated as cash flow hedges, and accordingly, the effective portions of the unrealized gains and losses on these contracts are reported in AOCI in the Condensed Consolidated Balance Sheets and reclassified to earnings in the same periods during which the hedged transactions affect earnings.</w:t>
      </w:r>
    </w:p>
    <w:p>
      <w:pPr>
        <w:spacing w:after="0" w:line="11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To hedge our exposure to foreign currency exchange rate risk associated with certain of our long-term notes denominated in foreign currencies, we entered into cross-currency swap contracts. Under the terms of these contracts, we paid euros/pounds sterling and received U.S. dollars for the notional amounts at the inception of the contracts, and we exchange interest payments based on these notional amounts at fixed rates over the lives of the contracts in which we pay U.S. dollars and receive euros/pounds sterling. In addition, we will pay U.S. dollars to and receive euros/pounds sterling from the counterparties at the maturities of the contracts for these same notional amounts. The terms of these contracts correspond to the related hedged notes, effectively converting the interest payments and principal repayment on these notes from euros/pounds sterling to U.S. dollars. These cross-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64" w:right="2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currency swap contracts have been designated as cash flow hedges, and accordingly, the effective portions of the unrealized gains and losses on these contracts are reported in AOCI and reclassified to earnings in the same periods during which the hedged debt affects earnings.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notional amounts and interest rates of our cross-currency swaps are as follows (notional amounts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52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Hedged notes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249"/>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2.125% 2019 euro Notes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5.50% 2026 pound sterling Notes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4.00% 2029 pound sterling Notes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effective portions of the unrealized gain/(loss) recognized in other comprehensive income for our derivative instruments designated as cash flow hedges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r>
      <w:tr>
        <w:trPr>
          <w:trHeight w:val="78"/>
        </w:trPr>
        <w:tc>
          <w:tcPr>
            <w:tcW w:w="6440" w:type="dxa"/>
            <w:vAlign w:val="bottom"/>
            <w:gridSpan w:val="2"/>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r>
        <w:trPr>
          <w:trHeight w:val="259"/>
        </w:trPr>
        <w:tc>
          <w:tcPr>
            <w:tcW w:w="6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49"/>
        </w:trPr>
        <w:tc>
          <w:tcPr>
            <w:tcW w:w="6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6"/>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6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6"/>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locations in the Condensed Consolidated Statements of Income and the effective portions of the gain/(loss) reclassified out of AOCI into earnings for our derivative instruments designated as cash flow hedges were as follows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0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0"/>
        </w:trPr>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23"/>
                <w:szCs w:val="23"/>
                <w:color w:val="auto"/>
              </w:rPr>
            </w:pPr>
          </w:p>
        </w:tc>
      </w:tr>
      <w:tr>
        <w:trPr>
          <w:trHeight w:val="78"/>
        </w:trPr>
        <w:tc>
          <w:tcPr>
            <w:tcW w:w="3460" w:type="dxa"/>
            <w:vAlign w:val="bottom"/>
            <w:gridSpan w:val="2"/>
          </w:tcPr>
          <w:p>
            <w:pPr>
              <w:spacing w:after="0"/>
              <w:rPr>
                <w:sz w:val="6"/>
                <w:szCs w:val="6"/>
                <w:color w:val="auto"/>
              </w:rPr>
            </w:pPr>
          </w:p>
        </w:tc>
        <w:tc>
          <w:tcPr>
            <w:tcW w:w="298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r>
        <w:trPr>
          <w:trHeight w:val="259"/>
        </w:trPr>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Income location</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4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interest rate contracts</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3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 portions of our cash flow hedge contracts are excluded from the assessment of hedge effectiveness, and the gains and losses of the ineffective portions of these hedging instruments were not material for the three and nine months ended September 30, 2014 and 2013. As of September 30, 2014, the amounts expected to be reclassified out of AOCI into earnings over the next 12 months are approximately $91 million of net gains on our foreign currency and cross-currency swap contracts and approximately $1 million of losses on forward interest rate contracts.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4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To achieve a desired mix of fixed and floating interest rates on our long-term debt, we entered into interest rate swap contracts, which qualified and are designated as fair value hedges. The terms of these interest rate swap contracts correspond to the related hedged debt instruments and effectively converted a fixed interest rate coupon to a floating LIBOR-based coupon over the lives of the respective notes. During the year ended December 31, 2013, we entered into interest rate swap contracts with an aggregate notional amount of $4.4 billion with respect to our 3.45% 2020 Notes, 4.10% 2021 Notes, 3.875% 2021 Notes and 3.625% 2022 Notes. The contracts have rates that range from three-month LIBOR plus 1.1% to three-month LIBOR plus 2.0%. During the three months ended June 30, 2014, we entered into interest rate swap contracts with an aggregate notional amount of $2.25 billion with respect to our 1.25% 2017 Notes and our 2.20% 2019 Notes. The contracts have rates that range from three-month LIBOR plus 0.4% to three-month LIBOR plus 0.6%.</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fair value hedges, the unrealized gain or loss on the derivative resulting from the change in fair value during the period as well as the offsetting unrealized loss or gain of the hedged item resulting from the change in fair value during the period attributable to the hedged risk is recognized in current earnings. For the three and nine months ended September 30, 2014, we included the unrealized gains on the hedged debt of $36 million and the unrealized losses of $89 million, respectively, in the same line item, Interest expense, net, in the Condensed Consolidated Statements 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Income, as the offsetting unrealized losses of $36 million and unrealized gains of $89 million, respectively, on the related interest rate swap agreements. For the three and nine months ended September 30, 2013, we included the unrealized losses on the hedged debt of $7 million and gains of $84 million, respectively, in the same line item, Interest expense, net, in the Condensed Consolidated Statements of Income, as the offsetting unrealized gains of $7 million and losses of $84 million, respectively, on the related interest rate swap agreements.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hedges</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enter into foreign currency forward contracts that are not designated as hedging transactions to reduce our exposure to foreign currency fluctuations of certain assets and liabilities denominated in foreign currencies. These exposures are hedged on a month-to-month basis. As of September 30, 2014, and December 31, 2013, the total notional amounts of these foreign currency forward contracts were $1.0 billion and $999 million, respectively.</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location in the Condensed Consolidated Statements of Income and the amount of gain recognized in earnings for our derivative instruments not designated as hedging instruments were as follows (in millions):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3"/>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220" w:type="dxa"/>
            <w:vAlign w:val="bottom"/>
            <w:gridSpan w:val="2"/>
            <w:vMerge w:val="continue"/>
          </w:tcPr>
          <w:p>
            <w:pPr>
              <w:spacing w:after="0"/>
              <w:rPr>
                <w:sz w:val="11"/>
                <w:szCs w:val="11"/>
                <w:color w:val="auto"/>
              </w:rPr>
            </w:pPr>
          </w:p>
        </w:tc>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Income location</w:t>
            </w:r>
          </w:p>
        </w:tc>
        <w:tc>
          <w:tcPr>
            <w:tcW w:w="12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0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derivatives included in the Condensed Consolidated Balance Sheets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noncurrent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7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derivatives</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ind w:left="10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94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78"/>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2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Cross-currency swap contracts</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Accrued liabilities/ Other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noncurrent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Accrued liabilities/ Other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8"/>
              </w:rPr>
              <w:t>noncurrent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r>
      <w:tr>
        <w:trPr>
          <w:trHeight w:val="225"/>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 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Accrued liabilities/ Other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noncurrent liabilities</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w:t>
            </w:r>
          </w:p>
        </w:tc>
      </w:tr>
      <w:tr>
        <w:trPr>
          <w:trHeight w:val="17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91"/>
        </w:trPr>
        <w:tc>
          <w:tcPr>
            <w:tcW w:w="4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derivatives</w:t>
            </w: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derivative contracts that were in liability positions as of September 30, 2014,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to or from a counterparty under these contracts may only be offset against other amounts due to or from the same counterparty if an event of default or termination, as defined, were to occur.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cash flow effects of our derivative contracts for the nine months ended September 30, 2014 and 2013, are included within Net cash provided by operating activities in the Condensed Consolidated Statements of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and other matters—including those discussed in this Note—that are complex in nature and have outcomes that are difficult to predict. See Note 18, Contingencies and commitments to our consolidated financial statements in our Annual Report on Form 10-K for the year ended December 31, 2013, and Note 12, Contingencies and commitments to our condensed consolidated financial statements in our Quarterly Reports on Form 10-Q for the periods ended March 31, 2014 and June 30, 2014, for further discussion of certain of our legal proceedings and other matters.</w:t>
      </w:r>
    </w:p>
    <w:p>
      <w:pPr>
        <w:spacing w:after="0" w:line="7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record accruals for loss contingencies to the extent that we conclude that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6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legal proceedings range from cases brought by a single plaintiff to class actions with thousands of putative class members. These legal proceedings, as well as other matters, involve various aspects of our business and a variety of claims—including but not limited to patent infringement, marketing, pricing and trade practices and securities law—some of which present novel factual allegations and/or unique legal theories. In each of the matters described in this filing, in Note 18, Contingencies and commitments, to our consolidated financial statements in our Annual Report on Form 10-K for the year ended December 31, 2013, or in Note 12, Contingencies and commitments, to our condensed consolidated financial statements in our Quarterly Reports on Form 10-Q for the periods ended March 31, 2014 and June 30, 2014, plaintiffs seek an award of a not-yet-quantified amount of damages or an amount that is not material. In addition, a number of the matters pending against us are at very early stages of the legal process (which in complex proceedings of the sort faced by us often extend for several years). As a result, none of the matters described in this filing have progressed sufficiently through discovery and/or development of important factual information and legal issues to enable us to estimate a range of possible loss, if any, or such amounts are not material. While it is not possible to accurately predict or determine the eventual outcomes of these items, an adverse determination in one or more of these items currently pending</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could have a material adverse effect on our consolidated results of operations, financial position or cash flows.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recent developments concerning our legal proceedings and other matters are discussed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Sanofi/Regeneron Patent Litigation</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October 17, 2014, Amgen filed a lawsuit in the U.S. District Court of Delaware against Sanofi, Aventisub LLC, formerly doing business as Aventis Pharmaceuticals Inc. (collectively Sanofi), and Regeneron Pharmaceuticals, Inc. (Regeneron) for patent infringement of U.S. Patent Nos. 8,563,698, 8,829,165 and 8,859,741. On October 28, 2014, Amgen filed a second, related patent infringement lawsuit in the same court against Sanofi and Regeneron on newly issued U.S. Patent Nos. 8,871,913 and 8,871,914. These five patents, which are owned by Amgen, describe and claim monoclonal antibodies to proprotein convertase subtilisin/kexin type 9 (PCSK9). By its complaints, Amgen seeks an injunction to prevent the infringing manufacture, use and sale of Sanofi and Regeneron's alirocumab, a monoclonal antibody targeting PCSK9.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Sandoz Filgrastim Litigation</w:t>
      </w:r>
    </w:p>
    <w:p>
      <w:pPr>
        <w:spacing w:after="0" w:line="119"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On October 24, 2014, Amgen Inc. and Amgen Manufacturing, Limited (collectively Amgen) filed a lawsuit in the U.S. District Court for the Northern District of California against Sandoz, Inc., Sandoz International GMBH and Sandoz GMBH (collectively Sandoz) for unfair competition under California Business &amp; Professions Code § 17200, conversion under California common law and infringement of U.S. Patent No. 6,162,427. The lawsuit stems from Sandoz filing an application for FDA licensure of a filgrastim product as biosimilar to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(filgrastim) under the Biologics Price Competition and Innovation Act (BPCIA), while having deliberately failed to comply with the BPCIA’s disclosure requirement to Amgen as the reference product sponsor. By its complaint, Amgen seeks, amongst other remedies, an injunction to cease Sandoz’s unauthorized reliance on Amgen’s biological license for filgrastim, including an order compelling Sandoz to suspend FDA review of their application until there is restitution for its non-compliance with the BPCIA, an injunction to prevent Sandoz from commercially marketing the biosimilar product until Amgen is restored to the position it would have been in had Sandoz met their obligations under the BPCIA and an injunction to prevent Sandoz from infringing, or inducing any infringing use of, filgrastim.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ERISA Litigation</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June 30, 2014, the U.S. Supreme Court remanded this Employee Retirement Income Security Act (ERISA) class action case to the U.S. Court of Appeals for the Ninth Circuit (the Ninth Circuit Court) for reconsideration in light of the U.S. Supreme Court’s recent decision in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Third Bancorp v. Dudenhoeffer</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Fifth Third</w:t>
      </w:r>
      <w:r>
        <w:rPr>
          <w:rFonts w:ascii="Times New Roman" w:cs="Times New Roman" w:eastAsia="Times New Roman" w:hAnsi="Times New Roman"/>
          <w:sz w:val="18"/>
          <w:szCs w:val="18"/>
          <w:color w:val="auto"/>
        </w:rPr>
        <w:t>, the U.S. Supreme Court held that no presumption of prudence exists for employee stock ownership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fiduciaries regardless of plan language and the Court provided general guidance as to what factors courts should consider when assessing whether plan fiduciaries breached their duty of prudence owed to plan participants. On July 8, 2014, the Ninth Circuit Court ordered the parties to submit letter briefs addressing the impact of </w:t>
      </w:r>
      <w:r>
        <w:rPr>
          <w:rFonts w:ascii="Times New Roman" w:cs="Times New Roman" w:eastAsia="Times New Roman" w:hAnsi="Times New Roman"/>
          <w:sz w:val="18"/>
          <w:szCs w:val="18"/>
          <w:i w:val="1"/>
          <w:iCs w:val="1"/>
          <w:color w:val="auto"/>
        </w:rPr>
        <w:t>Fifth Third</w:t>
      </w:r>
      <w:r>
        <w:rPr>
          <w:rFonts w:ascii="Times New Roman" w:cs="Times New Roman" w:eastAsia="Times New Roman" w:hAnsi="Times New Roman"/>
          <w:sz w:val="18"/>
          <w:szCs w:val="18"/>
          <w:color w:val="auto"/>
        </w:rPr>
        <w:t xml:space="preserve">. Amgen has submitted a letter brief arguing that the case should now be remanded back to the district court in order that the district court may apply the new pleading standards set forth in </w:t>
      </w:r>
      <w:r>
        <w:rPr>
          <w:rFonts w:ascii="Times New Roman" w:cs="Times New Roman" w:eastAsia="Times New Roman" w:hAnsi="Times New Roman"/>
          <w:sz w:val="18"/>
          <w:szCs w:val="18"/>
          <w:i w:val="1"/>
          <w:iCs w:val="1"/>
          <w:color w:val="auto"/>
        </w:rPr>
        <w:t>Fifth Third</w:t>
      </w:r>
      <w:r>
        <w:rPr>
          <w:rFonts w:ascii="Times New Roman" w:cs="Times New Roman" w:eastAsia="Times New Roman" w:hAnsi="Times New Roman"/>
          <w:sz w:val="18"/>
          <w:szCs w:val="18"/>
          <w:color w:val="auto"/>
        </w:rPr>
        <w:t>. The plaintiffs’ brief asks the Ninth Circuit Court to reaffirm its earlier opinion in the case and sustain the existing complaint.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64" w:right="239" w:bottom="1440" w:gutter="0" w:footer="0" w:header="0"/>
        </w:sectPr>
      </w:pPr>
    </w:p>
    <w:bookmarkStart w:id="26" w:name="page27"/>
    <w:bookmarkEnd w:id="26"/>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4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This report and other documents we file with the U.S. Securities and Exchange Commission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Reference is made in particular to forward-looking statements regarding product sales, regulatory activities, clinical trial results, reimbursement, expenses, EPS, liquidity and capital resources, trends and planned dividends, stock repurchases and restructuring plans.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assist the reader in understanding Amgen’s business. MD&amp;A is provided as a supplement to, and should be read in conjunction with, our Annual Report on Form 10-K for the year ended December 31, 2013, and our Quarterly Reports on Form 10-Q for the periods ended March 31, 2014, and June 30, 2014. Our results of operations discussed in MD&amp;A are presented in conformity with GAAP.</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Amgen focuses on areas of high unmet medical need and leverages its biologics manufacturing expertise to strive for solutions that improve health outcomes and dramatically improve people’s lives. A biotechnology pioneer since 1980, Amgen has grown to be the world’s largest independent biotechnology company, has reached millions of patients around the world and is developing a pipeline of medicines with breakaway potential. Amgen operates in one business segment: human therapeutics. Therefore, our results of operations are discussed on a consolidated basis.</w:t>
      </w:r>
    </w:p>
    <w:p>
      <w:pPr>
        <w:spacing w:after="0" w:line="99" w:lineRule="exact"/>
        <w:rPr>
          <w:sz w:val="20"/>
          <w:szCs w:val="20"/>
          <w:color w:val="auto"/>
        </w:rPr>
      </w:pPr>
    </w:p>
    <w:p>
      <w:pPr>
        <w:jc w:val="both"/>
        <w:ind w:firstLine="405"/>
        <w:spacing w:after="0" w:line="216" w:lineRule="auto"/>
        <w:rPr>
          <w:sz w:val="20"/>
          <w:szCs w:val="20"/>
          <w:color w:val="auto"/>
        </w:rPr>
      </w:pPr>
      <w:r>
        <w:rPr>
          <w:rFonts w:ascii="Times New Roman" w:cs="Times New Roman" w:eastAsia="Times New Roman" w:hAnsi="Times New Roman"/>
          <w:sz w:val="18"/>
          <w:szCs w:val="18"/>
          <w:color w:val="auto"/>
        </w:rPr>
        <w:t>Currently, we market primarily recombinant protein therapeutics for supportive cancer care, inflammation, nephrology and bone disease. Our principal products are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(pegfilgrastim),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(filgrastim), Enbrel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(etanercept),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(denosumab),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(denosumab),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(cinacalcet) and our erythropoiesis-stimulating agents: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(darbepoetin alfa) and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(epoetin alfa). Our product sales outside the United States consist principally of sales in Europe. For the three and nine months ended September 30, 2014, our principal products represented 92% of worldwide product sales. We market several other products, including 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(panitumumab), 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(romiplostim) and, through our wholly owned subsidiary Onyx,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(carfilzomib).</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2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Following is a summary of selected significant developments affecting our business that have occurred since June 30, 2014. For additional developments or for a more comprehensive discussion of certain developments discussed below, see our Annual Report on Form 10-K for the year ended December 31, 2013, and our Quarterly Reports on Form 10-Q for the periods ended March 31, 2014, and June 30, 2014.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Products/Pipeline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Evolocumab</w:t>
      </w:r>
    </w:p>
    <w:p>
      <w:pPr>
        <w:spacing w:after="0" w:line="146" w:lineRule="exact"/>
        <w:rPr>
          <w:sz w:val="20"/>
          <w:szCs w:val="20"/>
          <w:color w:val="auto"/>
        </w:rPr>
      </w:pPr>
    </w:p>
    <w:p>
      <w:pPr>
        <w:jc w:val="both"/>
        <w:ind w:left="660" w:hanging="166"/>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2014, we announced that the phase 3 YUKAWA-2 (StudY of LDL-Cholesterol Reduction Using a Monoclonal PCSK9 Antibody in Japanese Patients With Advanced Cardiovascular Risk) study evaluating evolocumab in combination with statin therapy in Japanese patients with high cardiovascular risk and high cholesterol met its co-primary endpoints.</w:t>
      </w:r>
    </w:p>
    <w:p>
      <w:pPr>
        <w:spacing w:after="0" w:line="9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2014, we announced that we submitted a BLA to the FDA for the treatment of high cholesterol.</w:t>
      </w:r>
    </w:p>
    <w:p>
      <w:pPr>
        <w:spacing w:after="0" w:line="144"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2014, we announced that we submitted an MAA to the EMA for the treatment of high cholesterol.</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Ivabradine</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In August 2014, we announced that the FDA granted priority review designation for the treatment of chronic heart failure.</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Kyprolis</w:t>
      </w:r>
      <w:r>
        <w:rPr>
          <w:rFonts w:ascii="Times New Roman" w:cs="Times New Roman" w:eastAsia="Times New Roman" w:hAnsi="Times New Roman"/>
          <w:sz w:val="25"/>
          <w:szCs w:val="25"/>
          <w:color w:val="auto"/>
          <w:vertAlign w:val="superscript"/>
        </w:rPr>
        <w:t>®</w:t>
      </w:r>
    </w:p>
    <w:p>
      <w:pPr>
        <w:spacing w:after="0" w:line="66" w:lineRule="exact"/>
        <w:rPr>
          <w:sz w:val="20"/>
          <w:szCs w:val="20"/>
          <w:color w:val="auto"/>
        </w:rPr>
      </w:pPr>
    </w:p>
    <w:p>
      <w:pPr>
        <w:ind w:left="660" w:right="20" w:hanging="166"/>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2014, we and our subsidiary Onyx announced that the phase 3 clinical trial FOCUS (CarFilzOmib for AdvanCed Refractory MUltiple Myeloma European Study) did not meet its primary endpoint of improving overall survival.</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AMG 416</w:t>
      </w:r>
    </w:p>
    <w:p>
      <w:pPr>
        <w:spacing w:after="0" w:line="146" w:lineRule="exact"/>
        <w:rPr>
          <w:sz w:val="20"/>
          <w:szCs w:val="20"/>
          <w:color w:val="auto"/>
        </w:rPr>
      </w:pPr>
    </w:p>
    <w:p>
      <w:pPr>
        <w:ind w:left="660" w:hanging="166"/>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2014, we announced that a second placebo-controlled phase 3 study evaluating AMG 416 for the treatment of secondary hyperparathyroidism in patients with chronic kidney disease, receiving hemodialysis, met its primary and all secondary endpoints.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Talimogene laherparepvec</w:t>
      </w:r>
    </w:p>
    <w:p>
      <w:pPr>
        <w:spacing w:after="0" w:line="146" w:lineRule="exact"/>
        <w:rPr>
          <w:sz w:val="20"/>
          <w:szCs w:val="20"/>
          <w:color w:val="auto"/>
        </w:rPr>
      </w:pPr>
    </w:p>
    <w:p>
      <w:pPr>
        <w:ind w:left="660" w:hanging="166"/>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2014, we announced that we submitted an MAA to the EMA for the treatment of adults with regionally and distantly metastatic melanoma.</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Blinatumomab</w:t>
      </w:r>
    </w:p>
    <w:p>
      <w:pPr>
        <w:spacing w:after="0" w:line="146" w:lineRule="exact"/>
        <w:rPr>
          <w:sz w:val="20"/>
          <w:szCs w:val="20"/>
          <w:color w:val="auto"/>
        </w:rPr>
      </w:pPr>
    </w:p>
    <w:p>
      <w:pPr>
        <w:jc w:val="both"/>
        <w:ind w:left="660" w:hanging="166"/>
        <w:spacing w:after="0" w:line="22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2014, we announced that the FDA has accepted for review our BLA and granted priority review designation for the investigational bispecific T cell engager (BiTE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antibody blinatumomab, for adults with Philadelphia-negative (Ph-) relapsed/refractory B-precursor ALL, a rapidly progressing cancer of the blood and bone marrow.</w:t>
      </w:r>
    </w:p>
    <w:p>
      <w:pPr>
        <w:spacing w:after="0" w:line="11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submitted an MAA to the EMA for the treatment of adults with Ph- relapsed/refractory B-precursor ALL.</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146" w:lineRule="exact"/>
        <w:rPr>
          <w:sz w:val="20"/>
          <w:szCs w:val="20"/>
          <w:color w:val="auto"/>
        </w:rPr>
      </w:pPr>
    </w:p>
    <w:p>
      <w:pPr>
        <w:ind w:left="660" w:hanging="166"/>
        <w:spacing w:after="0" w:line="21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2014, we announced that the phase 3 study evaluating efficacy and safety of biosimilar candidate ABP 501 compared with Humira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(adalimumab) in patients with moderate-to-severe plaque psoriasis met its primary endpoint.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6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an overview of our results of operations (dollar amounts in millions,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22"/>
                <w:szCs w:val="22"/>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13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10,358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 of the world (ROW)</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product sales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4,647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14,153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13,393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272</w:t>
            </w:r>
          </w:p>
        </w:tc>
        <w:tc>
          <w:tcPr>
            <w:tcW w:w="1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14,732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13,665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8,985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shares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3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 in excess of 100%</w:t>
      </w:r>
    </w:p>
    <w:p>
      <w:pPr>
        <w:spacing w:after="0" w:line="144" w:lineRule="exact"/>
        <w:rPr>
          <w:sz w:val="20"/>
          <w:szCs w:val="20"/>
          <w:color w:val="auto"/>
        </w:rPr>
      </w:pPr>
    </w:p>
    <w:p>
      <w:pPr>
        <w:jc w:val="both"/>
        <w:ind w:firstLine="405"/>
        <w:spacing w:after="0" w:line="212" w:lineRule="auto"/>
        <w:rPr>
          <w:sz w:val="20"/>
          <w:szCs w:val="20"/>
          <w:color w:val="auto"/>
        </w:rPr>
      </w:pPr>
      <w:r>
        <w:rPr>
          <w:rFonts w:ascii="Times New Roman" w:cs="Times New Roman" w:eastAsia="Times New Roman" w:hAnsi="Times New Roman"/>
          <w:sz w:val="18"/>
          <w:szCs w:val="18"/>
          <w:color w:val="auto"/>
        </w:rPr>
        <w:t>The increases in global product sales for the three and nine months ended September 30, 2014, were driven by the addition of 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as a result of the Onyx acquisition on October 1, 2013, and by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Product sales in the third quarter of 2013 included a $155-million order for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from the U.S. government.</w:t>
      </w:r>
    </w:p>
    <w:p>
      <w:pPr>
        <w:spacing w:after="0" w:line="21" w:lineRule="exact"/>
        <w:rPr>
          <w:sz w:val="20"/>
          <w:szCs w:val="20"/>
          <w:color w:val="auto"/>
        </w:rPr>
      </w:pPr>
    </w:p>
    <w:p>
      <w:pPr>
        <w:jc w:val="both"/>
        <w:ind w:right="20" w:firstLine="405"/>
        <w:spacing w:after="0" w:line="229" w:lineRule="auto"/>
        <w:rPr>
          <w:sz w:val="20"/>
          <w:szCs w:val="20"/>
          <w:color w:val="auto"/>
        </w:rPr>
      </w:pPr>
      <w:r>
        <w:rPr>
          <w:rFonts w:ascii="Times New Roman" w:cs="Times New Roman" w:eastAsia="Times New Roman" w:hAnsi="Times New Roman"/>
          <w:sz w:val="18"/>
          <w:szCs w:val="18"/>
          <w:color w:val="auto"/>
        </w:rPr>
        <w:t>The increases in other revenues for the three and nine months ended September 30, 2014, were due primarily to our Nexavar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collaboration revenues and Stivarga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royalties as a result of the Onyx acquisition.</w:t>
      </w:r>
    </w:p>
    <w:p>
      <w:pPr>
        <w:spacing w:after="0" w:line="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increases in operating expenses for the three and nine months ended September 30, 2014, were driven primarily by Cost of sales as a result of acquisition-related expenses, including amortization of the acquired developed product technology rights. The three months ended September 30, 2014, was also impacted by Other operating expenses as a result of the restructuring plan announced earlier in the quarter.</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decreases in net income and diluted EPS for the three and nine months ended September 30, 2014, were driven by the increases in operating expenses.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Worldwide product sales were as follows (dollar amounts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ENBREL</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0"/>
        </w:trPr>
        <w:tc>
          <w:tcPr>
            <w:tcW w:w="32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0"/>
        </w:trPr>
        <w:tc>
          <w:tcPr>
            <w:tcW w:w="32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products</w:t>
            </w: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7"/>
        </w:trPr>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product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13,393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Future sales of our products are influenced by a number of factors, some of which may impact sales of certain of our products more significantly than others. Such factors are discussed below and in the Overview, Item 1. Business — Marketing, Distribution</w:t>
      </w:r>
    </w:p>
    <w:p>
      <w:pPr>
        <w:sectPr>
          <w:pgSz w:w="11900" w:h="16838" w:orient="portrait"/>
          <w:cols w:equalWidth="0" w:num="1">
            <w:col w:w="11420"/>
          </w:cols>
          <w:pgMar w:left="240" w:top="360"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60" w:right="239" w:bottom="1440" w:gutter="0" w:footer="0" w:header="0"/>
          <w:type w:val="continuous"/>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and Selected Marketed Products, Item 1A. Risk Factors and Item 7 — Product Sales in our Annual Report on Form 10-K for the year ended December 31, 2013.</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Neulasta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/NEUPOGEN</w:t>
      </w:r>
      <w:r>
        <w:rPr>
          <w:rFonts w:ascii="Times New Roman" w:cs="Times New Roman" w:eastAsia="Times New Roman" w:hAnsi="Times New Roman"/>
          <w:sz w:val="25"/>
          <w:szCs w:val="25"/>
          <w:i w:val="1"/>
          <w:iCs w:val="1"/>
          <w:color w:val="auto"/>
          <w:vertAlign w:val="superscript"/>
        </w:rPr>
        <w:t>®</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U.S.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0"/>
        </w:trPr>
        <w:tc>
          <w:tcPr>
            <w:tcW w:w="32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ROW</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230</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665</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64"/>
        </w:trPr>
        <w:tc>
          <w:tcPr>
            <w:tcW w:w="324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3,294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64"/>
        </w:trPr>
        <w:tc>
          <w:tcPr>
            <w:tcW w:w="324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U.S.</w:t>
            </w:r>
          </w:p>
        </w:tc>
        <w:tc>
          <w:tcPr>
            <w:tcW w:w="28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ROW</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64"/>
        </w:trPr>
        <w:tc>
          <w:tcPr>
            <w:tcW w:w="3240" w:type="dxa"/>
            <w:vAlign w:val="bottom"/>
            <w:tcBorders>
              <w:bottom w:val="single" w:sz="8" w:color="CCEEFF"/>
            </w:tcBorders>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NEUPOGEN</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1,089</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4"/>
        </w:trPr>
        <w:tc>
          <w:tcPr>
            <w:tcW w:w="324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/NEUPOGEN</w:t>
            </w:r>
            <w:r>
              <w:rPr>
                <w:rFonts w:ascii="Times New Roman" w:cs="Times New Roman" w:eastAsia="Times New Roman" w:hAnsi="Times New Roman"/>
                <w:sz w:val="25"/>
                <w:szCs w:val="25"/>
                <w:color w:val="auto"/>
                <w:vertAlign w:val="superscript"/>
              </w:rPr>
              <w: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20" w:lineRule="auto"/>
        <w:rPr>
          <w:sz w:val="20"/>
          <w:szCs w:val="20"/>
          <w:color w:val="auto"/>
        </w:rPr>
      </w:pPr>
      <w:r>
        <w:rPr>
          <w:rFonts w:ascii="Times New Roman" w:cs="Times New Roman" w:eastAsia="Times New Roman" w:hAnsi="Times New Roman"/>
          <w:sz w:val="18"/>
          <w:szCs w:val="18"/>
          <w:color w:val="auto"/>
        </w:rPr>
        <w:t>Our material U.S. patents for filgrastim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expired in December 2013. We now face competition in the United States, which may have a material adverse impact over time on future sales of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 a lesser extent,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addition, in July 2014, Sandoz Inc. announced that the FDA has accepted its filing for a biosimilar version of filgrastim under the new biosimilar regulatory pathway. Our outstanding material U.S. patent for pegfilgrastim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expires in October 2015.</w:t>
      </w:r>
    </w:p>
    <w:p>
      <w:pPr>
        <w:spacing w:after="0" w:line="19"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The increase in global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months ended September 30, 2014, was driven mainly by an increase in the average net sales price in the United States.</w:t>
      </w:r>
    </w:p>
    <w:p>
      <w:pPr>
        <w:spacing w:after="0" w:line="118"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The increase in global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nine months ended September 30, 2014, was driven mainly by an increase in the average net sales price in the United States, offset partially by a unit decline in the United States.</w:t>
      </w:r>
    </w:p>
    <w:p>
      <w:pPr>
        <w:spacing w:after="0" w:line="118" w:lineRule="exact"/>
        <w:rPr>
          <w:sz w:val="20"/>
          <w:szCs w:val="20"/>
          <w:color w:val="auto"/>
        </w:rPr>
      </w:pPr>
    </w:p>
    <w:p>
      <w:pPr>
        <w:jc w:val="both"/>
        <w:ind w:firstLine="405"/>
        <w:spacing w:after="0" w:line="228" w:lineRule="auto"/>
        <w:rPr>
          <w:sz w:val="20"/>
          <w:szCs w:val="20"/>
          <w:color w:val="auto"/>
        </w:rPr>
      </w:pPr>
      <w:r>
        <w:rPr>
          <w:rFonts w:ascii="Times New Roman" w:cs="Times New Roman" w:eastAsia="Times New Roman" w:hAnsi="Times New Roman"/>
          <w:sz w:val="18"/>
          <w:szCs w:val="18"/>
          <w:color w:val="auto"/>
        </w:rPr>
        <w:t>The decreases in global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nine months ended September 30, 2014, were driven by a $155-million order from the U.S. government in the third quarter of 2013. Excluding the impact of this order, sales for the three and nine months ended September 30, 2014, reflected decreases in unit demand in the United States, offset mostly by the increased sales as a result of reacquiring rights to filgrastim in certain regions.</w:t>
      </w:r>
    </w:p>
    <w:p>
      <w:pPr>
        <w:spacing w:after="0" w:line="117"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We believe Neulasta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NEUPOGEN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underlying demand was slightly impacted by short- and long-acting competition in the United States and Europe, respectively. ROW included sales in new markets as a result of reacquiring rights to filgrastim and pegfilgrastim effective January 1, 2014.</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ENBREL</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ENBREL sales by geographic region were as follows (dollar amounts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ENBREL — 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ENBREL — Canada</w:t>
            </w:r>
          </w:p>
        </w:tc>
        <w:tc>
          <w:tcPr>
            <w:tcW w:w="3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ENBREL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ENBREL sales for the three months ended September 30, 2014, was driven primarily by unfavorable changes in wholesaler and, based on prescription data, end-user inventories, offset partially by unit demand growth.</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ENBREL sales for the nine months ended September 30, 2014, were flat, as an increase in the average net sales price was offset primarily by unfavorable changes in wholesaler and, based on prescription data, end-user inventories.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64" w:right="239" w:bottom="1440" w:gutter="0" w:footer="0" w:header="0"/>
        </w:sectPr>
      </w:pPr>
    </w:p>
    <w:bookmarkStart w:id="30" w:name="page31"/>
    <w:bookmarkEnd w:id="30"/>
    <w:p>
      <w:pPr>
        <w:ind w:left="420"/>
        <w:spacing w:after="0"/>
        <w:rPr>
          <w:sz w:val="20"/>
          <w:szCs w:val="20"/>
          <w:color w:val="auto"/>
        </w:rPr>
      </w:pPr>
      <w:r>
        <w:rPr>
          <w:rFonts w:ascii="Times New Roman" w:cs="Times New Roman" w:eastAsia="Times New Roman" w:hAnsi="Times New Roman"/>
          <w:sz w:val="18"/>
          <w:szCs w:val="18"/>
          <w:i w:val="1"/>
          <w:iCs w:val="1"/>
          <w:color w:val="auto"/>
        </w:rPr>
        <w:t>EPOGEN</w:t>
      </w:r>
      <w:r>
        <w:rPr>
          <w:rFonts w:ascii="Times New Roman" w:cs="Times New Roman" w:eastAsia="Times New Roman" w:hAnsi="Times New Roman"/>
          <w:sz w:val="25"/>
          <w:szCs w:val="25"/>
          <w:i w:val="1"/>
          <w:iCs w:val="1"/>
          <w:color w:val="auto"/>
          <w:vertAlign w:val="superscript"/>
        </w:rPr>
        <w: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were as follows (dollar amounts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18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324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69"/>
        </w:trPr>
        <w:tc>
          <w:tcPr>
            <w:tcW w:w="32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1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1,428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The increases in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nine months ended September 30, 2014, were driven primarily by an increase in the average net sales price. Unit demand continues to be relatively stable.</w:t>
      </w:r>
    </w:p>
    <w:p>
      <w:pPr>
        <w:spacing w:after="0" w:line="91" w:lineRule="exact"/>
        <w:rPr>
          <w:sz w:val="20"/>
          <w:szCs w:val="20"/>
          <w:color w:val="auto"/>
        </w:rPr>
      </w:pPr>
    </w:p>
    <w:p>
      <w:pPr>
        <w:jc w:val="both"/>
        <w:ind w:firstLine="405"/>
        <w:spacing w:after="0" w:line="198" w:lineRule="auto"/>
        <w:rPr>
          <w:sz w:val="20"/>
          <w:szCs w:val="20"/>
          <w:color w:val="auto"/>
        </w:rPr>
      </w:pPr>
      <w:r>
        <w:rPr>
          <w:rFonts w:ascii="Times New Roman" w:cs="Times New Roman" w:eastAsia="Times New Roman" w:hAnsi="Times New Roman"/>
          <w:sz w:val="18"/>
          <w:szCs w:val="18"/>
          <w:color w:val="auto"/>
        </w:rPr>
        <w:t>Our remaining material U.S. patent for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expires in May 2015. As a result, we may face competition in the United States, which may have a material adverse impact over time on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In addition, EPOGEN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will face competition from the launch of 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Pursuant to a December 2009 settlement agreement between Amgen and Roche, Roche is now allowed to begin selling MIRCERA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United States under terms of a limited-license agreement.</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Aranesp</w:t>
      </w:r>
      <w:r>
        <w:rPr>
          <w:rFonts w:ascii="Times New Roman" w:cs="Times New Roman" w:eastAsia="Times New Roman" w:hAnsi="Times New Roman"/>
          <w:sz w:val="25"/>
          <w:szCs w:val="25"/>
          <w:i w:val="1"/>
          <w:iCs w:val="1"/>
          <w:color w:val="auto"/>
          <w:vertAlign w:val="superscript"/>
        </w:rPr>
        <w: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1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4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0"/>
        </w:trPr>
        <w:tc>
          <w:tcPr>
            <w:tcW w:w="32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874</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3240" w:type="dxa"/>
            <w:vAlign w:val="bottom"/>
            <w:tcBorders>
              <w:bottom w:val="single" w:sz="8" w:color="CCEEFF"/>
            </w:tcBorders>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Aranesp</w:t>
            </w:r>
            <w:r>
              <w:rPr>
                <w:rFonts w:ascii="Times New Roman" w:cs="Times New Roman" w:eastAsia="Times New Roman" w:hAnsi="Times New Roman"/>
                <w:sz w:val="25"/>
                <w:szCs w:val="25"/>
                <w:color w:val="auto"/>
                <w:vertAlign w:val="superscript"/>
              </w:rPr>
              <w: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3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global Aranesp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months ended September 30, 2014, was driven largely by unit demand in international markets.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XGEVA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and Prolia</w:t>
      </w:r>
      <w:r>
        <w:rPr>
          <w:rFonts w:ascii="Times New Roman" w:cs="Times New Roman" w:eastAsia="Times New Roman" w:hAnsi="Times New Roman"/>
          <w:sz w:val="25"/>
          <w:szCs w:val="25"/>
          <w:i w:val="1"/>
          <w:iCs w:val="1"/>
          <w:color w:val="auto"/>
          <w:vertAlign w:val="superscript"/>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total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1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78"/>
        </w:trPr>
        <w:tc>
          <w:tcPr>
            <w:tcW w:w="32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9"/>
        </w:trPr>
        <w:tc>
          <w:tcPr>
            <w:tcW w:w="3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32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4"/>
        </w:trPr>
        <w:tc>
          <w:tcPr>
            <w:tcW w:w="3260" w:type="dxa"/>
            <w:vAlign w:val="bottom"/>
            <w:shd w:val="clear" w:color="auto" w:fill="CCEEFF"/>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p>
        </w:tc>
        <w:tc>
          <w:tcPr>
            <w:tcW w:w="8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4"/>
        </w:trPr>
        <w:tc>
          <w:tcPr>
            <w:tcW w:w="326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tcPr>
          <w:p>
            <w:pPr>
              <w:spacing w:after="0"/>
              <w:rPr>
                <w:sz w:val="22"/>
                <w:szCs w:val="22"/>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0"/>
        </w:trPr>
        <w:tc>
          <w:tcPr>
            <w:tcW w:w="32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4"/>
        </w:trPr>
        <w:tc>
          <w:tcPr>
            <w:tcW w:w="3260" w:type="dxa"/>
            <w:vAlign w:val="bottom"/>
            <w:tcBorders>
              <w:bottom w:val="single" w:sz="8" w:color="CCEEFF"/>
            </w:tcBorders>
          </w:tcPr>
          <w:p>
            <w:pPr>
              <w:ind w:left="180"/>
              <w:spacing w:after="0" w:line="264" w:lineRule="exact"/>
              <w:rPr>
                <w:sz w:val="20"/>
                <w:szCs w:val="20"/>
                <w:color w:val="auto"/>
              </w:rPr>
            </w:pPr>
            <w:r>
              <w:rPr>
                <w:rFonts w:ascii="Times New Roman" w:cs="Times New Roman" w:eastAsia="Times New Roman" w:hAnsi="Times New Roman"/>
                <w:sz w:val="18"/>
                <w:szCs w:val="18"/>
                <w:color w:val="auto"/>
              </w:rPr>
              <w:t>Total Prolia</w:t>
            </w:r>
            <w:r>
              <w:rPr>
                <w:rFonts w:ascii="Times New Roman" w:cs="Times New Roman" w:eastAsia="Times New Roman" w:hAnsi="Times New Roman"/>
                <w:sz w:val="25"/>
                <w:szCs w:val="25"/>
                <w:color w:val="auto"/>
                <w:vertAlign w:val="superscript"/>
              </w:rPr>
              <w:t>®</w:t>
            </w: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508</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4"/>
        </w:trPr>
        <w:tc>
          <w:tcPr>
            <w:tcW w:w="326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/Prolia</w:t>
            </w:r>
            <w:r>
              <w:rPr>
                <w:rFonts w:ascii="Times New Roman" w:cs="Times New Roman" w:eastAsia="Times New Roman" w:hAnsi="Times New Roman"/>
                <w:sz w:val="25"/>
                <w:szCs w:val="25"/>
                <w:color w:val="auto"/>
                <w:vertAlign w:val="superscript"/>
              </w:rPr>
              <w: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The increases in global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nine months ended September 30, 2014, were driven by increases in unit demand. XGEVA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continues to capture share in a growing market segment despite competition from generic zoledronic acid.</w:t>
      </w:r>
    </w:p>
    <w:p>
      <w:pPr>
        <w:spacing w:after="0" w:line="91" w:lineRule="exact"/>
        <w:rPr>
          <w:sz w:val="20"/>
          <w:szCs w:val="20"/>
          <w:color w:val="auto"/>
        </w:rPr>
      </w:pPr>
    </w:p>
    <w:p>
      <w:pPr>
        <w:jc w:val="both"/>
        <w:ind w:firstLine="405"/>
        <w:spacing w:after="0" w:line="218" w:lineRule="auto"/>
        <w:rPr>
          <w:sz w:val="20"/>
          <w:szCs w:val="20"/>
          <w:color w:val="auto"/>
        </w:rPr>
      </w:pPr>
      <w:r>
        <w:rPr>
          <w:rFonts w:ascii="Times New Roman" w:cs="Times New Roman" w:eastAsia="Times New Roman" w:hAnsi="Times New Roman"/>
          <w:sz w:val="18"/>
          <w:szCs w:val="18"/>
          <w:color w:val="auto"/>
        </w:rPr>
        <w:t>The increases in global Prolia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and nine months ended September 30, 2014, were driven by increases in unit demand from share growth.</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2" w:right="23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8"/>
          <w:szCs w:val="18"/>
          <w:i w:val="1"/>
          <w:iCs w:val="1"/>
          <w:color w:val="auto"/>
        </w:rPr>
        <w:t>Sensipar</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/Mimpara</w:t>
      </w:r>
      <w:r>
        <w:rPr>
          <w:rFonts w:ascii="Times New Roman" w:cs="Times New Roman" w:eastAsia="Times New Roman" w:hAnsi="Times New Roman"/>
          <w:sz w:val="25"/>
          <w:szCs w:val="25"/>
          <w:i w:val="1"/>
          <w:iCs w:val="1"/>
          <w:color w:val="auto"/>
          <w:vertAlign w:val="superscript"/>
        </w:rPr>
        <w:t>®</w:t>
      </w:r>
    </w:p>
    <w:p>
      <w:pPr>
        <w:spacing w:after="0" w:line="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by geographic region were as follows (dollar amounts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1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3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78"/>
        </w:trPr>
        <w:tc>
          <w:tcPr>
            <w:tcW w:w="32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9"/>
        </w:trPr>
        <w:tc>
          <w:tcPr>
            <w:tcW w:w="32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6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326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242</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4"/>
        </w:trPr>
        <w:tc>
          <w:tcPr>
            <w:tcW w:w="3260" w:type="dxa"/>
            <w:vAlign w:val="bottom"/>
            <w:tcBorders>
              <w:bottom w:val="single" w:sz="8" w:color="CCEEFF"/>
            </w:tcBorders>
            <w:shd w:val="clear" w:color="auto" w:fill="CCEEFF"/>
          </w:tcPr>
          <w:p>
            <w:pPr>
              <w:ind w:left="380"/>
              <w:spacing w:after="0" w:line="264" w:lineRule="exact"/>
              <w:rPr>
                <w:sz w:val="20"/>
                <w:szCs w:val="20"/>
                <w:color w:val="auto"/>
              </w:rPr>
            </w:pPr>
            <w:r>
              <w:rPr>
                <w:rFonts w:ascii="Times New Roman" w:cs="Times New Roman" w:eastAsia="Times New Roman" w:hAnsi="Times New Roman"/>
                <w:sz w:val="18"/>
                <w:szCs w:val="18"/>
                <w:color w:val="auto"/>
              </w:rPr>
              <w:t>Total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3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increase in global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three months ended September 30, 2014, was driven primarily by an increase in unit demand.</w:t>
      </w:r>
    </w:p>
    <w:p>
      <w:pPr>
        <w:spacing w:after="0" w:line="45" w:lineRule="exact"/>
        <w:rPr>
          <w:sz w:val="20"/>
          <w:szCs w:val="20"/>
          <w:color w:val="auto"/>
        </w:rPr>
      </w:pPr>
    </w:p>
    <w:p>
      <w:pPr>
        <w:jc w:val="both"/>
        <w:ind w:firstLine="405"/>
        <w:spacing w:after="0" w:line="214" w:lineRule="auto"/>
        <w:rPr>
          <w:sz w:val="20"/>
          <w:szCs w:val="20"/>
          <w:color w:val="auto"/>
        </w:rPr>
      </w:pPr>
      <w:r>
        <w:rPr>
          <w:rFonts w:ascii="Times New Roman" w:cs="Times New Roman" w:eastAsia="Times New Roman" w:hAnsi="Times New Roman"/>
          <w:sz w:val="18"/>
          <w:szCs w:val="18"/>
          <w:color w:val="auto"/>
        </w:rPr>
        <w:t>The increase in global Sensipar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/Mimpara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sales for the nine months ended September 30, 2014, was driven primarily by an increase in unit demand and an increase in the U.S. average net sales price.</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products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product sales by geographic region were as follows (dollar amounts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16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3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8"/>
        </w:trPr>
        <w:tc>
          <w:tcPr>
            <w:tcW w:w="324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59"/>
        </w:trPr>
        <w:tc>
          <w:tcPr>
            <w:tcW w:w="32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69"/>
        </w:trPr>
        <w:tc>
          <w:tcPr>
            <w:tcW w:w="324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0"/>
        </w:trPr>
        <w:tc>
          <w:tcPr>
            <w:tcW w:w="3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Vectibix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0"/>
        </w:trPr>
        <w:tc>
          <w:tcPr>
            <w:tcW w:w="3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Nplate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U.S.</w:t>
            </w: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2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Kyprolis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ROW</w:t>
            </w:r>
          </w:p>
        </w:tc>
        <w:tc>
          <w:tcPr>
            <w:tcW w:w="820" w:type="dxa"/>
            <w:vAlign w:val="bottom"/>
          </w:tcPr>
          <w:p>
            <w:pPr>
              <w:spacing w:after="0"/>
              <w:rPr>
                <w:sz w:val="23"/>
                <w:szCs w:val="23"/>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tcPr>
          <w:p>
            <w:pPr>
              <w:spacing w:after="0"/>
              <w:rPr>
                <w:sz w:val="23"/>
                <w:szCs w:val="2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 ROW</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3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other products</w:t>
            </w: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7"/>
        </w:trPr>
        <w:tc>
          <w:tcPr>
            <w:tcW w:w="32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Total U.S. — other products</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4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14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ROW — other products</w:t>
            </w:r>
          </w:p>
        </w:tc>
        <w:tc>
          <w:tcPr>
            <w:tcW w:w="82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3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products</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3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 in excess of 100%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expenses were as follows (dollar amounts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20" w:type="dxa"/>
            <w:vAlign w:val="bottom"/>
          </w:tcPr>
          <w:p>
            <w:pPr>
              <w:spacing w:after="0"/>
              <w:rPr>
                <w:sz w:val="16"/>
                <w:szCs w:val="16"/>
                <w:color w:val="auto"/>
              </w:rPr>
            </w:pPr>
          </w:p>
        </w:tc>
      </w:tr>
      <w:tr>
        <w:trPr>
          <w:trHeight w:val="275"/>
        </w:trPr>
        <w:tc>
          <w:tcPr>
            <w:tcW w:w="3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64"/>
        </w:trPr>
        <w:tc>
          <w:tcPr>
            <w:tcW w:w="3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9"/>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3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of product sales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7"/>
        </w:trPr>
        <w:tc>
          <w:tcPr>
            <w:tcW w:w="3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Change in excess of 100%</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2" w:right="239" w:bottom="1440" w:gutter="0" w:footer="0" w:header="0"/>
        </w:sectPr>
      </w:pPr>
    </w:p>
    <w:bookmarkStart w:id="32" w:name="page33"/>
    <w:bookmarkEnd w:id="32"/>
    <w:p>
      <w:pPr>
        <w:ind w:left="42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announced a restructuring plan in 2014 to invest in continuing innovation and the launch of our new pipeline molecules while improving our cost structure. After evaluating additional efficiency initiatives, particularly in the area of shared services, outsourcing and other external expense categories, we now plan to reduce staff by 3,500 to 4,000 by the end of 2015. Our headquarters will remain in Thousand Oaks, California, with a reduced number of staff consolidated into fewer of the existing buildings, and we will close our facilities in the states of Washington and Colorado. Company-wide, these actions will result in an approximate 23% reduction in our facilities footprint.</w:t>
      </w:r>
    </w:p>
    <w:p>
      <w:pPr>
        <w:spacing w:after="0" w:line="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These actions will result in pre-tax accounting charges in the range of $935 million to $1,035 million. During the three months ended September 30, 2014, we initiated the above-noted actions and incurred $376 million of restructuring costs. We expect that substantially all remaining restructuring actions and related estimated costs to be incurred will occur during the fourth quarter of 2014 and in 2015.</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2, Restructuring, to the condensed consolidated financial statements for further discussion.</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sales increased to 22.0% and 22.9% of product sales for the three and nine months ended September 30, 2014, respectively, driven by acquisition-related expenses that included $199 million and $621 million, respectively, of non-cash amortization of intangible assets acquired in the Onyx acquisition. The nine months ended September 30, 2014, also included a $99-million charge related to the termination of the supply contract with Roche as a result of acquiring the licenses to filgrastim and pegfilgrastim effective January 1, 2014.</w:t>
      </w:r>
    </w:p>
    <w:p>
      <w:pPr>
        <w:spacing w:after="0" w:line="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Excluding the impact of the Puerto Rico excise tax, Cost of sales would have been 20.2% and 20.9% of product sales for the three and nine months ended September 30, 2014, respectively, compared with 15.0% and 15.4% of product sales for the corresponding periods of the prior year. See Note 4, Income taxes, to the condensed consolidated financial statements for further discussion of the Puerto Rico excise tax.</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R&amp;D expenses for the three months ended September 30, 2014, was driven primarily by increased costs of $95 million associated with Onyx across all categories of R&amp;D spend, offset partially by the $50 million upfront payment to Servier for the U.S. rights to ivabradine in the three months ended September 30, 2013. Overall, costs associated with later stage clinical program support increased $71 million, offset partially by reduced expenses associated with marketed product support of $28 million and Discovery Research and Translational Sciences activities of $14 million.</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R&amp;D expenses for the nine months ended September 30, 2014, was driven primarily by increased costs of $339 million associated with Onyx across all categories of R&amp;D spend, as well as increased costs associated with other later stage clinical program support. Overall, costs associated with later stage clinical program support increased $335 million, offset partially by reduced expenses associated with marketed product support of $74 million and Discovery Research and Translational Sciences activities of $32 million.</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decreases in SG&amp;A expenses for the three and nine months ended September 30, 2014, were driven primarily by the expiration of the ENBREL profit share in October 2013, which reduced expenses by $261 million and $723 million, respectively. These declines were offset partially by the addition of $53 million and $171 million, respectively, as a result of the Onyx acquisition and the BPD fee accrual of an additional $145 million as the final regulations accelerated the expense recognition criteria for the fee obligation by one year. See Note 1, Summary of significant accounting policies, to the condensed consolidated financial statements for further discussion of the BPD fee.</w:t>
      </w:r>
    </w:p>
    <w:p>
      <w:pPr>
        <w:spacing w:after="0" w:line="1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three and nine months ended September 30, 2014, included certain charges related to our restructuring and other cost savings initiatives, primarily severance, of $330 million and $368 million, respectively. Those charges were offset partially by decreases to the estimated aggregate fair value of the contingent consideration obligations of $62 million and $47 million, respectively.</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three and nine months ended September 30, 2013, included certain charges related to our cost savings initiatives, primarily severance, of $35 million and $46 million, respectively. The nine months ended September 30, 2013, also included increases to the estimated aggregate fair value of the contingent consideration obligations related to talimogene laherparepvec of $111 million.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62"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Non-operating expenses/income and income taxes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Non-operating expenses/income and income taxes were as follows (dollar amounts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03"/>
        </w:trPr>
        <w:tc>
          <w:tcPr>
            <w:tcW w:w="5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r>
      <w:tr>
        <w:trPr>
          <w:trHeight w:val="78"/>
        </w:trPr>
        <w:tc>
          <w:tcPr>
            <w:tcW w:w="54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59"/>
        </w:trPr>
        <w:tc>
          <w:tcPr>
            <w:tcW w:w="54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49"/>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761</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5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interest expense, net for the three months ended September 30, 2014, was due to a higher average outstanding debt balance in the current year offset partially by financing fees paid in connection with the acquisition of Onyx in the prior year period. The increase in interest expense, net for the nine months ended September 30, 2014 was due to a higher average outstanding debt balance in the current year period and the recognition of expenses in connection with the repayment of the Master Repurchase Agreement in May 2014, offset partially by financing fees paid in connection with the acquisition of Onyx in the prior year period.</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increases in interest and other income, net for the three and nine months ended September 30, 2014, was due primarily to higher interest income as a result of higher average cash balances and higher net gains on investments recognized in the current year periods.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rates for the three and nine months ended September 30, 2014, were 7.0% and 10.1%, respectively, compared with 9.0% and 4.5% for the corresponding periods of the prior year. The decrease in our effective tax rate for the three months ended September 30, 2014, is due primarily to the favorable tax impact of changes in the jurisdictional mix of income and expenses, including higher domestic acquisition-related expenses and restructuring costs. The increase was offset partially by the exclusion of the benefit of the R&amp;D tax credit, which expired as of December 31, 2013, and was not reinstated as of September 30, 2014.</w:t>
      </w:r>
    </w:p>
    <w:p>
      <w:pPr>
        <w:spacing w:after="0" w:line="10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increase in our effective tax rate for the nine months ended September 30, 2014, is due primarily to two significant events that occurred during the three months ended March 31, 2013. First, we settled our federal income tax examination for the years ended December 31, 2007, 2008, and 2009 in which we agreed to certain adjustments and remeasured our UTBs accordingly, resulting in a net tax benefit of approximately $185 million. Second, our effective tax rate for the three months ended March 31, 2013, included a benefit of approximately $60 million for the full-year 2012 federal R&amp;D tax credit, recorded as a discrete item in the first quarter of 2013. In addition, our effective tax rate for the nine months ended September 30, 2014, does not include a benefit for the federal R&amp;D tax credit. The increase was offset partially by the favorable tax impact of changes in the jurisdictional mix of income and expenses due primarily to higher domestic acquisition-related expenses and restructuring costs during the nine months ended September 30, 2014.</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Excluding the impact of the Puerto Rico excise tax, our effective tax rates for the three and nine months ended September 30, 2014, would have been 12.5% and 15.0%, respectively, compared with 13.8% and 9.8% for the corresponding periods of the prior year.</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4, Income taxes, to the condensed consolidated financial statements for further discussion.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62"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financial data was as follows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19,401</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investments</w:t>
            </w:r>
          </w:p>
        </w:tc>
        <w:tc>
          <w:tcPr>
            <w:tcW w:w="2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3,412</w:t>
            </w:r>
          </w:p>
        </w:tc>
      </w:tr>
      <w:tr>
        <w:trPr>
          <w:trHeight w:val="27"/>
        </w:trPr>
        <w:tc>
          <w:tcPr>
            <w:tcW w:w="7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marketable securities and restricted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22,813</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70,775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66,125</w:t>
            </w: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2,505</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30,480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29,623</w:t>
            </w:r>
          </w:p>
        </w:tc>
      </w:tr>
      <w:tr>
        <w:trPr>
          <w:trHeight w:val="27"/>
        </w:trPr>
        <w:tc>
          <w:tcPr>
            <w:tcW w:w="7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25,325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22,096</w:t>
            </w:r>
          </w:p>
        </w:tc>
      </w:tr>
      <w:tr>
        <w:trPr>
          <w:trHeight w:val="27"/>
        </w:trPr>
        <w:tc>
          <w:tcPr>
            <w:tcW w:w="7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intends to continue to return capital to stockholders through share repurchases and the payment of cash dividends, reflecting our confidence in the future cash flows of our business. The amount we spend, the number of shares repurchased and the timing of such repurchases will vary based on a number of factors, including the stock price, the availability of financing on acceptable terms, the amount and timing of dividend payments and blackout periods in which we are restricted from repurchasing shares; and the manner of purchases may include private block purchases, tender offers and market transactions. Whether and when we declare dividends or repurchase stock, the size of any dividend and the amount of stock we repurchase could be affected by a number of factors. See Part II, Item 1A. Risk Factors — There can be no assurance that we will continue to declare cash dividends or that we will repurchase stock.</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each of December 2013, March 2014 and July 2014, the Board of Directors declared a quarterly cash dividend of $0.61 per share of common stock, which were paid on March 7, June 6, and September 5, 2014, respectively. On October 17, 2014, the Board of Directors declared a quarterly cash dividend of $0.61 per share of common stock which will be paid on December 5, 2014.</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not made repurchases under our Board of Directors-approved stock repurchase program since the first quarter of 2013. As of September 30, 2014, $1.6 billion remained available under the program. In October 2014, our Board of Directors authorized an increase that resulted in a total of $4.0 billion available under the stock repurchase program. On October 28, 2014, we announced plans to reinitiate repurchasing activity under the program.</w:t>
      </w:r>
    </w:p>
    <w:p>
      <w:pPr>
        <w:spacing w:after="0" w:line="9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that existing funds, cash generated from operations and existing sources of and access to financing are adequate, for the foreseeable future, to satisfy: our needs for working capital; capital expenditure and debt service requirements; our plans to pay dividends and repurchase stock; and other business initiatives we may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With respect to our U.S. operations, we believe that existing funds intended for use in the United States; cash generated from our U.S. operations, including intercompany payments and receipts; and existing sources of and access to financing (collectively referred to as U.S. funds) are adequate to continue to meet our U.S. obligations (including our plans to repurchase stock and pay dividends with U.S. funds) for the foreseeable future. See our Annual Report on Form 10-K for the year ended December 31, 2013, Item 1A. Risk Factors — Global economic conditions may negatively affect us and may magnify certain risks that affect our business.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A significant portion of our operating cash flows is dependent on the timing of payments from our customers located in the United States and, to a lesser extent, our customers outside the United States, which include government-owned or -supported healthcare providers (government healthcare providers). Payments from these government healthcare providers are dependent in part on the economic stability and creditworthiness of their applicable country. Historically, some payments from a number of European government healthcare providers have extended beyond the contractual terms of sale, and regional economic uncertainty continues. In particular, credit and economic conditions in Southern Europe, particularly in Spain, Italy, Greece and Portugal, continue to adversely impact the timing of collections of our trade receivables in this region. As of September 30, 2014, accounts receivable in these four countries totaled $298 million, of which $197 million was past due. Although economic conditions in this region may continue to affect the average length of time it takes to collect payments, to date we have not incurred any significant losses related to these receivables; and the timing of payments in these countries has not had nor is it currently expected to have a material adverse impact on our overall operating cash flows. However, if government funding for healthcare were to become unavailable in these countries or if significant adverse adjustments to past payment practices were to occur, we might not be able to collect the entire balance of these receivables. We will continue working closely with these customers, monitoring the economic situation and taking appropriate actions as necessary.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60" w:right="239" w:bottom="1440" w:gutter="0" w:footer="0" w:header="0"/>
        </w:sectPr>
      </w:pPr>
    </w:p>
    <w:bookmarkStart w:id="35" w:name="page36"/>
    <w:bookmarkEnd w:id="35"/>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Of our total cash, cash equivalents and marketable securities balances totaling $28.1 billion as of September 30, 2014, approximately $25.4 billion was generated from operations in foreign tax jurisdictions and is intended to be invested indefinitely outside of the United States. Under current tax laws, if these funds were repatriated for use in our U.S. operations, we would be required to pay additional U.S. federal and state income taxes at the applicable marginal tax rates.</w:t>
      </w:r>
    </w:p>
    <w:p>
      <w:pPr>
        <w:spacing w:after="0" w:line="9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Certain of our financing arrangements contain non-financial covenants. In addition, our revolving credit agreement and Term Loan Credit Facility each includes a financial covenant with respect to the level of our borrowings in relation to our equity, as defined. We were in compliance with all applicable covenants under these arrangements as of September 30, 2014. On July 30, 2014, we entered into a revolving credit agreement for a total commitment of $2.5 billion, which amends and restates our revolving credit agreement dated December 2, 2011 (the 2011 Agreement). This amended and restated agreement extended the commitment term from the 2011 Agreement, but is otherwise on substantially similar terms to the 2011 Agreement. The commitments of each bank under this amended and restated agreement have an initial term of five years and may be extended for up to two additional one-year periods with the agreement of the banks.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cash flow activities were as follows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auto"/>
            </w:tcBorders>
          </w:tcPr>
          <w:p>
            <w:pPr>
              <w:spacing w:after="0"/>
              <w:rPr>
                <w:sz w:val="22"/>
                <w:szCs w:val="22"/>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tcBorders>
              <w:bottom w:val="single" w:sz="8" w:color="CCEEFF"/>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4,456</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6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20" w:type="dxa"/>
            <w:vAlign w:val="bottom"/>
          </w:tcPr>
          <w:p>
            <w:pPr>
              <w:spacing w:after="0"/>
              <w:rPr>
                <w:sz w:val="21"/>
                <w:szCs w:val="21"/>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1,649</w:t>
            </w: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7"/>
        </w:trPr>
        <w:tc>
          <w:tcPr>
            <w:tcW w:w="7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has been and is expected to continue to be our primary recurring source of funds. Cash provided by operating activities during the nine months ended September 30, 2014, benefited from timing of receipts from customers, including the impact of $100 million received under a government-funded program in Spain, and lower payments to taxing authorities.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2014, was due primarily to net activity related to marketable securities and restricted investments of $5.3 billion, capital expenditures of $515 million, purchases of intangible assets of $150 million and cash paid for acquisitions of $115 million. Cash provided by investing activities during the nine months ended September 30, 2013, was due primarily to net activity related to marketable securities and restricted investments of $2.2 billion offset partially by capital expenditures of $492 million. Capital expenditures during the nine months ended September 30, 2014 and 2013 were associated primarily with manufacturing capacity expansions in Singapore, Ireland and Puerto Rico, as well as other site developments. We currently estimate 2014 spending on capital projects and equipment to be approximately $800 million.</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2014, was due primarily to the repayment of long-term debt of $3.5 billion and the payment of dividends of $1.4 billion offset partially by the net proceeds from the issuance of long-term debt of $4.5 billion and proceeds from the issuance of common stock in connection with our equity award programs of $153 million.</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during the nine months ended September 30, 2013, was due primarily to the cash settlement of the $2.5 billion principal amount of the 0.375% 2013 Convertible Notes which matured/converted, the payment of dividends of $1.1 billion and repurchases of our common stock of $832 million, offset partially by the net proceeds from the issuance of long-term debt of $3.1 billion and proceeds from the issuance of common stock in connection with our equity award programs of $268 million.</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9, Financing arrangements, and Note 10, Stockholders’ equity, to the condensed consolidated financial statements for further discussion.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of our Annual Report on Form 10-K for the year ended December 31, 2013. There have been no material changes to our critical accounting policies during the nine months ended September 30, 2014.</w:t>
      </w:r>
    </w:p>
    <w:p>
      <w:pPr>
        <w:spacing w:after="0" w:line="26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Information about our market risk is disclosed in Part II, Item 7A, of our Annual Report on Form 10-K for the fiscal year ended December 31, 2013, and is incorporated herein by reference. Except as discussed below, there have been no material changes during the nine months ended September 30, 2014, to the information provided in Part II, Item 7A, of our Annual Report on Form 10-K for the fiscal year ended December 31, 2013.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sensitive financial instruments</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May 2014, we issued $4.5 billion aggregate principal amount of debt, comprised of fixed and floating rate notes, and we repaid $3.1 billion of floating rate debt. See Note 9, Financing arrangements, in the condensed consolidated financial statements. As of September 30, 2014, we had outstanding debt with a carrying value of $33.0 billion and a fair value of $35.3 billion. A hypothetical 100 basis point decrease in interest rates relative to interest rates at September 30, 2014, would have resulted in an increase of approximately $2.5 billion in the aggregate fair value of our outstanding debt on this date. The analysis for the debt does not consider the impact that hypothetical changes in interest rates would have on the related interest rate swap contracts and cross-currency swap contracts.</w:t>
      </w:r>
    </w:p>
    <w:p>
      <w:pPr>
        <w:spacing w:after="0" w:line="10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a portion of fixed rate debt issued in May 2014, we entered into $2.25 billion aggregate notional amount of interest rate swap contracts, which qualified and were designated for accounting purposes as fair value hedges. These derivative contracts effectively converted a fixed-rate interest coupon to a floating-rate LIBOR-based coupon over the life of the respective notes. As of September 30, 2014, we had outstanding interest rate swap contracts with an aggregate notional amount of $6.65 billion. A hypothetical 100 basis point increase in interest rates relative to interest rates at September 30, 2014, would have resulted in a reduction in fair value of approximately $360 million on interest rate swap contracts on this date and would not result in a material effect on the related income or cash flows in the ensuing 12 months.</w:t>
      </w:r>
    </w:p>
    <w:p>
      <w:pPr>
        <w:spacing w:after="0" w:line="26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under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September 30, 2014.</w:t>
      </w:r>
    </w:p>
    <w:p>
      <w:pPr>
        <w:spacing w:after="0" w:line="10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September 30, 2014,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60"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0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See Note 13, Contingencies and commitments, to the condensed consolidated financial statements included in our Quarterly Reports on Form 10-Q for the period ended September 30, 2014, and Note 12, Contingencies and commitments, for the periods ended March 31, 2014, and June 30, 2014, for discussions that are limited to certain recent developments concerning our legal proceedings. Those discussions should be read in conjunction with Note 18, Contingencies and commitments, to our consolidated financial statements in Part IV of our Annual Report on Form 10-K for the year ended December 31, 2013.</w:t>
      </w:r>
    </w:p>
    <w:p>
      <w:pPr>
        <w:spacing w:after="0" w:line="26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they involve certain risks, uncertainties and assumptions that are difficult to predict. You should carefully consider the risks and uncertainties facing our business. We have described in our Annual Report on Form 10-K for the fiscal year ended December 31, 2013, the primary risks related to our business, and we periodically update those risks for material developments. Those risks are not the only ones facing us.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Below, we are providing, in supplemental form, the material changes to our risk factors that occurred during the past quarter. Our risk factors disclosed in Part 1, Item 1A, of our Annual Report, on Form 10-K for the fiscal year ended December 31, 2013, provide additional disclosure and context for these supplemental risks and are incorporated herein by reference.</w:t>
      </w:r>
    </w:p>
    <w:p>
      <w:pPr>
        <w:spacing w:after="0" w:line="201" w:lineRule="exact"/>
        <w:rPr>
          <w:sz w:val="20"/>
          <w:szCs w:val="20"/>
          <w:color w:val="auto"/>
        </w:rPr>
      </w:pPr>
    </w:p>
    <w:p>
      <w:pPr>
        <w:ind w:left="420"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experience difficulties, delays or unexpected costs and not achieve anticipated benefits and savings from our recently announced restructuring plan.</w:t>
      </w:r>
    </w:p>
    <w:p>
      <w:pPr>
        <w:spacing w:after="0" w:line="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29, 2014, we announced a plan to restructure our worldwide operations to deliver on the Company’s strategy while also improving the Company’s cost structure. On October 28, 2014, we announced additional efficiency initiatives, particularly in the area of shared services, outsourcing and other external expense categories. As part of the restructuring plan, we plan to reduce staff and close or dispose of certain facilities. We may not realize, in full or in part, the anticipated benefits and savings from our restructuring efforts due to unforeseen difficulties, delays or unexpected costs, which may adversely affect our business and results of operations.</w:t>
      </w:r>
    </w:p>
    <w:p>
      <w:pPr>
        <w:spacing w:after="0" w:line="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Following the completion of our restructuring, we must execute our core business initiatives with fewer human resources. We must also attract, retain and motivate key employees that are critical to our business. If we are unable to effectively execute with fewer staff members and/or attract, retain or motivate key employees, it may adversely affect our business.</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There can be no assurance that we will continue to declare cash dividends or that we will repurchase stock.</w:t>
      </w:r>
    </w:p>
    <w:p>
      <w:pPr>
        <w:spacing w:after="0" w:line="11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Board of Directors has declared quarterly dividends on our common stock since it adopted a dividend policy in 2011. In addition, in October 2014, our Board of Directors authorized an increase in our stock repurchase program that resulted in a total of $4.0 billion available under the repurchase program. Whether we pay such dividends and repurchase our stock in the future, and the amount and timing of such dividends and/or stock repurchases are subject to capital availability and periodic determinations by our Board of Directors that cash dividends and/or stock repurchases are in the best interest of our stockholders and are in compliance with all respective laws and agreements of the Company applicable to the declaration and payment of cash dividends and the repurchase of stock. Future dividends and stock repurchases, including their timing and amount, may be affected by, among other factors: our views on potential future capital requirements for strategic transactions, including acquisitions; debt service requirements; our credit rating; changes to applicable tax laws or corporate laws; and changes to our business model. In addition, the amount we spend and the number of shares we are able to repurchase under our stock repurchase program may further be affected by a number of other factors, including the stock price and blackout periods in which we are restricted from repurchasing shares. Our dividend payments and/or stock repurchases may change from time to time, and we cannot provide assurance that we will continue to declare dividends and/or repurchase stock in any particular amounts or at all. The reduction in or elimination of our dividend payments and/or stock repurchases could have a negative effect on our stock price.</w:t>
      </w:r>
    </w:p>
    <w:p>
      <w:pPr>
        <w:spacing w:after="0" w:line="24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Reference is made to the Index to Exhibits included herein.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60" w:right="2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2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Amgen Inc.</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40"/>
        <w:spacing w:after="0"/>
        <w:tabs>
          <w:tab w:leader="none" w:pos="700" w:val="left"/>
          <w:tab w:leader="none" w:pos="5280" w:val="left"/>
          <w:tab w:leader="none" w:pos="7960" w:val="left"/>
          <w:tab w:leader="none" w:pos="8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October 29,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David W. Meline</w:t>
      </w:r>
    </w:p>
    <w:p>
      <w:pPr>
        <w:spacing w:after="0" w:line="10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360" w:right="2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AMGEN INC.</w:t>
            </w:r>
          </w:p>
        </w:tc>
      </w:tr>
      <w:tr>
        <w:trPr>
          <w:trHeight w:val="432"/>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53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 of Amgen Inc. (As Restated March 6, 2013.) (Filed as an exhibit to Form 10-Q for the quarter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2013 on May 3,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Amgen Inc. (As Amended and Restated March 6, 2013). (Filed as an exhibit to Form 8-K on March 6,</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Amended and Restated Bylaws of Amgen Inc. (As Amended and Restated March 6, 2013). (Filed as an exhibit</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Form 8-K on October 16,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certificate for the common stock, par value $.0001 of the Company. (Filed as an exhibit to Form 10-Q for the quarter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1997 on May 13, 1997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Indenture, dated January 1, 1992. (Filed as an exhibit to Form S-3 Registration Statement filed on December 19, 1991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of Resignation, Appointment and Acceptance dated February 15, 2008. (Filed as an exhibit to Form 10-K for the year ended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2007 on February 28, 2008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Supplemental Indenture, dated February 26, 1997. (Filed as an exhibit to Form 8-K on March 14, 1997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r>
        <w:trPr>
          <w:trHeight w:val="405"/>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8-1/8% Debentures due April 1, 2097. (Filed as an exhibit to Form 8-K on April 8, 1997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January 1, 1992, as supplemented by the First Supplemental Indenture, dated February 26,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1997, establishing a series of securities entitled “8 1/8% Debentures due April 1, 2097.” (Filed as an exhibit to Form 8-K on April 8,</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1997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August 4, 2003. (Filed as an exhibit to Form S-3 Registration Statement on August 4, 2003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November 18, 2004, including forms of the Company’s 4.00% Senior Notes due 2009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4.85% Senior Notes due 2014. (Filed as an exhibit to Form 8-K on November 19, 2004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Commercial Paper - Master Note between and among Amgen Inc., as Issuer, Cede &amp; Co., as Nominee of The Depository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Company, and Citibank, N.A., as Paying Agent. (Filed as an exhibit to Form 10-Q for the quarter ended March 31, 1998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13, 1998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30, 2007, including forms of the Company's Senior Floating Rate Notes due 2008, 5.85%</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2017 and 6.375% Senior Notes due 2037. (Filed as an exhibit to Form 8-K on May 30, 2007 and incorporated herein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23, 2008, including forms of the Company's 6.15% Senior Notes due 2018 and 6.90%</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2038. (Filed as exhibit to Form 8-K on May 23, 2009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January 16, 2009, including forms of the Company's 5.70% Senior Notes due 2019 and 6.40%</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2039. (Filed as exhibit to Form 8-K on January 16, 2009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March 12, 2010, including forms of the Company's 4.50% Senior Notes due 2020 and 5.75%</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2040. (Filed as exhibit to Form 8-K on March 15, 2010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September 16, 2010, including forms of the Company's 3.45% Senior Notes due 2020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4.95% Senior Notes due 2041. (Filed as an exhibit to Form 8-K on September 17, 2010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June 30, 2011, including forms of the Company's 2.30% Senior Notes due 2016, 4.10% Senior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2021 and 5.65% Senior Notes due 2042. (Filed as an exhibit to Form 8-K on June 30, 2011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60"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November 10, 2011, including forms of the Company's 1.875% Senior Notes due 2014, 2.50%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2016, 3.875% Senior Notes due 2021 and 5.15% Senior Notes due 2041. (Filed as an exhibit to Form 8-K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10, 2011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December 5, 2011, including forms of the Company's 4.375% Senior Notes due 2018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 Senior Notes due 2026. (Filed as an exhibit to Form 8-K on December 5, 2011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15, 2012, including forms of the Company's 2.125% Senior Notes due 2017, 3.625%</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 and 5.375% Senior Notes due 2043. (Filed as an exhibit to Form 8-K on May 15, 2012 and incorporated herein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September 13, 2012, including forms of the Company's 2.125% Senior Notes due 2019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4.000% Senior Notes due 2029. (Filed as an exhibit to Form 8-K on September 13, 2012 and incorporated herein by reference.)</w:t>
            </w:r>
          </w:p>
        </w:tc>
      </w:tr>
      <w:tr>
        <w:trPr>
          <w:trHeight w:val="414"/>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May 22, 2014, between Amgen Inc. and The Bank of New York Mellon Trust Company, N.A., as Trustee.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8-K on May 22, 2014 and incorporated herein by reference.)</w:t>
            </w:r>
          </w:p>
        </w:tc>
      </w:tr>
      <w:tr>
        <w:trPr>
          <w:trHeight w:val="414"/>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 Certificate of Amgen Inc., dated May 22, 2014, including forms of the Company's Senior Floating Rate Notes due 2017, Senior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Floating Rate Notes due 2019, 1.250% Senior Notes due 2017, 2.200% Senior Notes due 2019 and 3.625% Senior Notes due 2024.</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8-K on May 22, 2014 and incorporated herein by reference.)</w:t>
            </w:r>
          </w:p>
        </w:tc>
      </w:tr>
      <w:tr>
        <w:trPr>
          <w:trHeight w:val="414"/>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Amended and Restated 2009 Equity Incentive Plan. (Filed as Appendix C to the Definitive Proxy Statement on Schedule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14A on April 8, 2013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Stock Option Agreement for the Amgen Inc. Amended and Restated 2009 Equity Incentive Plan. (As Amended on March 6,</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(Filed as an exhibit to Form 10-Q for the quarter ended March 31, 2013 on May 3, 2013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the Amgen Inc. Amended and Restated 2009 Equity Incentive Plan. (As Amended on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5, 2014.) (Filed as an exhibit to Form 10-Q for the quarter ended March 31, 2014 on April 30, 2014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2009 Performance Award Program. (As Amended on December 13, 2013.) (Filed as an exhibit to Form 10-K for the year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December 31, 2013 on February 24, 2014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Performance Unit Agreement for the Amgen Inc. 2009 Performance Award Program. (As Amended on March 5, 2014.) (Filed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an exhibit to Form 10-Q for the quarter ended March 31, 2014 on April 30, 2014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2009 Director Equity Incentive Program. (As Amended on March 6, 2013.) (Filed as an exhibit to Form 10-Q for the quarter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2013 on May 3, 2013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Grant of Non-Qualified Stock Option Agreement for the Amgen Inc. 2009 Director Equity Incentive Program.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8-K on May 8, 2009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Agreement for the Amgen Inc. 2009 Director Equity Incentive Program. (As Amended on March 6,</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(Filed as an exhibit to Form 10-Q for the quarter ended March 31, 2013 on May 3, 2013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Supplemental Retirement Plan. (As Amended and Restated effective October 16, 2013.) (Filed as an exhibit to Form 10-K</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2013 on February 24, 2014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Amgen Change of Control Severance Plan. (As Amended and Restated effective December 9, 2010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subsequently amended effective March 2, 2011.) (Filed as an exhibit to Form 10-Q for the quarter ended March 31, 2011 on May 10,</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2011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Executive Incentive Plan. (As Amended and Restated effective January 1, 2009.) (Filed as an exhibit to Form 10-Q for the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ended September 30, 2008 on November 7, 2008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Amgen Inc. Executive Incentive Plan, effective December 13, 2012. (Filed as an exhibit to Form 10-K for the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2012 on February 27, 2013 and 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39</w:t>
            </w:r>
          </w:p>
        </w:tc>
      </w:tr>
    </w:tbl>
    <w:p>
      <w:pPr>
        <w:sectPr>
          <w:pgSz w:w="11900" w:h="16838" w:orient="portrait"/>
          <w:cols w:equalWidth="0" w:num="1">
            <w:col w:w="11420"/>
          </w:cols>
          <w:pgMar w:left="240" w:top="588"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Amgen Inc. Executive Nonqualified Retirement Plan. (As Amended and Restated effective January 1, 2009.) (Filed as an exhibit to</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 ended September 30, 2008 on November 7, 2008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the Amgen Inc. Executive Nonqualified Retirement Plan, effective July 21, 2010. (Filed as an exhibit to Form 10-Q</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June 30, 2010 on August 9, 2010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Nonqualified Deferred Compensation Plan. (As Amended and Restated effective October 16, 2013.) (Filed as an exhibit to Form</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 for the year ended December 31, 2013 on February 24, 2014 and incorporated herein by reference.)</w:t>
            </w:r>
          </w:p>
        </w:tc>
      </w:tr>
      <w:tr>
        <w:trPr>
          <w:trHeight w:val="60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between Amgen Inc. and Mr. Anthony C. Hooper, dated October 12, 2011. (Filed as an exhibit to Form 10-K for the year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December 31, 2011 on February 29, 2012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and General Release of Claims, entered into January 9, 2014, by and between Amgen Inc. and Jonathan M. Peacock. (Filed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an exhibit to Form 10-K for the year ended December 31, 2013 on February 24, 2014 and incorporated herein by reference.)</w:t>
            </w:r>
          </w:p>
        </w:tc>
      </w:tr>
      <w:tr>
        <w:trPr>
          <w:trHeight w:val="392"/>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between Amgen Inc. and David W. Meline, effective July 21, 2014.</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Restricted Stock Unit Agreement, dated April 27, 2012, between Amgen Inc. and Kevin W. Sharer. (Filed as an exhibit to Form 10-Q for</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quarter ended June 30, 2012 on August 8, 2012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Performance Unit Agreement, dated April 27, 2012, between Amgen Inc. and Kevin W. Sharer. (Filed as an exhibit to Form 10-Q for the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ended June 30, 2012 on August 8, 2012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License Agreement, dated September 30, 1985, between Amgen and Ortho Pharmaceutical Corporation. (Filed as an exhibit to</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 ended June 30, 2000 on August 1, 2000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Agreement, dated May 11, 1984, among Amgen, Kirin Brewery Company, Limited and Kirin-Amgen, Inc.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10-K for the year ended December 31, 2000 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dated March 19, 1985, Amendment No. 2 dated July 29, 1985 (effective July 1, 1985), and Amendment No. 3,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19, 1985, to the Shareholders' Agreement dated May 11, 1984. (Filed as an exhibit to Form 10-Q for the quarter ended June</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2000 on August 1, 2000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4 dated October 16, 1986 (effective July 1, 1986), Amendment No. 5 dated December 6, 1986 (effective July 1, 1986),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6 dated June 1, 1987, Amendment No. 7 dated July 17, 1987 (effective April 1, 1987), Amendment No. 8 dated May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 1993 (effective November 13, 1990), Amendment No. 9 dated December 9, 1994 (effective June 14, 1994), Amendment No. 10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March 1, 1996, and Amendment No. 11 effective March 20, 2000 to the Shareholders' Agreement, dated May 11, 1984. (Filed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exhibits to Form 10-K for the year ended December 31, 2000 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12 to the Shareholders' Agreement, dated January 31, 2001. (Filed as an exhibit to Form 10-Q for the quarter ended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2005 on August 8, 2005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13 to the Shareholders' Agreement, dated June 28, 2007 (portions of the exhibit have been omitted pursuant to a request</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confidential treatment). (Filed as an exhibit to Form 10-Q for the quarter ended June 30, 2007 on August 9, 2007 and incorporated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14 to the Shareholders' Agreement, dated March 26, 2014. (Filed as an exhibit to Form 10-Q for the quarter ended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2014 on April 30, 2014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 and License Agreement, dated October 16, 1986 (effective July 1, 1986), between Amgen and Kirin-Amgen, Inc. (Filed as</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exhibit to Form 10-K for the year ended December 31, 2000 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G-CSF United States License Agreement, dated June 1, 1987 (effective July 1, 1986), Amendment No. 1, dated October 20, 1988,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dated October 17, 1991 (effective November 13, 1990), between Kirin-Amgen, Inc. and Amgen Inc. (Filed as</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 to Form 10-K for the year ended December 31, 2000 on March 7, 2001 and incorporated herein by reference.)</w:t>
            </w:r>
          </w:p>
        </w:tc>
      </w:tr>
      <w:tr>
        <w:trPr>
          <w:trHeight w:val="743"/>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420"/>
          </w:cols>
          <w:pgMar w:left="240" w:top="587"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G-CSF European License Agreement, dated December 30, 1986, between Kirin-Amgen and Amgen, Amendment No. 1 to Kirin-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 Amgen G-CSF European License Agreement, dated June 1, 1987, Amendment No. 2 to Kirin-Amgen, Inc. / Amgen G-</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CSF European License Agreement, dated March 15, 1998, Amendment No. 3 to Kirin-Amgen, Inc. / Amgen G-CSF European License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October 20, 1988, and Amendment No. 4 to Kirin-Amgen, Inc. / Amgen G-CSF European License Agreement,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29, 1989, between Kirin-Amgen, Inc. and Amgen Inc. (Filed as exhibits to Form 10-K for the year ended December 31, 2000</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March 7, 2001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Promotion Agreement, dated December 16, 2001, by and among Immunex Corporation, American Home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Corporation and Amgen Inc. (portions of the exhibit have been omitted pursuant to a request for confidential treatment). (Filed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an exhibit to Amendment No. 1 to Form S-4 Registration Statement on March 22, 2002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Amendment No. 1 to Amended and Restated Promotion Agreement, effective July 8, 2003, among Wyeth, Amgen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Immunex Corporation (portions of the exhibit have been omitted pursuant to a request for confidential treatment).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10-K for the year ended December 31, 2003 on March 11, 2004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Amendment No. 2 to Amended and Restated Promotion Agreement, effective April 20, 2004, by and among Wyeth,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Amgen Inc. and Immunex Corporation. (Filed as an exhibit to Amendment No. 1 to Form S-4 Registration Statement on June 29, 2004</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3 to Amended and Restated Promotion Agreement, effective January 1, 2005, by and among Wyeth, Amgen Inc.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Immunex Corporation (portions of the exhibit have been omitted pursuant to a request for confidential treatment). (Filed as an exhibit to</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 ended March 31, 2005 on May 4, 2005 and 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Credit Agreement, dated July 30, 2014, among Amgen Inc., the Banks therein named, Citibank, N.A., as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and JPMorgan Chase Bank, N.A., as syndication agent (Filed as an exhibit to Form 8-K on July 30, 2014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License Agreement between Amgen Inc. and Celltech R&amp;D Limited dated May 10, 2002 (portions of the exhibit have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been omitted pursuant to a request for confidential treatment) and Amendment No. 1, effective June 9, 2003, to Collaboration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 between Amgen Inc. and Celltech R&amp;D Limited (portions of the exhibit have been omitted pursuant to a request for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 treatment). (Filed as an exhibit to Form 10-K/A for the year ended December 31, 2012 on July 31, 2013 and incorporated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37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Sourcing and Supply Agreement, dated November 15, 2011, by and between Amgen USA Inc, a wholly owned subsidiary of Amgen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and DaVita Inc. (portions of the exhibit have been omitted pursuant to a request for confidential treatment). (Filed as an exhibit to</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10-K for the year ended December 31, 2011 on February 29, 2012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Number 1 to Sourcing and Supply Agreement, effective January 1, 2013, by and between Amgen USA Inc.,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subsidiary of Amgen Inc., and DaVita Healthcare Partners Inc. f/k/a DaVita Inc. (portions of the exhibit have been omitted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pursuant to a request for confidential treatment). (Filed as an exhibit to Form 10-K for the year ended December 31, 2012 on February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Agreement dated March 30, 2012 by and between Amgen Inc. and AstraZeneca Collaboration Ventures, LLC,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subsidiary of AstraZeneca Pharmaceuticals LP (portions of the exhibit have been omitted pursuant to a request for confidential</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treatment). (Filed as an exhibit to Form 10-Q for the quarter ended March 31, 2012 on May 8, 2012 and incorporated herein by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Agreement, dated April 22, 1994, by and between Bayer Corporation (formerly Miles, Inc.) and Onyx Pharmaceuticals,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 (Filed as an exhibit to Form 10-Q for the quarter ended March 31, 2011 by Onyx Pharmaceuticals, Inc. on May 10, 2011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Collaboration Agreement, dated April 24, 1996,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10-Q for the quarter ended March 31, 2006 by Onyx Pharmaceuticals, Inc. on May 10, 2006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Collaboration Agreement, dated February 1, 1999,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as an exhibit to Form 10-Q for the quarter ended March 31, 2006 by Onyx Pharmaceuticals, Inc. on May 10, 2006 and</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Co-Promotion Agreement, dated March 6, 2006, by and between Bayer Pharmaceuticals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(Filed as an exhibit to Form 10-Q for the quarter ended March 31, 2006 by Onyx Pharmaceuticals, Inc. on May</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 2006 and 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420"/>
          </w:cols>
          <w:pgMar w:left="240" w:top="588"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10.44</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Settlement Agreement and Release, dated October 11, 2011, by and between Bayer Corporation, Bayer AG, Bayer HealthCare LLC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Bayer Pharma AG and Onyx Pharmaceuticals, Inc. (Filed as an exhibit to Form 10-K for the year ended December 31, 2011 by Onyx</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on February 27, 2012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Amendment  to  Collaboration  Agreement,  dated  October  11,  2011,  by  and  between  Bayer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(Filed as an exhibit to Form 10-K for the year ended December 31, 2011 by Onyx Pharmaceuticals, Inc.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2012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Letter, dated August 24, 2013, among Amgen Inc., Bank of America, N.A., Merrill Lynch, Pierce, Fenner &amp; Smith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JPMorgan Chase Bank, N.A., J.P. Morgan Securities LLC and Barclays Bank PLC. (Filed as an exhibit to Form 8-K on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26,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August 24, 2013, between Amgen Inc. and Bank of America, N.A. (Filed as an exhibit to Form 8-</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on August 26,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October 28, 2013, between Amgen Inc. and SMBC Repo Pass-Thru Trust, 2013-1. (Filed as an</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to Form 10-Q for the quarter ended September 30, 2013 on October 29,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Repurchase Agreement, dated October 29, 2013, between Amgen Inc. and HSBC Bank USA, N.A. (Filed as an exhibit to Form</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 for the quarter ended September 30, 2013 on October 29, 2013 and incorporated herein by reference.)</w:t>
            </w:r>
          </w:p>
        </w:tc>
      </w:tr>
      <w:tr>
        <w:trPr>
          <w:trHeight w:val="387"/>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 Credit Agreement, dated September 20, 2013, among Amgen Inc., the Banks therein named, Bank of America, N.A.,</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Administrative Agent, and Barclays Bank PLC and JPMorgan Chase Bank, N.A., as Syndication Agents. (Filed as an exhibit to Form</w:t>
            </w: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 on September 20, 2013 and incorporated herein by reference.)</w:t>
            </w:r>
          </w:p>
        </w:tc>
      </w:tr>
      <w:tr>
        <w:trPr>
          <w:trHeight w:val="405"/>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Rule 13a-14(a) Certifications.</w:t>
            </w:r>
          </w:p>
        </w:tc>
      </w:tr>
      <w:tr>
        <w:trPr>
          <w:trHeight w:val="405"/>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1350 Certifications.</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05"/>
        </w:trPr>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furnished herewith and not “filed” for purposes of Section 18 of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management contract or compensatory plan or arrangement)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8"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4, 2014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Meline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2572 W. Lake of the Isles Parkway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Minneapolis, MN 55405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David:</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behalf of Amgen, I am pleased to offer you the position of Executive Vice President - Chief Financial Officer, Level 11, reporting to Robert A. Bradway. This offer and the compensation listed are subject to your appointment by our Board of Directors (the Board) and the Compensation and Management Development Committee (the Compensation Committee) providing final approval of the compensation listed in this letter.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Your salary will be paid bi-weekly in the amount of </w:t>
      </w:r>
      <w:r>
        <w:rPr>
          <w:rFonts w:ascii="Times New Roman" w:cs="Times New Roman" w:eastAsia="Times New Roman" w:hAnsi="Times New Roman"/>
          <w:sz w:val="16"/>
          <w:szCs w:val="16"/>
          <w:b w:val="1"/>
          <w:bCs w:val="1"/>
          <w:color w:val="auto"/>
        </w:rPr>
        <w:t>$34,616.00</w:t>
      </w:r>
      <w:r>
        <w:rPr>
          <w:rFonts w:ascii="Times New Roman" w:cs="Times New Roman" w:eastAsia="Times New Roman" w:hAnsi="Times New Roman"/>
          <w:sz w:val="16"/>
          <w:szCs w:val="16"/>
          <w:color w:val="auto"/>
        </w:rPr>
        <w:t>, with 26 pay periods in one year.</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Provided that you sign a “Sign-On/Retention Bonus Agreement for New Hire Staff Members” in the form provided by Amgen, you will be eligible to earn a bonus of </w:t>
      </w:r>
      <w:r>
        <w:rPr>
          <w:rFonts w:ascii="Times New Roman" w:cs="Times New Roman" w:eastAsia="Times New Roman" w:hAnsi="Times New Roman"/>
          <w:sz w:val="16"/>
          <w:szCs w:val="16"/>
          <w:b w:val="1"/>
          <w:bCs w:val="1"/>
          <w:color w:val="auto"/>
        </w:rPr>
        <w:t>$2,000,000.00</w:t>
      </w:r>
      <w:r>
        <w:rPr>
          <w:rFonts w:ascii="Times New Roman" w:cs="Times New Roman" w:eastAsia="Times New Roman" w:hAnsi="Times New Roman"/>
          <w:sz w:val="16"/>
          <w:szCs w:val="16"/>
          <w:color w:val="auto"/>
        </w:rPr>
        <w:t>, less federal and state tax deductions and other applicable deductions and withholdings, subject to the terms of that Agreement. Please review that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information regarding timing and other payment details.</w:t>
      </w:r>
    </w:p>
    <w:p>
      <w:pPr>
        <w:spacing w:after="0" w:line="176" w:lineRule="exact"/>
        <w:rPr>
          <w:sz w:val="20"/>
          <w:szCs w:val="20"/>
          <w:color w:val="auto"/>
        </w:rPr>
      </w:pPr>
    </w:p>
    <w:p>
      <w:pPr>
        <w:ind w:right="3500"/>
        <w:spacing w:after="0" w:line="252" w:lineRule="auto"/>
        <w:rPr>
          <w:sz w:val="20"/>
          <w:szCs w:val="20"/>
          <w:color w:val="auto"/>
        </w:rPr>
      </w:pPr>
      <w:r>
        <w:rPr>
          <w:rFonts w:ascii="Times New Roman" w:cs="Times New Roman" w:eastAsia="Times New Roman" w:hAnsi="Times New Roman"/>
          <w:sz w:val="16"/>
          <w:szCs w:val="16"/>
          <w:color w:val="auto"/>
        </w:rPr>
        <w:t xml:space="preserve">You will be granted time-vested restricted stock units (RSUs) valued at </w:t>
      </w:r>
      <w:r>
        <w:rPr>
          <w:rFonts w:ascii="Times New Roman" w:cs="Times New Roman" w:eastAsia="Times New Roman" w:hAnsi="Times New Roman"/>
          <w:sz w:val="16"/>
          <w:szCs w:val="16"/>
          <w:b w:val="1"/>
          <w:bCs w:val="1"/>
          <w:color w:val="auto"/>
        </w:rPr>
        <w:t>$6,800,000</w:t>
      </w:r>
      <w:r>
        <w:rPr>
          <w:rFonts w:ascii="Times New Roman" w:cs="Times New Roman" w:eastAsia="Times New Roman" w:hAnsi="Times New Roman"/>
          <w:sz w:val="16"/>
          <w:szCs w:val="16"/>
          <w:color w:val="auto"/>
        </w:rPr>
        <w:t>. The actual number of RSUs will be determined by dividing $6,800,000 by the closing price of Amgen common stock on the expected grant date of August 1, 2014, providing you are actively employed on that date. Upon each applicable vesting date, you will receive a number of shares of Amgen common stock equal to the number of restricted stock units that vest, less any shares that are withheld to satisfy applicable taxes. This grant will vest beginning with the first anniversary of the grant date through the fourth anniversary of the grant date at a rate of 25% each year, respectively, contingent upon your being actively employed by Amgen through each vesting date.</w:t>
      </w:r>
    </w:p>
    <w:p>
      <w:pPr>
        <w:spacing w:after="0" w:line="18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 addition, beginning in 2015, you will be eligible to receive additional grants as part of Amgen’s Long Term Incentive (LTI) program. Grants under the LTI program are discretionary as approved by the Compensation Committee.</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You will be eligible to participate in Amgen’s Global Management Incentive Plan (the “GMIP”) pursuant to the terms of the GMIP. Your annual target incentive opportunity will be </w:t>
      </w:r>
      <w:r>
        <w:rPr>
          <w:rFonts w:ascii="Times New Roman" w:cs="Times New Roman" w:eastAsia="Times New Roman" w:hAnsi="Times New Roman"/>
          <w:sz w:val="16"/>
          <w:szCs w:val="16"/>
          <w:b w:val="1"/>
          <w:bCs w:val="1"/>
          <w:color w:val="auto"/>
        </w:rPr>
        <w:t>90%</w:t>
      </w:r>
      <w:r>
        <w:rPr>
          <w:rFonts w:ascii="Times New Roman" w:cs="Times New Roman" w:eastAsia="Times New Roman" w:hAnsi="Times New Roman"/>
          <w:sz w:val="16"/>
          <w:szCs w:val="16"/>
          <w:color w:val="auto"/>
        </w:rPr>
        <w:t xml:space="preserve"> of your base salary earnings during the plan year. Awards under the GMIP are discretionary. Your actual GMIP bonus may be more or less than this target amount, and may vary based on Company performance, any other criteria selected by the Company, and management’s assessment of your individual performance and contribution. You must be actively employed through the last regularly scheduled Amgen business day of the plan year to be eligible for that year’s GMIP bonus.</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You are also eligible to participate in the Amgen Nonqualified Deferred Compensation Plan (the “DCP”) to voluntarily defer, on a pre-tax basis, a portion of your annual earnings, including base salary, commissions, and/or GMIP bonus. Shortly after commencing your employment at Amgen, you will receive an enrollment e-mail regarding the DCP plan for Amgen. A Q&amp;A regarding the DCP is enclosed.</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Amgen will credit </w:t>
      </w:r>
      <w:r>
        <w:rPr>
          <w:rFonts w:ascii="Times New Roman" w:cs="Times New Roman" w:eastAsia="Times New Roman" w:hAnsi="Times New Roman"/>
          <w:sz w:val="16"/>
          <w:szCs w:val="16"/>
          <w:b w:val="1"/>
          <w:bCs w:val="1"/>
          <w:color w:val="auto"/>
        </w:rPr>
        <w:t>$1,600,000.00</w:t>
      </w:r>
      <w:r>
        <w:rPr>
          <w:rFonts w:ascii="Times New Roman" w:cs="Times New Roman" w:eastAsia="Times New Roman" w:hAnsi="Times New Roman"/>
          <w:sz w:val="16"/>
          <w:szCs w:val="16"/>
          <w:color w:val="auto"/>
        </w:rPr>
        <w:t xml:space="preserve"> on your behalf to the Amgen Nonqualified Deferred Compensation Plan (the “DCP”), a nonqualified and unfunded executive benefit plan that permits Amgen to credit contributions on behalf of staff members as a “Company Contribution Amount” (as defined in the DCP). Your </w:t>
      </w:r>
      <w:r>
        <w:rPr>
          <w:rFonts w:ascii="Times New Roman" w:cs="Times New Roman" w:eastAsia="Times New Roman" w:hAnsi="Times New Roman"/>
          <w:sz w:val="16"/>
          <w:szCs w:val="16"/>
          <w:b w:val="1"/>
          <w:bCs w:val="1"/>
          <w:color w:val="auto"/>
        </w:rPr>
        <w:t>$1,600,000.00</w:t>
      </w:r>
      <w:r>
        <w:rPr>
          <w:rFonts w:ascii="Times New Roman" w:cs="Times New Roman" w:eastAsia="Times New Roman" w:hAnsi="Times New Roman"/>
          <w:sz w:val="16"/>
          <w:szCs w:val="16"/>
          <w:color w:val="auto"/>
        </w:rPr>
        <w:t xml:space="preserve"> Company Contribution Amount will vest as follows: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on the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7" w:lineRule="auto"/>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on the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8" w:lineRule="auto"/>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on the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8" w:lineRule="auto"/>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on the 4</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8" w:lineRule="auto"/>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on the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8" w:lineRule="auto"/>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on the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188" w:lineRule="auto"/>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on the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rPr>
          <w:sz w:val="20"/>
          <w:szCs w:val="20"/>
          <w:color w:val="auto"/>
        </w:rPr>
      </w:pPr>
      <w:r>
        <w:rPr>
          <w:rFonts w:ascii="Times New Roman" w:cs="Times New Roman" w:eastAsia="Times New Roman" w:hAnsi="Times New Roman"/>
          <w:sz w:val="16"/>
          <w:szCs w:val="16"/>
          <w:b w:val="1"/>
          <w:bCs w:val="1"/>
          <w:color w:val="auto"/>
        </w:rPr>
        <w:t xml:space="preserve">12.5% </w:t>
      </w:r>
      <w:r>
        <w:rPr>
          <w:rFonts w:ascii="Times New Roman" w:cs="Times New Roman" w:eastAsia="Times New Roman" w:hAnsi="Times New Roman"/>
          <w:sz w:val="16"/>
          <w:szCs w:val="16"/>
          <w:color w:val="auto"/>
        </w:rPr>
        <w:t>on the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anniversary of the date of your employment with Amgen and its subsidiaries.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color w:val="auto"/>
        </w:rPr>
        <w:t>Upon vesting, each portion of the contribution plus any gains or losses are subject to FICA and will be withheld as soon as possible from your next available payroll check.</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This credit, plus any credited earnings (or minus any losses) will be paid to you after your “Separation from Service” (as defined in the DCP) in accordance with the terms of the DCP. Generally, Separation from Service means the termination of your employment with Amgen and its subsidiaries. Please note that Company contributions are not eligible for the Short-Term Payout provision of the DCP.</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addition, your position will make you eligible to participate in the Amgen Inc. Change of Control Severance Plan, as amended from time to time (the “COC”). COC eligibility and benefit levels are determined immediately prior to a “Change of Control” as defined in the COC. If, upon your termination, you are eligible to receive severance benefits under the COC and you are also eligible to receive severance benefits from another plan agreement or other source, you will be paid the greater of the amount from that plan or the amount provided in the COC, but not both amounts. A copy of the COC is enclosed.</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If, within the first 3 years of your employment with Amgen, Amgen terminates your employment without “Cause”, as defined below, you will be entitled to the benefits described in this paragraph (the “Termination Paragraph), provided that you sign a general release in the form furnished to you by Amgen and do not timely revoke it. The following are such benefits: one (1) year of your annual base salary, then in effect, and target cash incentive opportunity (i.e., GMIP or successor bonus plan target, which is currently 90%), then in effect, paid in a lump sum as soon as administratively practicable, but in no event later than March 15 of the year following the year in which Amgen terminates your employment and (2) if you elect continuation coverage under the Amgen group medical and dental plans for yourself and your qualified beneficiaries under the Consolidated Omnibus Budget Reconciliation Act of 1985 (“COBRA”), Amgen will pay the cost of such coverage until the earlier to occur of the following: (A) twelve (12) months following your termination of employment or (B) the date on which you are no longer eligible for such COBRA coverage. Please note that this Termination Paragraph does not alter the at-will nature of your employment at Amgen.</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purposes of the Termination Paragraph, “Cause” means (i) unfitness for service, inattention to or neglect of duties, or incompetence; (ii) dishonesty; (iii) disregard or violation of the policies or procedures of Amgen; (iv) refusal or failure to follow lawful directions of the Company; (v) illegal, unethical or immoral conduct; or (vi) breach of the attached Amgen Proprietary Information and Inventions Agreement.</w:t>
      </w:r>
    </w:p>
    <w:p>
      <w:pPr>
        <w:spacing w:after="0" w:line="1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As an executive at Amgen, you will be eligible for the following: an annual physical examination provided by Amgen; and, reimbursement for up to $15,000.00 per year for financial counseling, tax preparation and related services.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You will also have the opportunity to participate in our comprehensive benefits program. Amgen’s excellent health care plan currently includes medical, dental, and vision coverage for you and your eligible dependents. Amgen currently pays the major expense for these programs while staff members share through payroll deductions. Please be advised that in order for you and your dependents to be eligible for Amgen’s medical coverage you must:</w:t>
      </w:r>
    </w:p>
    <w:p>
      <w:pPr>
        <w:spacing w:after="0" w:line="19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Report to work at Amgen or another location to which you are required to travel and perform the regular duties of your employment.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Contact the Amgen Benefits Center at [*], to enroll within 31 days of your hire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Meet all other eligibility requirements under the plan.</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Amgen Retirement and Savings Plan, our 401(k) plan, provides an opportunity for you to save a percentage of your pay (based on Internal Revenue Service limits) on a tax-deferred basis. Amgen will also contribute to your 401(k) account to help you save for your future financial goals. These benefits, services and programs are summarized in the enclosed brochure called “A Guide to Total Rewards at Amgen.”</w:t>
      </w:r>
    </w:p>
    <w:p>
      <w:pPr>
        <w:spacing w:after="0" w:line="1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This offer of employment is contingent upon confirmation by Amgen of information listed on your employment application, and the receipt by Amgen of satisfactory results from a background verification and pre-employment drug test (drug test must be taken within 3 business days of receiving written offer).</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Enclosed and included as part of this offer (Attachment 1) is information regarding Amgen's Proprietary Information and Inventions Agreement, the Immigration Reform &amp; Control Act, and a packet of materials entitled "Arbitration of Disputes" which includes a Mutual Agreement to Arbitrate Claims. Also enclosed and included as part of this offer in Attachment 1 is information regarding Amgen's New Staff Member Letter and Certification. This offer is contingent upon you truthfully and accurately completing the Certification, and returning it to the Company before your first day of employment.</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This offer of employment is contingent upon your completing the items described in Attachment 1, and upon your ability to perform for Amgen all of the duties of your position without restriction from, or violation of, any enforceable contractual obligations owed to any former employer or entity for whom you worked or provided service(s).</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Also enclosed and included, as part of this offer (Offer Letter Benefit Summary), is information about the main points of the relocation assistance that Amgen will provide to you to relocate to the “local area.” Please note that relocation assistance is contingent upon your execution of the enclosed “Amgen Relocation Agreement for New Hire Staff Members,” subject to the terms of that Agreement, and that relocation benefits are limited to one benefits package per household.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9" w:right="239" w:bottom="1440" w:gutter="0" w:footer="0" w:header="0"/>
        </w:sectPr>
      </w:pPr>
    </w:p>
    <w:bookmarkStart w:id="46" w:name="page47"/>
    <w:bookmarkEnd w:id="46"/>
    <w:p>
      <w:pPr>
        <w:jc w:val="both"/>
        <w:spacing w:after="0" w:line="281" w:lineRule="auto"/>
        <w:rPr>
          <w:sz w:val="20"/>
          <w:szCs w:val="20"/>
          <w:color w:val="auto"/>
        </w:rPr>
      </w:pPr>
      <w:r>
        <w:rPr>
          <w:rFonts w:ascii="Times New Roman" w:cs="Times New Roman" w:eastAsia="Times New Roman" w:hAnsi="Times New Roman"/>
          <w:sz w:val="16"/>
          <w:szCs w:val="16"/>
          <w:color w:val="auto"/>
        </w:rPr>
        <w:t>You will be contacted by a Relocation Counselor to initiate your relocation benefits within 7 business days after receipt of your signed acceptance of this offer and your signed New Hire Relocation Agreement.</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By signing this letter, you understand and agree that your employment with Amgen is at-will. Therefore, your employment can terminate, with or without cause, and with or without notice, at any time, at your option or Amgen's option, and Amgen can terminate or change all other terms and conditions of your employment, with or without cause, and with or without notice, at any time. This at-will relationship will remain in effect throughout your employment with either Amgen Inc. or any of its subsidiaries or affiliates. This letter, and its enclosures, constitutes the entire agreement, arrangement and understanding between you and Amgen on the nature and terms of your employment with Amgen, including, but not limited to, the kind, character and existence of your proposed job duties, the length of time your employment will last, and the compensation you will receive. This letter, its enclosures, supersedes any prior or contemporaneous agreement, arrangement or understanding on this subject matter. By executing this letter as provided below, you expressly acknowledge the termination of any such prior agreement, arrangement or understanding, except as referenced in this letter and/or its enclosures. Also, by your execution of this letter, you affirm that no one has made any written or oral statement that contradicts the provisions of this letter or its enclosures. The at-will nature of your employment, as set forth in this paragraph, can be modified only by a written agreement signed by both Amgen's Senior Vice President of Human Resources and you which expressly alters it. This at-will relationship may not be modified by any oral or implied agreement or by any Company policies, practices or patterns of conduct.</w:t>
      </w:r>
    </w:p>
    <w:p>
      <w:pPr>
        <w:spacing w:after="0" w:line="3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complete terms of the plans, programs and policies referenced to in this letter are set forth in their respective documents, which are maintained by the Company. The Company reserves the right to amend or terminate any of these plans, programs or policies at any time, in its sole discretion. In the event of any difference between this offer letter and the provisions of the respective plan, program or policy document, the respective document will govern.</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You have made an excellent impression on the staff at Amgen. We are enthusiastic about the contribution you can make, and we believe that Amgen can provide you with attractive opportunities for personal achievement and growth. I look forward to your favorable reply by </w:t>
      </w:r>
      <w:r>
        <w:rPr>
          <w:rFonts w:ascii="Times New Roman" w:cs="Times New Roman" w:eastAsia="Times New Roman" w:hAnsi="Times New Roman"/>
          <w:sz w:val="16"/>
          <w:szCs w:val="16"/>
          <w:b w:val="1"/>
          <w:bCs w:val="1"/>
          <w:color w:val="auto"/>
        </w:rPr>
        <w:t>June 11, 2014.</w:t>
      </w:r>
      <w:r>
        <w:rPr>
          <w:rFonts w:ascii="Times New Roman" w:cs="Times New Roman" w:eastAsia="Times New Roman" w:hAnsi="Times New Roman"/>
          <w:sz w:val="16"/>
          <w:szCs w:val="16"/>
          <w:color w:val="auto"/>
        </w:rPr>
        <w:t xml:space="preserve"> If you accept our offer, please sign and date the </w:t>
      </w:r>
      <w:r>
        <w:rPr>
          <w:rFonts w:ascii="Times New Roman" w:cs="Times New Roman" w:eastAsia="Times New Roman" w:hAnsi="Times New Roman"/>
          <w:sz w:val="16"/>
          <w:szCs w:val="16"/>
          <w:b w:val="1"/>
          <w:bCs w:val="1"/>
          <w:i w:val="1"/>
          <w:iCs w:val="1"/>
          <w:color w:val="auto"/>
        </w:rPr>
        <w:t>copy</w:t>
      </w:r>
      <w:r>
        <w:rPr>
          <w:rFonts w:ascii="Times New Roman" w:cs="Times New Roman" w:eastAsia="Times New Roman" w:hAnsi="Times New Roman"/>
          <w:sz w:val="16"/>
          <w:szCs w:val="16"/>
          <w:color w:val="auto"/>
        </w:rPr>
        <w:t xml:space="preserve"> of the letter and return it in the enclosed envelope to our Staffing Department along with the completed and signed Proprietary Information and Inventions Agreement and the Mutual Agreement to Arbitrate Claims. Please retain the original offer letter for your records. If you have any questions regarding this offer, please contact me at (805) 447-5839 or Greg Comeaux at (805) 447-8035.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Stuart A. Tross, Ph.D.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Stuart A. Tross,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Human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ST:zn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Enclosures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tcPr>
          <w:p>
            <w:pPr>
              <w:spacing w:after="0"/>
              <w:rPr>
                <w:sz w:val="16"/>
                <w:szCs w:val="16"/>
                <w:color w:val="auto"/>
              </w:rPr>
            </w:pPr>
          </w:p>
        </w:tc>
        <w:tc>
          <w:tcPr>
            <w:tcW w:w="2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David W. Meline</w:t>
            </w:r>
          </w:p>
        </w:tc>
        <w:tc>
          <w:tcPr>
            <w:tcW w:w="2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7 June 2014</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Signature of Acceptance</w:t>
            </w:r>
          </w:p>
        </w:tc>
        <w:tc>
          <w:tcPr>
            <w:tcW w:w="29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361"/>
        </w:trPr>
        <w:tc>
          <w:tcPr>
            <w:tcW w:w="51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w:t>
            </w:r>
          </w:p>
        </w:tc>
        <w:tc>
          <w:tcPr>
            <w:tcW w:w="0" w:type="dxa"/>
            <w:vAlign w:val="bottom"/>
          </w:tcPr>
          <w:p>
            <w:pPr>
              <w:spacing w:after="0"/>
              <w:rPr>
                <w:sz w:val="1"/>
                <w:szCs w:val="1"/>
                <w:color w:val="auto"/>
              </w:rPr>
            </w:pPr>
          </w:p>
        </w:tc>
      </w:tr>
      <w:tr>
        <w:trPr>
          <w:trHeight w:val="20"/>
        </w:trPr>
        <w:tc>
          <w:tcPr>
            <w:tcW w:w="1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Digits of Social Security Number (For Identification Purposes)</w:t>
            </w:r>
          </w:p>
        </w:tc>
        <w:tc>
          <w:tcPr>
            <w:tcW w:w="0" w:type="dxa"/>
            <w:vAlign w:val="bottom"/>
          </w:tcPr>
          <w:p>
            <w:pPr>
              <w:spacing w:after="0" w:line="20" w:lineRule="exact"/>
              <w:rPr>
                <w:sz w:val="1"/>
                <w:szCs w:val="1"/>
                <w:color w:val="auto"/>
              </w:rPr>
            </w:pPr>
          </w:p>
        </w:tc>
      </w:tr>
      <w:tr>
        <w:trPr>
          <w:trHeight w:val="146"/>
        </w:trPr>
        <w:tc>
          <w:tcPr>
            <w:tcW w:w="3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Last 4</w:t>
            </w:r>
          </w:p>
        </w:tc>
        <w:tc>
          <w:tcPr>
            <w:tcW w:w="4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Last 4</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Digits of Government ID (If No Social Security Number)</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21 July 2014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Anticipated Start Date (Hereinafter - “Hire Date”)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9"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color w:val="auto"/>
        </w:rPr>
        <w:t>ATTACHMENT 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order to accept our offer you will be required to:</w:t>
      </w:r>
    </w:p>
    <w:p>
      <w:pPr>
        <w:spacing w:after="0" w:line="221"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date and sign the Amgen Proprietary Information and Inventions Agreement and return it with your signed offer letter.</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 and date the Amgen New Staff Member Letter and Certification and return it with your signed offer letter.</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and sign the enclosed Mutual Agreement to Arbitrate Claims and return it with your signed offer letter.</w:t>
      </w:r>
    </w:p>
    <w:p>
      <w:pPr>
        <w:spacing w:after="0" w:line="221" w:lineRule="exact"/>
        <w:rPr>
          <w:rFonts w:ascii="Times New Roman" w:cs="Times New Roman" w:eastAsia="Times New Roman" w:hAnsi="Times New Roman"/>
          <w:sz w:val="16"/>
          <w:szCs w:val="16"/>
          <w:color w:val="auto"/>
        </w:rPr>
      </w:pPr>
    </w:p>
    <w:p>
      <w:pPr>
        <w:ind w:left="1300" w:hanging="644"/>
        <w:spacing w:after="0" w:line="281" w:lineRule="auto"/>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be required to provide Amgen with proof of your identity and eligibility for employment per requirements of the Immigration Reform and Control Act of 1986 within 3 (three) days of hire. Information pertaining to this Act and required proof are enclosed.</w:t>
      </w:r>
    </w:p>
    <w:p>
      <w:pPr>
        <w:spacing w:after="0" w:line="16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California non-exempt staff only, sign and date the Notice To Employee, Labor Code 2810.5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7" w:right="2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NEW STAFF MEMBER LETTER AND CERTIFICATION</w:t>
      </w:r>
    </w:p>
    <w:p>
      <w:pPr>
        <w:spacing w:after="0" w:line="22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Welcome to Amgen (the “Company”). The Company has no need to learn and does not want any proprietary, confidential or trade secret information or other property that belongs to any prior employers, entities or other persons you have worked for (collectively, “Prior Employers”). Please review and comply with the following instructions and policies, and execute the Certification below.</w:t>
      </w:r>
    </w:p>
    <w:p>
      <w:pPr>
        <w:spacing w:after="0" w:line="192" w:lineRule="exact"/>
        <w:rPr>
          <w:sz w:val="20"/>
          <w:szCs w:val="20"/>
          <w:color w:val="auto"/>
        </w:rPr>
      </w:pPr>
    </w:p>
    <w:p>
      <w:pPr>
        <w:ind w:left="500" w:right="40" w:hanging="330"/>
        <w:spacing w:after="0" w:line="28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Carefully read the Company’s Proprietary Information and Inventions Agreement (“PIIA”) that you have executed, and make sure that you understand your obligations under the terms of the PIIA. If you have any questions, please contact Human Resources.</w:t>
      </w:r>
    </w:p>
    <w:p>
      <w:pPr>
        <w:spacing w:after="0" w:line="182" w:lineRule="exact"/>
        <w:rPr>
          <w:rFonts w:ascii="Times New Roman" w:cs="Times New Roman" w:eastAsia="Times New Roman" w:hAnsi="Times New Roman"/>
          <w:sz w:val="18"/>
          <w:szCs w:val="18"/>
          <w:color w:val="auto"/>
        </w:rPr>
      </w:pPr>
    </w:p>
    <w:p>
      <w:pPr>
        <w:ind w:left="500" w:right="20" w:hanging="330"/>
        <w:spacing w:after="0" w:line="28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You may not bring any material to the Company from third parties in hard copy, in electronic format or in any other form. Nor should you use any such material in your work for the Company.</w:t>
      </w:r>
    </w:p>
    <w:p>
      <w:pPr>
        <w:spacing w:after="0" w:line="141" w:lineRule="exact"/>
        <w:rPr>
          <w:rFonts w:ascii="Times New Roman" w:cs="Times New Roman" w:eastAsia="Times New Roman" w:hAnsi="Times New Roman"/>
          <w:sz w:val="18"/>
          <w:szCs w:val="18"/>
          <w:color w:val="auto"/>
        </w:rPr>
      </w:pPr>
    </w:p>
    <w:p>
      <w:pPr>
        <w:jc w:val="both"/>
        <w:ind w:left="500" w:right="80" w:hanging="330"/>
        <w:spacing w:after="0" w:line="263" w:lineRule="auto"/>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commencing any work for the Company, conduct a search of your personal computer(s), email accounts, and any other electronic storage devices you possess, as well as any files you maintain in hard copy, for information or materials belonging to your Prior Employers. You are instructed to make appropriate arrangements to return any such information or materials belonging to your Prior Employers, consistent with any obligations you have to the Prior Employers.</w:t>
      </w:r>
    </w:p>
    <w:p>
      <w:pPr>
        <w:spacing w:after="0" w:line="191" w:lineRule="exact"/>
        <w:rPr>
          <w:rFonts w:ascii="Times New Roman" w:cs="Times New Roman" w:eastAsia="Times New Roman" w:hAnsi="Times New Roman"/>
          <w:sz w:val="16"/>
          <w:szCs w:val="16"/>
          <w:color w:val="auto"/>
        </w:rPr>
      </w:pPr>
    </w:p>
    <w:p>
      <w:pPr>
        <w:ind w:left="500" w:hanging="330"/>
        <w:spacing w:after="0" w:line="281"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Do not disclose to or provide the Company with any customer lists you obtained from or during your employment with your Prior Employers. When interacting with doctors or other members of the healthcare industry with whom you may have had contact while working for your Prior Employers, clearly indicate to such persons that you are an Amgen staff member, and focus on the Company’s products rather than using or discussing information related to your prior employment.</w:t>
      </w:r>
    </w:p>
    <w:p>
      <w:pPr>
        <w:spacing w:after="0" w:line="164" w:lineRule="exact"/>
        <w:rPr>
          <w:rFonts w:ascii="Times New Roman" w:cs="Times New Roman" w:eastAsia="Times New Roman" w:hAnsi="Times New Roman"/>
          <w:sz w:val="18"/>
          <w:szCs w:val="18"/>
          <w:color w:val="auto"/>
        </w:rPr>
      </w:pPr>
    </w:p>
    <w:p>
      <w:pPr>
        <w:ind w:left="500" w:right="320" w:hanging="330"/>
        <w:spacing w:after="0" w:line="28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If you have any doubts regarding whether you may take, disclose, upload, access, or use any information in your possession, you must err on the side of not taking, disclosing, uploading, accessing or using the information.</w:t>
      </w:r>
    </w:p>
    <w:p>
      <w:pPr>
        <w:spacing w:after="0" w:line="18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Do not begin any work for the Company before your employment with your Prior Employers has officially ended.</w:t>
      </w:r>
    </w:p>
    <w:p>
      <w:pPr>
        <w:spacing w:after="0" w:line="184" w:lineRule="exact"/>
        <w:rPr>
          <w:rFonts w:ascii="Times New Roman" w:cs="Times New Roman" w:eastAsia="Times New Roman" w:hAnsi="Times New Roman"/>
          <w:sz w:val="18"/>
          <w:szCs w:val="18"/>
          <w:color w:val="auto"/>
        </w:rPr>
      </w:pPr>
    </w:p>
    <w:p>
      <w:pPr>
        <w:ind w:left="500" w:right="720" w:hanging="330"/>
        <w:spacing w:after="0" w:line="281" w:lineRule="auto"/>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commencing work for the Company, do not request that any employee of your Prior Employers provide you with, or take any other steps to obtain, any information or property of your Prior Employers.</w:t>
      </w:r>
    </w:p>
    <w:p>
      <w:pPr>
        <w:spacing w:after="0" w:line="176" w:lineRule="exact"/>
        <w:rPr>
          <w:rFonts w:ascii="Times New Roman" w:cs="Times New Roman" w:eastAsia="Times New Roman" w:hAnsi="Times New Roman"/>
          <w:sz w:val="16"/>
          <w:szCs w:val="16"/>
          <w:color w:val="auto"/>
        </w:rPr>
      </w:pPr>
    </w:p>
    <w:p>
      <w:pPr>
        <w:ind w:left="500" w:right="160" w:hanging="330"/>
        <w:spacing w:after="0" w:line="281"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Under no circumstances are you permitted to connect to a Company computer any electronic storage device containing information or property relating to your Prior Employers. Likewise, in performing work for the Company, you are not permitted to use, disclose, access or upload any such information or property. If you discover that any confidential, proprietary, or trade secret information or property of your Prior Employers has been uploaded to any Company computer or email system(s), immediately inform Human Resources.</w:t>
      </w:r>
    </w:p>
    <w:p>
      <w:pPr>
        <w:spacing w:after="0" w:line="191" w:lineRule="exact"/>
        <w:rPr>
          <w:rFonts w:ascii="Times New Roman" w:cs="Times New Roman" w:eastAsia="Times New Roman" w:hAnsi="Times New Roman"/>
          <w:sz w:val="18"/>
          <w:szCs w:val="18"/>
          <w:color w:val="auto"/>
        </w:rPr>
      </w:pPr>
    </w:p>
    <w:p>
      <w:pPr>
        <w:ind w:left="500" w:right="40" w:hanging="330"/>
        <w:spacing w:after="0" w:line="28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Company may monitor and/or conduct an audit of your use of Company computer systems, and you should not have any expectation of privacy in data sent, stored or received on any Company systems. See the Company’s Use of Company Systems and Internet Conduct Policy for further details.</w:t>
      </w:r>
    </w:p>
    <w:p>
      <w:pPr>
        <w:spacing w:after="0" w:line="182" w:lineRule="exact"/>
        <w:rPr>
          <w:rFonts w:ascii="Times New Roman" w:cs="Times New Roman" w:eastAsia="Times New Roman" w:hAnsi="Times New Roman"/>
          <w:sz w:val="18"/>
          <w:szCs w:val="18"/>
          <w:color w:val="auto"/>
        </w:rPr>
      </w:pPr>
    </w:p>
    <w:p>
      <w:pPr>
        <w:ind w:left="500" w:right="80" w:hanging="330"/>
        <w:spacing w:after="0" w:line="281"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Disclose and identify below all agreements relating to your Prior Employers that may affect your eligibility to become employed by and/or to perform work for the Company, including any non-competition agreement(s), agreements relating to the solicitation of employees or customers, or other restrictive agreements (collectively, “Restrictive Agreements”), regardless of whether you believe these agreements are enforceable, apply to your potential employment with the Company, or have expired, and provide a copy to Human Resources. If “none,” please so indicate. </w:t>
      </w:r>
      <w:r>
        <w:rPr>
          <w:rFonts w:ascii="Times New Roman" w:cs="Times New Roman" w:eastAsia="Times New Roman" w:hAnsi="Times New Roman"/>
          <w:sz w:val="16"/>
          <w:szCs w:val="16"/>
          <w:b w:val="1"/>
          <w:bCs w:val="1"/>
          <w:color w:val="auto"/>
        </w:rPr>
        <w:t>Do not leave blank.</w:t>
      </w:r>
    </w:p>
    <w:p>
      <w:pPr>
        <w:spacing w:after="0" w:line="354" w:lineRule="exact"/>
        <w:rPr>
          <w:sz w:val="20"/>
          <w:szCs w:val="20"/>
          <w:color w:val="auto"/>
        </w:rPr>
      </w:pPr>
    </w:p>
    <w:p>
      <w:pPr>
        <w:ind w:left="40"/>
        <w:spacing w:after="0"/>
        <w:tabs>
          <w:tab w:leader="none" w:pos="3060" w:val="left"/>
          <w:tab w:leader="none" w:pos="6300" w:val="left"/>
        </w:tabs>
        <w:rPr>
          <w:sz w:val="20"/>
          <w:szCs w:val="20"/>
          <w:color w:val="auto"/>
        </w:rPr>
      </w:pPr>
      <w:r>
        <w:rPr>
          <w:rFonts w:ascii="Times New Roman" w:cs="Times New Roman" w:eastAsia="Times New Roman" w:hAnsi="Times New Roman"/>
          <w:sz w:val="16"/>
          <w:szCs w:val="16"/>
          <w:u w:val="single" w:color="auto"/>
          <w:color w:val="auto"/>
        </w:rPr>
        <w:t>Name of Agreement</w:t>
      </w:r>
      <w:r>
        <w:rPr>
          <w:sz w:val="20"/>
          <w:szCs w:val="20"/>
          <w:color w:val="auto"/>
        </w:rPr>
        <w:tab/>
      </w:r>
      <w:r>
        <w:rPr>
          <w:rFonts w:ascii="Times New Roman" w:cs="Times New Roman" w:eastAsia="Times New Roman" w:hAnsi="Times New Roman"/>
          <w:sz w:val="16"/>
          <w:szCs w:val="16"/>
          <w:u w:val="single" w:color="auto"/>
          <w:color w:val="auto"/>
        </w:rPr>
        <w:t>Employer</w:t>
      </w:r>
      <w:r>
        <w:rPr>
          <w:sz w:val="20"/>
          <w:szCs w:val="20"/>
          <w:color w:val="auto"/>
        </w:rPr>
        <w:tab/>
      </w:r>
      <w:r>
        <w:rPr>
          <w:rFonts w:ascii="Times New Roman" w:cs="Times New Roman" w:eastAsia="Times New Roman" w:hAnsi="Times New Roman"/>
          <w:sz w:val="16"/>
          <w:szCs w:val="16"/>
          <w:u w:val="single" w:color="auto"/>
          <w:color w:val="auto"/>
        </w:rPr>
        <w:t>Date signed</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53168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6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53168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(Attach additional sheets, if necessary)</w:t>
      </w:r>
    </w:p>
    <w:p>
      <w:pPr>
        <w:spacing w:after="0" w:line="235" w:lineRule="exact"/>
        <w:rPr>
          <w:sz w:val="20"/>
          <w:szCs w:val="20"/>
          <w:color w:val="auto"/>
        </w:rPr>
      </w:pPr>
    </w:p>
    <w:p>
      <w:pPr>
        <w:ind w:left="500" w:right="180" w:hanging="330"/>
        <w:spacing w:after="0" w:line="281"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If you are subject to an agreement not to solicit employees of your Prior Employers, you should refrain from doing so. You should specifically inform Human Resources if you are subject to such an agreement. If you are subject to such an agreement and a former colleague contacts you about employment opportunities with the Company, please contact Human Resources for assistance.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015" w:right="259" w:bottom="1440" w:gutter="0" w:footer="0" w:header="0"/>
        </w:sectPr>
      </w:pPr>
    </w:p>
    <w:bookmarkStart w:id="49" w:name="page50"/>
    <w:bookmarkEnd w:id="49"/>
    <w:p>
      <w:pPr>
        <w:ind w:left="500" w:hanging="330"/>
        <w:spacing w:after="0" w:line="281"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not use any email account (including Company email accounts), text messages, Instant Messaging, or any other method of written communication to store or discuss any proprietary, confidential or trade secret information or other property belonging to your Prior Employers.</w:t>
      </w:r>
    </w:p>
    <w:p>
      <w:pPr>
        <w:spacing w:after="0" w:line="176" w:lineRule="exact"/>
        <w:rPr>
          <w:rFonts w:ascii="Times New Roman" w:cs="Times New Roman" w:eastAsia="Times New Roman" w:hAnsi="Times New Roman"/>
          <w:sz w:val="16"/>
          <w:szCs w:val="16"/>
          <w:color w:val="auto"/>
        </w:rPr>
      </w:pPr>
    </w:p>
    <w:p>
      <w:pPr>
        <w:ind w:left="500" w:right="420" w:hanging="330"/>
        <w:spacing w:after="0" w:line="281"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Immediately inform Human Resources if you are contacted in any manner by any former employer regarding your work for Amgen and/or any non-competition agreements, agreements that relate to the solicitation of employees or customers, or any other restrictive agreements you entered into in connection with any Prior Employers.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w:t>
      </w:r>
    </w:p>
    <w:p>
      <w:pPr>
        <w:spacing w:after="0" w:line="33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 understand that the above list is only a summary and does not purport to include all of my continuing obligations to the Company. By signing below I certify that I have and will continue to comply with the above instructions and policies.</w:t>
      </w:r>
    </w:p>
    <w:p>
      <w:pPr>
        <w:spacing w:after="0" w:line="16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 hereby agree that the Company may, at its sole option and discretion contact my Prior Employer(s) to determine whether any Restrictive Agreements exist and, if so, their applicable terms. I acknowledge that the Company may revoke its offer or terminate my employment if it determines in its reasonable business judgment that I have failed to disclose or am otherwise subject to an enforceable Restrictive Agreement or my failure to abide by the certifications contained herein.</w:t>
      </w:r>
    </w:p>
    <w:p>
      <w:pPr>
        <w:spacing w:after="0" w:line="178"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Nothing in this Letter and Certification is intended to alter, or shall have any impact on, my status as an at-will employee of the Company. In addition to its right to terminate my employment, the Company shall have the right to suspend me from work without pay during its investigation into (1) the existence and/or enforceability of any restrictions on my ability to perform work for the Company should I fail to disclose a Restrictive Agreement, or (2) the failure to abide by the certifications contained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agree: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David W. Meline</w:t>
      </w:r>
      <w:r>
        <w:rPr>
          <w:rFonts w:ascii="Times New Roman" w:cs="Times New Roman" w:eastAsia="Times New Roman" w:hAnsi="Times New Roman"/>
          <w:sz w:val="16"/>
          <w:szCs w:val="16"/>
          <w:color w:val="auto"/>
        </w:rPr>
        <w:t>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Staff Member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David W. Meline</w:t>
      </w:r>
      <w:r>
        <w:rPr>
          <w:rFonts w:ascii="Times New Roman" w:cs="Times New Roman" w:eastAsia="Times New Roman" w:hAnsi="Times New Roman"/>
          <w:sz w:val="16"/>
          <w:szCs w:val="16"/>
          <w:color w:val="auto"/>
        </w:rPr>
        <w:t>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 Name of Staff Member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Last 4 Digits of Social Security Number (For Identification Purposes)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Last 4 Digits of Government ID (If No Social Security Number)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7 June 2014</w:t>
      </w:r>
      <w:r>
        <w:rPr>
          <w:rFonts w:ascii="Times New Roman" w:cs="Times New Roman" w:eastAsia="Times New Roman" w:hAnsi="Times New Roman"/>
          <w:sz w:val="16"/>
          <w:szCs w:val="16"/>
          <w:color w:val="auto"/>
        </w:rPr>
        <w:t>_________________________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9" w:right="2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AMGEN SIGN-ON/RETENTION BONUS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NEW HIRE STAFF MEMBERS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6"/>
          <w:szCs w:val="16"/>
          <w:u w:val="single" w:color="auto"/>
          <w:color w:val="auto"/>
        </w:rPr>
        <w:t>David W. Meline</w:t>
      </w:r>
      <w:r>
        <w:rPr>
          <w:rFonts w:ascii="Times New Roman" w:cs="Times New Roman" w:eastAsia="Times New Roman" w:hAnsi="Times New Roman"/>
          <w:sz w:val="16"/>
          <w:szCs w:val="16"/>
          <w:color w:val="auto"/>
        </w:rPr>
        <w:t>, agree to accept my sign-on/retention bonus payment (“Bonus”) from Amgen on the following terms.</w:t>
      </w:r>
    </w:p>
    <w:p>
      <w:pPr>
        <w:spacing w:after="0" w:line="23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amount of the Bonus is described in the offer letter (as may be amended) that was provided separately to me.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Bonus will generally be paid to me as follows:</w:t>
      </w:r>
    </w:p>
    <w:p>
      <w:pPr>
        <w:spacing w:after="0" w:line="223" w:lineRule="exact"/>
        <w:rPr>
          <w:rFonts w:ascii="Times New Roman" w:cs="Times New Roman" w:eastAsia="Times New Roman" w:hAnsi="Times New Roman"/>
          <w:sz w:val="18"/>
          <w:szCs w:val="18"/>
          <w:color w:val="auto"/>
        </w:rPr>
      </w:pPr>
    </w:p>
    <w:p>
      <w:pPr>
        <w:jc w:val="both"/>
        <w:ind w:left="1300" w:hanging="320"/>
        <w:spacing w:after="0" w:line="27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After thirty (30) days following my start date with Amgen, I will be paid </w:t>
      </w:r>
      <w:r>
        <w:rPr>
          <w:rFonts w:ascii="Times New Roman" w:cs="Times New Roman" w:eastAsia="Times New Roman" w:hAnsi="Times New Roman"/>
          <w:sz w:val="16"/>
          <w:szCs w:val="16"/>
          <w:b w:val="1"/>
          <w:bCs w:val="1"/>
          <w:color w:val="auto"/>
        </w:rPr>
        <w:t>$1,000,000.00</w:t>
      </w:r>
      <w:r>
        <w:rPr>
          <w:rFonts w:ascii="Times New Roman" w:cs="Times New Roman" w:eastAsia="Times New Roman" w:hAnsi="Times New Roman"/>
          <w:sz w:val="16"/>
          <w:szCs w:val="16"/>
          <w:color w:val="auto"/>
        </w:rPr>
        <w:t xml:space="preserve"> as an advance. This amount will be earned only after I complete two years of employment with Amgen. The Bonus is intended to facilitate my acceptance of employment with Amgen and my continued employment with Amgen for a period of at least two years. Amgen is providing me with the Bonus with the expectation that I will not resign my employment during this two-year period.</w:t>
      </w:r>
    </w:p>
    <w:p>
      <w:pPr>
        <w:spacing w:after="0" w:line="4" w:lineRule="exact"/>
        <w:rPr>
          <w:rFonts w:ascii="Times New Roman" w:cs="Times New Roman" w:eastAsia="Times New Roman" w:hAnsi="Times New Roman"/>
          <w:sz w:val="18"/>
          <w:szCs w:val="18"/>
          <w:color w:val="auto"/>
        </w:rPr>
      </w:pPr>
    </w:p>
    <w:p>
      <w:pPr>
        <w:ind w:left="1300" w:hanging="320"/>
        <w:spacing w:after="0" w:line="288"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 xml:space="preserve">$1,000,000.00 </w:t>
      </w:r>
      <w:r>
        <w:rPr>
          <w:rFonts w:ascii="Times New Roman" w:cs="Times New Roman" w:eastAsia="Times New Roman" w:hAnsi="Times New Roman"/>
          <w:sz w:val="16"/>
          <w:szCs w:val="16"/>
          <w:color w:val="auto"/>
        </w:rPr>
        <w:t>to be paid on or about the first anniversary of your start date. I understand that if I am not employed by Amgen on this date, I have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earned any portion of this amount.</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understand and agree that I am an at-will employee and that I am free to resign at any time and Amgen is free to terminate my employment, with or without cause, at any time. Nevertheless, I understand that if I resign my employment with Amgen before I complete two years of employment, I have not earned any portion of the Bonus amount. Therefore, I agree to repay Amgen for the gross amount of my Bonus advance if I resign my employment for any reason within 24 months from my hire date at Amgen. I also agree that in the event of such a resignation, the amount to be reimbursed shall be due in full and payable by me immediately in cash (i.e., by check, wire transfer, or similar immediate payment) without further notice or demand by Amgen.</w:t>
      </w:r>
    </w:p>
    <w:p>
      <w:pPr>
        <w:spacing w:after="0" w:line="192"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Generally, a sign-on/retention bonus is considered ordinary wage income to the recipient. I understand that Amgen will report to appropriate federal and state taxing authorities all income that Amgen considers to be subject to taxation and will withhold appropriate taxes in accordance with federal and state regulations. I understand that it is my obligation to declare all income and pay all taxes owed on such income, if any.</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understand that this agreement shall be governed by the law of the State of California.</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Nothing in this Agreement will be construed as an employment contract or to guarantee me employment at Amgen for any fixed term. I understand that my employment at Amgen is at will.</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provisions of this agreement are severable. If any part is found to be unenforceable, all other provisions shall remain fully valid and enforceable.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 agree:</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Amgen Inc:</w:t>
            </w:r>
          </w:p>
        </w:tc>
      </w:tr>
      <w:tr>
        <w:trPr>
          <w:trHeight w:val="594"/>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 David W. Meline</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 Stuart R. Tross, Ph.D.</w:t>
            </w:r>
          </w:p>
        </w:tc>
      </w:tr>
      <w:tr>
        <w:trPr>
          <w:trHeight w:val="33"/>
        </w:trPr>
        <w:tc>
          <w:tcPr>
            <w:tcW w:w="8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Signature of Staff Member</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Signature of Authorized Representative</w:t>
            </w:r>
          </w:p>
        </w:tc>
      </w:tr>
      <w:tr>
        <w:trPr>
          <w:trHeight w:val="594"/>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David W. Meline</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 of Human Resources</w:t>
            </w:r>
          </w:p>
        </w:tc>
      </w:tr>
      <w:tr>
        <w:trPr>
          <w:trHeight w:val="33"/>
        </w:trPr>
        <w:tc>
          <w:tcPr>
            <w:tcW w:w="8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Print Name of Staff Member</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Title of Representative</w:t>
            </w:r>
          </w:p>
        </w:tc>
      </w:tr>
      <w:tr>
        <w:trPr>
          <w:trHeight w:val="594"/>
        </w:trPr>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June 9, 2014</w:t>
            </w:r>
          </w:p>
        </w:tc>
      </w:tr>
      <w:tr>
        <w:trPr>
          <w:trHeight w:val="33"/>
        </w:trPr>
        <w:tc>
          <w:tcPr>
            <w:tcW w:w="8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Last 4 Digits of Social Security Number (For Identification Purposes)</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w:t>
            </w:r>
          </w:p>
        </w:tc>
      </w:tr>
      <w:tr>
        <w:trPr>
          <w:trHeight w:val="270"/>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Last 4 Digits of Government ID (If No Social Security Number)</w:t>
            </w:r>
          </w:p>
        </w:tc>
        <w:tc>
          <w:tcPr>
            <w:tcW w:w="3780" w:type="dxa"/>
            <w:vAlign w:val="bottom"/>
          </w:tcPr>
          <w:p>
            <w:pPr>
              <w:spacing w:after="0"/>
              <w:rPr>
                <w:sz w:val="23"/>
                <w:szCs w:val="23"/>
                <w:color w:val="auto"/>
              </w:rPr>
            </w:pPr>
          </w:p>
        </w:tc>
      </w:tr>
      <w:tr>
        <w:trPr>
          <w:trHeight w:val="425"/>
        </w:trPr>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7 June 2014_____________________________</w:t>
            </w:r>
          </w:p>
        </w:tc>
        <w:tc>
          <w:tcPr>
            <w:tcW w:w="3780" w:type="dxa"/>
            <w:vAlign w:val="bottom"/>
          </w:tcPr>
          <w:p>
            <w:pPr>
              <w:spacing w:after="0"/>
              <w:rPr>
                <w:sz w:val="24"/>
                <w:szCs w:val="24"/>
                <w:color w:val="auto"/>
              </w:rPr>
            </w:pPr>
          </w:p>
        </w:tc>
      </w:tr>
      <w:tr>
        <w:trPr>
          <w:trHeight w:val="217"/>
        </w:trPr>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w:t>
            </w:r>
          </w:p>
        </w:tc>
        <w:tc>
          <w:tcPr>
            <w:tcW w:w="5480" w:type="dxa"/>
            <w:vAlign w:val="bottom"/>
            <w:gridSpan w:val="2"/>
          </w:tcPr>
          <w:p>
            <w:pPr>
              <w:spacing w:after="0"/>
              <w:rPr>
                <w:sz w:val="18"/>
                <w:szCs w:val="18"/>
                <w:color w:val="auto"/>
              </w:rPr>
            </w:pPr>
          </w:p>
        </w:tc>
        <w:tc>
          <w:tcPr>
            <w:tcW w:w="37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2" w:right="2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AMGEN RELOCATION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NEW HIRE STAFF MEMBERS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6"/>
          <w:szCs w:val="16"/>
          <w:u w:val="single" w:color="auto"/>
          <w:color w:val="auto"/>
        </w:rPr>
        <w:t>David W. Meline</w:t>
      </w:r>
      <w:r>
        <w:rPr>
          <w:rFonts w:ascii="Times New Roman" w:cs="Times New Roman" w:eastAsia="Times New Roman" w:hAnsi="Times New Roman"/>
          <w:sz w:val="16"/>
          <w:szCs w:val="16"/>
          <w:color w:val="auto"/>
        </w:rPr>
        <w:t>, agree to accept certain relocation benefits from Amgen on the following terms.</w:t>
      </w:r>
    </w:p>
    <w:p>
      <w:pPr>
        <w:spacing w:after="0" w:line="73"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relocation benefits to be provided to me are outlined in the Amgen Relocation Policy that applies to staff members at my Global Career Framework (“GCF”) level.</w:t>
      </w:r>
    </w:p>
    <w:p>
      <w:pPr>
        <w:spacing w:after="0" w:line="6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will obtain relocation benefits from Amgen by following the procedures outlined in the Amgen Relocation Policy that applies to staff members at my GCF level.</w:t>
      </w:r>
    </w:p>
    <w:p>
      <w:pPr>
        <w:spacing w:after="0" w:line="63" w:lineRule="exact"/>
        <w:rPr>
          <w:rFonts w:ascii="Times New Roman" w:cs="Times New Roman" w:eastAsia="Times New Roman" w:hAnsi="Times New Roman"/>
          <w:sz w:val="18"/>
          <w:szCs w:val="18"/>
          <w:color w:val="auto"/>
        </w:rPr>
      </w:pPr>
    </w:p>
    <w:p>
      <w:pPr>
        <w:jc w:val="both"/>
        <w:ind w:left="340" w:right="2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understand that I may obtain an estimate of my relocation costs from Amgen/Amgen’s third-party relocation vendor and that the actual cost of my relocation may be more or less than the estimate I am provided. I further understand that I can obtain detailed information about the actual services and costs being incurred during my relocation by contacting Amgen or Amgen’s third-party relocation vendor.</w:t>
      </w:r>
    </w:p>
    <w:p>
      <w:pPr>
        <w:spacing w:after="0" w:line="29"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relocation benefits are to facilitate my move as a result of my decision to accept an offer of employment with Amgen. I acknowledge that the cost of these benefits is not required to be reimbursed to me as a matter of law under California Labor Code section 2802 or any similar statute.</w:t>
      </w:r>
    </w:p>
    <w:p>
      <w:pPr>
        <w:spacing w:after="0" w:line="20"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Amgen provides the relocation benefits with the expectation that I will not in the short term resign my employment. While, as an at-will employee, I am free to resign at any time, I agree to reimburse Amgen for the gross amount of the cost of the relocation benefits (according to the schedule below) if I resign my employment for any reason within 730 days of my start date with Amgen. Upon my resignation, the amount to be reimbursed shall be immediately due and payable by me without further notice or demand. The schedule for reimbursement is as follows:</w:t>
      </w:r>
    </w:p>
    <w:p>
      <w:pPr>
        <w:spacing w:after="0" w:line="145" w:lineRule="exact"/>
        <w:rPr>
          <w:sz w:val="20"/>
          <w:szCs w:val="20"/>
          <w:color w:val="auto"/>
        </w:rPr>
      </w:pPr>
    </w:p>
    <w:tbl>
      <w:tblPr>
        <w:tblLayout w:type="fixed"/>
        <w:tblInd w:w="910" w:type="dxa"/>
        <w:tblCellMar>
          <w:top w:w="0" w:type="dxa"/>
          <w:left w:w="0" w:type="dxa"/>
          <w:bottom w:w="0" w:type="dxa"/>
          <w:right w:w="0" w:type="dxa"/>
        </w:tblCellMar>
      </w:tblPr>
      <w:tr>
        <w:trPr>
          <w:trHeight w:val="243"/>
        </w:trPr>
        <w:tc>
          <w:tcPr>
            <w:tcW w:w="4460" w:type="dxa"/>
            <w:vAlign w:val="bottom"/>
            <w:tcBorders>
              <w:top w:val="single" w:sz="8" w:color="808080"/>
              <w:left w:val="single" w:sz="8" w:color="808080"/>
              <w:right w:val="single" w:sz="8" w:color="C0C0C0"/>
            </w:tcBorders>
          </w:tcPr>
          <w:p>
            <w:pPr>
              <w:spacing w:after="0"/>
              <w:rPr>
                <w:sz w:val="21"/>
                <w:szCs w:val="21"/>
                <w:color w:val="auto"/>
              </w:rPr>
            </w:pPr>
          </w:p>
        </w:tc>
        <w:tc>
          <w:tcPr>
            <w:tcW w:w="5180" w:type="dxa"/>
            <w:vAlign w:val="bottom"/>
            <w:tcBorders>
              <w:top w:val="single" w:sz="8" w:color="808080"/>
              <w:right w:val="single" w:sz="8" w:color="808080"/>
            </w:tcBorders>
          </w:tcPr>
          <w:p>
            <w:pPr>
              <w:ind w:left="20"/>
              <w:spacing w:after="0"/>
              <w:rPr>
                <w:sz w:val="20"/>
                <w:szCs w:val="20"/>
                <w:color w:val="auto"/>
              </w:rPr>
            </w:pPr>
            <w:r>
              <w:rPr>
                <w:rFonts w:ascii="Times New Roman" w:cs="Times New Roman" w:eastAsia="Times New Roman" w:hAnsi="Times New Roman"/>
                <w:sz w:val="16"/>
                <w:szCs w:val="16"/>
                <w:color w:val="auto"/>
              </w:rPr>
              <w:t>% of Gross Cost of Relocation Benefits to be</w:t>
            </w:r>
          </w:p>
        </w:tc>
      </w:tr>
      <w:tr>
        <w:trPr>
          <w:trHeight w:val="210"/>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Days Since Start Date</w:t>
            </w:r>
          </w:p>
        </w:tc>
        <w:tc>
          <w:tcPr>
            <w:tcW w:w="5180" w:type="dxa"/>
            <w:vAlign w:val="bottom"/>
            <w:tcBorders>
              <w:right w:val="single" w:sz="8" w:color="808080"/>
            </w:tcBorders>
          </w:tcPr>
          <w:p>
            <w:pPr>
              <w:ind w:left="20"/>
              <w:spacing w:after="0"/>
              <w:rPr>
                <w:sz w:val="20"/>
                <w:szCs w:val="20"/>
                <w:color w:val="auto"/>
              </w:rPr>
            </w:pPr>
            <w:r>
              <w:rPr>
                <w:rFonts w:ascii="Times New Roman" w:cs="Times New Roman" w:eastAsia="Times New Roman" w:hAnsi="Times New Roman"/>
                <w:sz w:val="16"/>
                <w:szCs w:val="16"/>
                <w:color w:val="auto"/>
              </w:rPr>
              <w:t>Reimbursed to Amgen</w:t>
            </w:r>
          </w:p>
        </w:tc>
      </w:tr>
      <w:tr>
        <w:trPr>
          <w:trHeight w:val="33"/>
        </w:trPr>
        <w:tc>
          <w:tcPr>
            <w:tcW w:w="4460" w:type="dxa"/>
            <w:vAlign w:val="bottom"/>
            <w:tcBorders>
              <w:left w:val="single" w:sz="8" w:color="808080"/>
              <w:bottom w:val="single" w:sz="8" w:color="808080"/>
              <w:right w:val="single" w:sz="8" w:color="C0C0C0"/>
            </w:tcBorders>
          </w:tcPr>
          <w:p>
            <w:pPr>
              <w:spacing w:after="0"/>
              <w:rPr>
                <w:sz w:val="2"/>
                <w:szCs w:val="2"/>
                <w:color w:val="auto"/>
              </w:rPr>
            </w:pPr>
          </w:p>
        </w:tc>
        <w:tc>
          <w:tcPr>
            <w:tcW w:w="5180" w:type="dxa"/>
            <w:vAlign w:val="bottom"/>
            <w:tcBorders>
              <w:bottom w:val="single" w:sz="8" w:color="808080"/>
              <w:right w:val="single" w:sz="8" w:color="808080"/>
            </w:tcBorders>
          </w:tcPr>
          <w:p>
            <w:pPr>
              <w:spacing w:after="0"/>
              <w:rPr>
                <w:sz w:val="2"/>
                <w:szCs w:val="2"/>
                <w:color w:val="auto"/>
              </w:rPr>
            </w:pPr>
          </w:p>
        </w:tc>
      </w:tr>
      <w:tr>
        <w:trPr>
          <w:trHeight w:val="217"/>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0 to 365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100 %</w:t>
            </w:r>
          </w:p>
        </w:tc>
      </w:tr>
      <w:tr>
        <w:trPr>
          <w:trHeight w:val="257"/>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366- 450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75 %</w:t>
            </w:r>
          </w:p>
        </w:tc>
      </w:tr>
      <w:tr>
        <w:trPr>
          <w:trHeight w:val="257"/>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451 - 540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50 %</w:t>
            </w:r>
          </w:p>
        </w:tc>
      </w:tr>
      <w:tr>
        <w:trPr>
          <w:trHeight w:val="257"/>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541 - 730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25 %</w:t>
            </w:r>
          </w:p>
        </w:tc>
      </w:tr>
      <w:tr>
        <w:trPr>
          <w:trHeight w:val="290"/>
        </w:trPr>
        <w:tc>
          <w:tcPr>
            <w:tcW w:w="4460" w:type="dxa"/>
            <w:vAlign w:val="bottom"/>
            <w:tcBorders>
              <w:left w:val="single" w:sz="8" w:color="808080"/>
              <w:right w:val="single" w:sz="8" w:color="C0C0C0"/>
            </w:tcBorders>
          </w:tcPr>
          <w:p>
            <w:pPr>
              <w:ind w:left="40"/>
              <w:spacing w:after="0"/>
              <w:rPr>
                <w:sz w:val="20"/>
                <w:szCs w:val="20"/>
                <w:color w:val="auto"/>
              </w:rPr>
            </w:pPr>
            <w:r>
              <w:rPr>
                <w:rFonts w:ascii="Times New Roman" w:cs="Times New Roman" w:eastAsia="Times New Roman" w:hAnsi="Times New Roman"/>
                <w:sz w:val="16"/>
                <w:szCs w:val="16"/>
                <w:color w:val="auto"/>
              </w:rPr>
              <w:t>Over 730 days</w:t>
            </w:r>
          </w:p>
        </w:tc>
        <w:tc>
          <w:tcPr>
            <w:tcW w:w="5180" w:type="dxa"/>
            <w:vAlign w:val="bottom"/>
            <w:tcBorders>
              <w:right w:val="single" w:sz="8" w:color="808080"/>
            </w:tcBorders>
          </w:tcPr>
          <w:p>
            <w:pPr>
              <w:jc w:val="right"/>
              <w:ind w:right="4659"/>
              <w:spacing w:after="0"/>
              <w:rPr>
                <w:sz w:val="20"/>
                <w:szCs w:val="20"/>
                <w:color w:val="auto"/>
              </w:rPr>
            </w:pPr>
            <w:r>
              <w:rPr>
                <w:rFonts w:ascii="Times New Roman" w:cs="Times New Roman" w:eastAsia="Times New Roman" w:hAnsi="Times New Roman"/>
                <w:sz w:val="16"/>
                <w:szCs w:val="16"/>
                <w:color w:val="auto"/>
              </w:rPr>
              <w:t>0 %</w:t>
            </w:r>
          </w:p>
        </w:tc>
      </w:tr>
      <w:tr>
        <w:trPr>
          <w:trHeight w:val="27"/>
        </w:trPr>
        <w:tc>
          <w:tcPr>
            <w:tcW w:w="4460" w:type="dxa"/>
            <w:vAlign w:val="bottom"/>
            <w:tcBorders>
              <w:left w:val="single" w:sz="8" w:color="808080"/>
              <w:right w:val="single" w:sz="8" w:color="808080"/>
            </w:tcBorders>
            <w:shd w:val="clear" w:color="auto" w:fill="808080"/>
          </w:tcPr>
          <w:p>
            <w:pPr>
              <w:spacing w:after="0"/>
              <w:rPr>
                <w:sz w:val="2"/>
                <w:szCs w:val="2"/>
                <w:color w:val="auto"/>
              </w:rPr>
            </w:pPr>
          </w:p>
        </w:tc>
        <w:tc>
          <w:tcPr>
            <w:tcW w:w="5180" w:type="dxa"/>
            <w:vAlign w:val="bottom"/>
            <w:tcBorders>
              <w:right w:val="single" w:sz="8" w:color="808080"/>
            </w:tcBorders>
            <w:shd w:val="clear" w:color="auto" w:fill="808080"/>
          </w:tcPr>
          <w:p>
            <w:pPr>
              <w:spacing w:after="0"/>
              <w:rPr>
                <w:sz w:val="2"/>
                <w:szCs w:val="2"/>
                <w:color w:val="auto"/>
              </w:rPr>
            </w:pPr>
          </w:p>
        </w:tc>
      </w:tr>
    </w:tbl>
    <w:p>
      <w:pPr>
        <w:spacing w:after="0" w:line="216" w:lineRule="exact"/>
        <w:rPr>
          <w:sz w:val="20"/>
          <w:szCs w:val="20"/>
          <w:color w:val="auto"/>
        </w:rPr>
      </w:pPr>
    </w:p>
    <w:p>
      <w:pPr>
        <w:ind w:left="340" w:hanging="332"/>
        <w:spacing w:after="0" w:line="28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understand that Amgen will report to federal and state taxing agencies all income that Amgen considers to be subject to taxation. I understand that it is my obligation to declare all income and pay all taxes owed on such income, if any.</w:t>
      </w:r>
    </w:p>
    <w:p>
      <w:pPr>
        <w:spacing w:after="0" w:line="20"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the event that I fail to make a reimbursement required by this agreement and Amgen initiates proceedings to recover such reimbursement, the prevailing party in such a suit shall be awarded its reasonable costs and attorney’s fees.</w:t>
      </w:r>
    </w:p>
    <w:p>
      <w:pPr>
        <w:spacing w:after="0" w:line="2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 understand that this agreement shall be governed by the law of the State of California.</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Nothing in this agreement will be construed as an employment contract or to guarantee me employment at Amgen for any fixed term. I understand that my employment at Amgen is at will. Nor does this agreement guarantee me reimbursement of any particular relocation expenses. I understand that reimbursement is governed by the Amgen Relocation Policy and that I must comply with the procedures in that policy.</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provisions of this agreement are severable. If any part is found to be unenforceable, all other provisions shall remain fully valid and enforceable.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 agree:</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Amgen Inc:</w:t>
            </w:r>
          </w:p>
        </w:tc>
      </w:tr>
      <w:tr>
        <w:trPr>
          <w:trHeight w:val="594"/>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 David W. Meline</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 Stuart R. Tross, Ph.D.</w:t>
            </w:r>
          </w:p>
        </w:tc>
      </w:tr>
      <w:tr>
        <w:trPr>
          <w:trHeight w:val="33"/>
        </w:trPr>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Signature of Staff Member</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Signature of Authorized Representative</w:t>
            </w:r>
          </w:p>
        </w:tc>
      </w:tr>
      <w:tr>
        <w:trPr>
          <w:trHeight w:val="594"/>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David W. Meline</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 of Human Resources</w:t>
            </w:r>
          </w:p>
        </w:tc>
      </w:tr>
      <w:tr>
        <w:trPr>
          <w:trHeight w:val="33"/>
        </w:trPr>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Print Name of Staff Member</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Title of Representative</w:t>
            </w:r>
          </w:p>
        </w:tc>
      </w:tr>
      <w:tr>
        <w:trPr>
          <w:trHeight w:val="594"/>
        </w:trPr>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June 9, 2014</w:t>
            </w:r>
          </w:p>
        </w:tc>
      </w:tr>
      <w:tr>
        <w:trPr>
          <w:trHeight w:val="33"/>
        </w:trPr>
        <w:tc>
          <w:tcPr>
            <w:tcW w:w="8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Last 4 Digits of Social Security Number (For Identification Purposes)</w:t>
            </w:r>
          </w:p>
        </w:tc>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w:t>
            </w:r>
          </w:p>
        </w:tc>
      </w:tr>
      <w:tr>
        <w:trPr>
          <w:trHeight w:val="270"/>
        </w:trPr>
        <w:tc>
          <w:tcPr>
            <w:tcW w:w="6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Last 4 Digits of Government ID (If No Social Security Number)</w:t>
            </w:r>
          </w:p>
        </w:tc>
        <w:tc>
          <w:tcPr>
            <w:tcW w:w="3780" w:type="dxa"/>
            <w:vAlign w:val="bottom"/>
          </w:tcPr>
          <w:p>
            <w:pPr>
              <w:spacing w:after="0"/>
              <w:rPr>
                <w:sz w:val="23"/>
                <w:szCs w:val="23"/>
                <w:color w:val="auto"/>
              </w:rPr>
            </w:pPr>
          </w:p>
        </w:tc>
      </w:tr>
      <w:tr>
        <w:trPr>
          <w:trHeight w:val="398"/>
        </w:trPr>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21 July 2014_____________________</w:t>
            </w:r>
          </w:p>
        </w:tc>
        <w:tc>
          <w:tcPr>
            <w:tcW w:w="3780" w:type="dxa"/>
            <w:vAlign w:val="bottom"/>
          </w:tcPr>
          <w:p>
            <w:pPr>
              <w:spacing w:after="0"/>
              <w:rPr>
                <w:sz w:val="24"/>
                <w:szCs w:val="24"/>
                <w:color w:val="auto"/>
              </w:rPr>
            </w:pPr>
          </w:p>
        </w:tc>
      </w:tr>
      <w:tr>
        <w:trPr>
          <w:trHeight w:val="217"/>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Date</w:t>
            </w:r>
          </w:p>
        </w:tc>
        <w:tc>
          <w:tcPr>
            <w:tcW w:w="5440" w:type="dxa"/>
            <w:vAlign w:val="bottom"/>
            <w:gridSpan w:val="2"/>
          </w:tcPr>
          <w:p>
            <w:pPr>
              <w:spacing w:after="0"/>
              <w:rPr>
                <w:sz w:val="18"/>
                <w:szCs w:val="18"/>
                <w:color w:val="auto"/>
              </w:rPr>
            </w:pPr>
          </w:p>
        </w:tc>
        <w:tc>
          <w:tcPr>
            <w:tcW w:w="3780" w:type="dxa"/>
            <w:vAlign w:val="bottom"/>
          </w:tcPr>
          <w:p>
            <w:pPr>
              <w:spacing w:after="0"/>
              <w:rPr>
                <w:sz w:val="18"/>
                <w:szCs w:val="18"/>
                <w:color w:val="auto"/>
              </w:rPr>
            </w:pPr>
          </w:p>
        </w:tc>
      </w:tr>
    </w:tbl>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56"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Bradway, Chairman of the Board, Chief Executive Officer and President of Amgen Inc., certify that:</w:t>
      </w:r>
    </w:p>
    <w:p>
      <w:pPr>
        <w:spacing w:after="0" w:line="144"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Amgen Inc.;</w:t>
      </w:r>
    </w:p>
    <w:p>
      <w:pPr>
        <w:spacing w:after="0" w:line="144"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9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0"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80"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29, 2014</w:t>
      </w:r>
      <w:r>
        <w:rPr>
          <w:sz w:val="20"/>
          <w:szCs w:val="20"/>
          <w:color w:val="auto"/>
        </w:rPr>
        <w:tab/>
      </w:r>
      <w:r>
        <w:rPr>
          <w:rFonts w:ascii="Times New Roman" w:cs="Times New Roman" w:eastAsia="Times New Roman" w:hAnsi="Times New Roman"/>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A. Bradway</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3" w:name="page54"/>
    <w:bookmarkEnd w:id="53"/>
    <w:p>
      <w:pPr>
        <w:ind w:left="49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W. Meline, Executive Vice President and Chief Financial Officer of Amgen Inc., certify that:</w:t>
      </w:r>
    </w:p>
    <w:p>
      <w:pPr>
        <w:spacing w:after="0" w:line="144"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Amgen Inc.;</w:t>
      </w:r>
    </w:p>
    <w:p>
      <w:pPr>
        <w:spacing w:after="0" w:line="144"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95"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0"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80"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October 29, 2014</w:t>
      </w:r>
      <w:r>
        <w:rPr>
          <w:sz w:val="20"/>
          <w:szCs w:val="20"/>
          <w:color w:val="auto"/>
        </w:rPr>
        <w:tab/>
      </w:r>
      <w:r>
        <w:rPr>
          <w:rFonts w:ascii="Times New Roman" w:cs="Times New Roman" w:eastAsia="Times New Roman" w:hAnsi="Times New Roman"/>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David W. Meline</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26" w:lineRule="exact"/>
        <w:rPr>
          <w:sz w:val="20"/>
          <w:szCs w:val="20"/>
          <w:color w:val="auto"/>
        </w:rPr>
      </w:pPr>
    </w:p>
    <w:p>
      <w:pPr>
        <w:ind w:left="740" w:hanging="327"/>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September 30, 2014 (the “Report”) fully complies with the requirements of Section 13(a) or Section 15(d), as applicable, of the Securities Exchange Act of 1934, as amended; and</w:t>
      </w:r>
    </w:p>
    <w:p>
      <w:pPr>
        <w:spacing w:after="0" w:line="8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06" w:lineRule="exact"/>
        <w:rPr>
          <w:sz w:val="20"/>
          <w:szCs w:val="20"/>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18"/>
          <w:szCs w:val="18"/>
          <w:color w:val="auto"/>
        </w:rPr>
        <w:t>Dated: October 29, 2014</w:t>
      </w:r>
      <w:r>
        <w:rPr>
          <w:sz w:val="20"/>
          <w:szCs w:val="20"/>
          <w:color w:val="auto"/>
        </w:rPr>
        <w:tab/>
      </w:r>
      <w:r>
        <w:rPr>
          <w:rFonts w:ascii="Times New Roman" w:cs="Times New Roman" w:eastAsia="Times New Roman" w:hAnsi="Times New Roman"/>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Robert A. Bradway</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Amgen Inc.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that:</w:t>
      </w:r>
    </w:p>
    <w:p>
      <w:pPr>
        <w:spacing w:after="0" w:line="126" w:lineRule="exact"/>
        <w:rPr>
          <w:sz w:val="20"/>
          <w:szCs w:val="20"/>
          <w:color w:val="auto"/>
        </w:rPr>
      </w:pPr>
    </w:p>
    <w:p>
      <w:pPr>
        <w:ind w:left="740" w:hanging="327"/>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September 30, 2014 (the “Report”) fully complies with the requirements of Section 13(a) or Section 15(d), as applicable, of the Securities Exchange Act of 1934, as amended; and</w:t>
      </w:r>
    </w:p>
    <w:p>
      <w:pPr>
        <w:spacing w:after="0" w:line="8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06" w:lineRule="exact"/>
        <w:rPr>
          <w:sz w:val="20"/>
          <w:szCs w:val="20"/>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18"/>
          <w:szCs w:val="18"/>
          <w:color w:val="auto"/>
        </w:rPr>
        <w:t>Dated: October 29, 2014</w:t>
      </w:r>
      <w:r>
        <w:rPr>
          <w:sz w:val="20"/>
          <w:szCs w:val="20"/>
          <w:color w:val="auto"/>
        </w:rPr>
        <w:tab/>
      </w:r>
      <w:r>
        <w:rPr>
          <w:rFonts w:ascii="Times New Roman" w:cs="Times New Roman" w:eastAsia="Times New Roman" w:hAnsi="Times New Roman"/>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David W. Meline</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7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upperLetter"/>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lvl w:ilvl="1">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6"/>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2019-12-05T16:58:28Z</dcterms:created>
  <dcterms:modified xsi:type="dcterms:W3CDTF">2019-12-05T16:58:28Z</dcterms:modified>
</cp:coreProperties>
</file>