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ISHRAK OMAR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AMGEN CENTER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THOUSAND OAKS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91320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AMGEN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AMGN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42"/>
        <w:gridCol w:w="903"/>
        <w:gridCol w:w="773"/>
        <w:gridCol w:w="599"/>
        <w:gridCol w:w="344"/>
        <w:gridCol w:w="1007"/>
        <w:gridCol w:w="441"/>
        <w:gridCol w:w="604"/>
        <w:gridCol w:w="1395"/>
        <w:gridCol w:w="981"/>
        <w:gridCol w:w="91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4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4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9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4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85.1685</w:t>
            </w:r>
          </w:p>
        </w:tc>
        <w:tc>
          <w:tcPr>
            <w:tcW w:w="4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3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7,485.9046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include 460 Dividend Equivalents (DEs) granted pursuant to the Amgen Inc. Second Amended and Restated 2009 Equity Incentive Plan and subject to a qualifying dividend reinvestment plan. DEs are credited to the reporting person's unvested Restricted Stock Units and are paid out in shares of the Company's common stock on a one-to-one basis according to the vesting schedule, along with a cash payment for any remaining fractional share amount.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S. Omar Ishrak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23102" TargetMode="External"/><Relationship Id="rId5" Type="http://schemas.openxmlformats.org/officeDocument/2006/relationships/hyperlink" Target="http://www.sec.gov/cgi-bin/browse-edgar?action=getcompany&amp;CIK=000031815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631</Words>
  <Characters>3415</Characters>
  <CharactersWithSpaces>3980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