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95-3540776</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One Amgen Center Drive</w:t>
      </w:r>
    </w:p>
    <w:p>
      <w:pPr>
        <w:spacing w:after="0" w:line="50"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Thousand Oaks</w:t>
      </w:r>
    </w:p>
    <w:p>
      <w:pPr>
        <w:spacing w:after="0" w:line="9"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38" w:orient="portrait"/>
          <w:cols w:equalWidth="0" w:num="2">
            <w:col w:w="7160" w:space="720"/>
            <w:col w:w="3140"/>
          </w:cols>
          <w:pgMar w:left="440" w:top="368" w:right="43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60" w:space="720"/>
            <w:col w:w="304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(805) 447-1000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AMGN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1.250% Senior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AMGN22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2.000% Senior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AMGN26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0"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On August 13, 2020, Amgen Inc. (the “Company”) issued a press release announcing the early results of its previously announced private offers to exchange certain outstanding debt securities of the Company for a combination of a cash payment and new debt securities of the Company (the “Exchange Offers”). A copy of the press release is attached as Exhibit 99.1 to this report and is incorporated herein by reference.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13, 2020, the Company also issued a press release announcing (i) the pricing terms of the Exchange Offers, (ii) increase of the cap on the aggregate principal amount of new debt securities to be issued in the Exchanges Offers from $800,000,000 to $940,000,000 and (iii) the Company’s acceptance of outstanding debt securities tendered in the Exchange Offers. A copy of the press release is attached as Exhibit 99.2 to this report and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57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71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13, 2020.</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712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Press Release dated August 13, 2020.</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w w:val="90"/>
              </w:rPr>
              <w:t>Cover Page Interactive File (the cover page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720"/>
          </w:cols>
          <w:pgMar w:left="440" w:top="297"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AMGEN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13, 2020</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G. Claeys</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Justin G. Claeys</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 Finance and Treasurer</w:t>
            </w:r>
          </w:p>
        </w:tc>
      </w:tr>
    </w:tbl>
    <w:p>
      <w:pPr>
        <w:sectPr>
          <w:pgSz w:w="11900" w:h="16838" w:orient="portrait"/>
          <w:cols w:equalWidth="0" w:num="1">
            <w:col w:w="11020"/>
          </w:cols>
          <w:pgMar w:left="440" w:top="297"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One Amgen Center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3990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9900" cy="59182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Thousand Oaks, CA 91320-1799</w:t>
      </w:r>
    </w:p>
    <w:p>
      <w:pPr>
        <w:spacing w:after="0" w:line="32"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Telephone 805-447-1000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www.Amgen.com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ANNOUNCES EARLY TENDER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SENIOR NOTES EXCHANGE OFFERS</w:t>
      </w: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THOUSAND OAKS, Calif. (August 13, 2020) – Amgen Inc. (NASDAQ:AMGN) announced today the early tender results of its previously announced nine separate private offers to exchange (each, an “Exchange Offer” and, collectively, the “Exchange Offers”) certain specified series of its outstanding senior notes (collectively, the “Old Notes”) for a combination of a cash payment and new Senior Notes due 2053 (the “New Notes”).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Offers consist of the following:</w:t>
      </w:r>
    </w:p>
    <w:p>
      <w:pPr>
        <w:spacing w:after="0" w:line="117" w:lineRule="exact"/>
        <w:rPr>
          <w:sz w:val="20"/>
          <w:szCs w:val="20"/>
          <w:color w:val="auto"/>
        </w:rPr>
      </w:pPr>
    </w:p>
    <w:p>
      <w:pPr>
        <w:ind w:left="680" w:hanging="24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6.90% Senior Notes due 2038;</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6.375% Senior Notes due 2037;</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6.40% Senior Notes due 2039;</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5.75% Senior Notes due 2040;</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5.65% Senior Notes due 2042;</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5.375% Senior Notes due 2043;</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5.15% Senior Notes due 2041;</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4.95% Senior Notes due 2041; and</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offer to exchange the 4.40% Senior Notes due 2045;</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each case, for a combination of a cash payment and New Notes, provided that the aggregate principal amount of New Notes to be issued in the Exchange Offers shall not exceed $800,000,000 (such amount, the “Maximum Notes Exchange Cap”). In addition, the aggregate amount of the New Notes Premium (as defined in the Confidential Offering Circular (as defined herein)) resulting from the Exchange Offers shall not exceed $350,000,000 (such amount, the “Maximum New Notes Premium Cap”).</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Exchange Offers are being conducted by Amgen upon the terms and subject to the conditions set forth in a confidential offering circular, dated July 30, 2020 (the “Confidential Offering Circular”). The Exchange Offers are only intended for, and copies of the offering documents will only be made available to, holders of outstanding Old Notes that have certified their status as (1) a “Qualified Institutional Buyer” as defined in Rule 144A under the Securities Act of 1933, as amended (the “Securities Act”), in a private transaction in reliance upon the exemption from the registration requirements of the Securities Act provided by Section 4(a)(2) thereof, or (2) (A) a person other than a “U.S. person” (as defined in Rule 902 of Regulation S under the Securities Act), outside the United States not purchasing for the account or benefit of a U.S. person, (B) acquiring the New Notes in an offshore transaction in accordance with Regulation S under the Securities Act and (C) otherwise a Non-U.S. Qualified Offeree (as described in the Confidential Offering Circular) (each such holder, an “Exchange Eligible Holder” and, collectively, the “Exchange Eligible Holders”).</w:t>
      </w:r>
    </w:p>
    <w:p>
      <w:pPr>
        <w:sectPr>
          <w:pgSz w:w="11900" w:h="16838" w:orient="portrait"/>
          <w:cols w:equalWidth="0" w:num="1">
            <w:col w:w="11020"/>
          </w:cols>
          <w:pgMar w:left="440" w:top="121" w:right="439" w:bottom="1440" w:gutter="0" w:footer="0" w:header="0"/>
        </w:sectPr>
      </w:pPr>
    </w:p>
    <w:bookmarkStart w:id="4" w:name="page5"/>
    <w:bookmarkEnd w:id="4"/>
    <w:p>
      <w:pPr>
        <w:ind w:right="3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EARLY TENDER RESULTS OF SENIOR NOTES EXCHANGE OFFERS PAGE 2</w:t>
      </w:r>
    </w:p>
    <w:p>
      <w:pPr>
        <w:spacing w:after="0" w:line="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Documents relating to the Exchange Offers have been and will be distributed only to holders of the outstanding Old Notes that have completed or will complete and have returned or will return the letter of eligibility confirming that they are Exchange Eligible Holders. Holders of the outstanding Old Notes that desire to review the eligibility letter may visit the website for this purpose at </w:t>
      </w:r>
      <w:r>
        <w:rPr>
          <w:rFonts w:ascii="Arial" w:cs="Arial" w:eastAsia="Arial" w:hAnsi="Arial"/>
          <w:sz w:val="18"/>
          <w:szCs w:val="18"/>
          <w:b w:val="1"/>
          <w:bCs w:val="1"/>
          <w:u w:val="single" w:color="auto"/>
          <w:color w:val="auto"/>
        </w:rPr>
        <w:t>http://www.dfking.com/amgn</w:t>
      </w:r>
      <w:r>
        <w:rPr>
          <w:rFonts w:ascii="Arial" w:cs="Arial" w:eastAsia="Arial" w:hAnsi="Arial"/>
          <w:sz w:val="18"/>
          <w:szCs w:val="18"/>
          <w:color w:val="auto"/>
        </w:rPr>
        <w:t xml:space="preserve"> or contact D.F. King &amp; Co., Inc. (“D.F. King”), the exchange agent and information agent for the Exchange Offers, by calling toll-free (800) 814-8954 or at (212) 269-5550 (banks and brokerage firms) or by email at amgen@dfking.com.</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information provided by D.F. King, the following aggregate principal amount of each series of Old Notes was validly tendered and not validly withdrawn at or prior to the Early Participation Date (as defined herein) pursuant to the Exchange Offers: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Acceptance Priority</w:t>
            </w:r>
          </w:p>
        </w:tc>
        <w:tc>
          <w:tcPr>
            <w:tcW w:w="360" w:type="dxa"/>
            <w:vAlign w:val="bottom"/>
          </w:tcPr>
          <w:p>
            <w:pPr>
              <w:spacing w:after="0"/>
              <w:rPr>
                <w:sz w:val="14"/>
                <w:szCs w:val="1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8"/>
        </w:trPr>
        <w:tc>
          <w:tcPr>
            <w:tcW w:w="3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CUSIP/ISIN Number</w:t>
            </w:r>
          </w:p>
        </w:tc>
        <w:tc>
          <w:tcPr>
            <w:tcW w:w="3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Old Notes</w:t>
            </w:r>
          </w:p>
        </w:tc>
        <w:tc>
          <w:tcPr>
            <w:tcW w:w="12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Tendered by the Early</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Participation Date</w:t>
            </w:r>
          </w:p>
        </w:tc>
        <w:tc>
          <w:tcPr>
            <w:tcW w:w="0" w:type="dxa"/>
            <w:vAlign w:val="bottom"/>
          </w:tcPr>
          <w:p>
            <w:pPr>
              <w:spacing w:after="0"/>
              <w:rPr>
                <w:sz w:val="1"/>
                <w:szCs w:val="1"/>
                <w:color w:val="auto"/>
              </w:rPr>
            </w:pPr>
          </w:p>
        </w:tc>
      </w:tr>
      <w:tr>
        <w:trPr>
          <w:trHeight w:val="195"/>
        </w:trPr>
        <w:tc>
          <w:tcPr>
            <w:tcW w:w="3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031162AY6/</w:t>
            </w:r>
          </w:p>
        </w:tc>
        <w:tc>
          <w:tcPr>
            <w:tcW w:w="360" w:type="dxa"/>
            <w:vAlign w:val="bottom"/>
            <w:tcBorders>
              <w:top w:val="single" w:sz="8" w:color="CCEEFF"/>
            </w:tcBorders>
            <w:shd w:val="clear" w:color="auto" w:fill="CCEEFF"/>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US031162AY66</w:t>
            </w:r>
          </w:p>
        </w:tc>
        <w:tc>
          <w:tcPr>
            <w:tcW w:w="3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6.90% Senior Notes due 2038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290,616,000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37,335,000</w:t>
            </w:r>
          </w:p>
        </w:tc>
        <w:tc>
          <w:tcPr>
            <w:tcW w:w="0" w:type="dxa"/>
            <w:vAlign w:val="bottom"/>
          </w:tcPr>
          <w:p>
            <w:pPr>
              <w:spacing w:after="0"/>
              <w:rPr>
                <w:sz w:val="1"/>
                <w:szCs w:val="1"/>
                <w:color w:val="auto"/>
              </w:rPr>
            </w:pPr>
          </w:p>
        </w:tc>
      </w:tr>
      <w:tr>
        <w:trPr>
          <w:trHeight w:val="202"/>
        </w:trPr>
        <w:tc>
          <w:tcPr>
            <w:tcW w:w="34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2"/>
              </w:rPr>
              <w:t>031162AW0/</w:t>
            </w:r>
          </w:p>
        </w:tc>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US031162AW01</w:t>
            </w:r>
          </w:p>
        </w:tc>
        <w:tc>
          <w:tcPr>
            <w:tcW w:w="30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6.375% Senior Notes due 2037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552,410,000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73,531,000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2"/>
              </w:rPr>
              <w:t>031162BA7/</w:t>
            </w:r>
          </w:p>
        </w:tc>
        <w:tc>
          <w:tcPr>
            <w:tcW w:w="2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US031162BA71</w:t>
            </w:r>
          </w:p>
        </w:tc>
        <w:tc>
          <w:tcPr>
            <w:tcW w:w="3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6.40% Senior Notes due 2039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466,320,000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133,310,000</w:t>
            </w:r>
          </w:p>
        </w:tc>
        <w:tc>
          <w:tcPr>
            <w:tcW w:w="0" w:type="dxa"/>
            <w:vAlign w:val="bottom"/>
          </w:tcPr>
          <w:p>
            <w:pPr>
              <w:spacing w:after="0"/>
              <w:rPr>
                <w:sz w:val="1"/>
                <w:szCs w:val="1"/>
                <w:color w:val="auto"/>
              </w:rPr>
            </w:pPr>
          </w:p>
        </w:tc>
      </w:tr>
      <w:tr>
        <w:trPr>
          <w:trHeight w:val="202"/>
        </w:trPr>
        <w:tc>
          <w:tcPr>
            <w:tcW w:w="34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9"/>
              </w:rPr>
              <w:t>031162BC3/</w:t>
            </w:r>
          </w:p>
        </w:tc>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US031162BC38</w:t>
            </w:r>
          </w:p>
        </w:tc>
        <w:tc>
          <w:tcPr>
            <w:tcW w:w="3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5.75% Senior Notes due 2040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412,120,000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39,022,000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1"/>
              </w:rPr>
              <w:t>031162BH2/</w:t>
            </w:r>
          </w:p>
        </w:tc>
        <w:tc>
          <w:tcPr>
            <w:tcW w:w="2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US031162BH25</w:t>
            </w:r>
          </w:p>
        </w:tc>
        <w:tc>
          <w:tcPr>
            <w:tcW w:w="3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5.65% Senior Notes due 2042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487,020,000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71,602,000</w:t>
            </w:r>
          </w:p>
        </w:tc>
        <w:tc>
          <w:tcPr>
            <w:tcW w:w="0" w:type="dxa"/>
            <w:vAlign w:val="bottom"/>
          </w:tcPr>
          <w:p>
            <w:pPr>
              <w:spacing w:after="0"/>
              <w:rPr>
                <w:sz w:val="1"/>
                <w:szCs w:val="1"/>
                <w:color w:val="auto"/>
              </w:rPr>
            </w:pPr>
          </w:p>
        </w:tc>
      </w:tr>
      <w:tr>
        <w:trPr>
          <w:trHeight w:val="202"/>
        </w:trPr>
        <w:tc>
          <w:tcPr>
            <w:tcW w:w="34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0"/>
              </w:rPr>
              <w:t>031162BP4/</w:t>
            </w:r>
          </w:p>
        </w:tc>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US031162BP41</w:t>
            </w:r>
          </w:p>
        </w:tc>
        <w:tc>
          <w:tcPr>
            <w:tcW w:w="30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5.375% Senior Notes due 2043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261,077,000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76,199,000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2"/>
              </w:rPr>
              <w:t>031162BK5/</w:t>
            </w:r>
          </w:p>
        </w:tc>
        <w:tc>
          <w:tcPr>
            <w:tcW w:w="2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US031162BK53</w:t>
            </w:r>
          </w:p>
        </w:tc>
        <w:tc>
          <w:tcPr>
            <w:tcW w:w="3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5.15% Senior Notes due 2041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974,045,000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491,030,000</w:t>
            </w:r>
          </w:p>
        </w:tc>
        <w:tc>
          <w:tcPr>
            <w:tcW w:w="0" w:type="dxa"/>
            <w:vAlign w:val="bottom"/>
          </w:tcPr>
          <w:p>
            <w:pPr>
              <w:spacing w:after="0"/>
              <w:rPr>
                <w:sz w:val="1"/>
                <w:szCs w:val="1"/>
                <w:color w:val="auto"/>
              </w:rPr>
            </w:pPr>
          </w:p>
        </w:tc>
      </w:tr>
      <w:tr>
        <w:trPr>
          <w:trHeight w:val="202"/>
        </w:trPr>
        <w:tc>
          <w:tcPr>
            <w:tcW w:w="34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0"/>
              </w:rPr>
              <w:t>031162BE9/</w:t>
            </w:r>
          </w:p>
        </w:tc>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US031162BE93</w:t>
            </w:r>
          </w:p>
        </w:tc>
        <w:tc>
          <w:tcPr>
            <w:tcW w:w="3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4.95% Senior Notes due 2041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600,000,000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323,794,000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1"/>
              </w:rPr>
              <w:t>031162BZ2/</w:t>
            </w:r>
          </w:p>
        </w:tc>
        <w:tc>
          <w:tcPr>
            <w:tcW w:w="2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US031162BZ23</w:t>
            </w:r>
          </w:p>
        </w:tc>
        <w:tc>
          <w:tcPr>
            <w:tcW w:w="3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4.40% Senior Notes due 2045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2,250,000,000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939,837,000</w:t>
            </w:r>
          </w:p>
        </w:tc>
        <w:tc>
          <w:tcPr>
            <w:tcW w:w="0" w:type="dxa"/>
            <w:vAlign w:val="bottom"/>
          </w:tcPr>
          <w:p>
            <w:pPr>
              <w:spacing w:after="0"/>
              <w:rPr>
                <w:sz w:val="1"/>
                <w:szCs w:val="1"/>
                <w:color w:val="auto"/>
              </w:rPr>
            </w:pPr>
          </w:p>
        </w:tc>
      </w:tr>
      <w:tr>
        <w:trPr>
          <w:trHeight w:val="224"/>
        </w:trPr>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2,185,660,000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terms and conditions of the Exchange Offers, Amgen will accept for exchange the Old Notes of any series validly tendered, and not validly withdrawn, in the Exchange Offers in accordance with the applicable “Acceptance Priority Level” (in numerical priority order) for such series as set forth in the table above (each, an “Acceptance Priority Level”), with Acceptance Priority Level 1 being the highest priority level. Subject to the Maximum Notes Exchange Cap and/or the Maximum New Notes Premium Cap, each series of Old Notes validly tendered in the Exchange Offers that has a higher Acceptance Priority Level will be accepted for exchange before</w:t>
      </w:r>
    </w:p>
    <w:p>
      <w:pPr>
        <w:sectPr>
          <w:pgSz w:w="11900" w:h="16838" w:orient="portrait"/>
          <w:cols w:equalWidth="0" w:num="1">
            <w:col w:w="11020"/>
          </w:cols>
          <w:pgMar w:left="440" w:top="270" w:right="439" w:bottom="1440" w:gutter="0" w:footer="0" w:header="0"/>
        </w:sectPr>
      </w:pPr>
    </w:p>
    <w:bookmarkStart w:id="5" w:name="page6"/>
    <w:bookmarkEnd w:id="5"/>
    <w:p>
      <w:pPr>
        <w:ind w:right="3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EARLY TENDER RESULTS OF SENIOR NOTES EXCHANGE OFFERS PAGE 3</w:t>
      </w:r>
    </w:p>
    <w:p>
      <w:pPr>
        <w:spacing w:after="0" w:line="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series of Old Notes validly tendered in the Exchange Offers that has a lower Acceptance Priority Level. If the remaining available portion of the Maximum Notes Exchange Cap or the Maximum New Notes Premium Cap, as applicable, is not adequate to permit the acceptance for exchange of all of the validly tendered Old Notes of a series having a particular Acceptance Priority Level, Amgen will allocate such available Maximum Notes Exchange Cap or Maximum New Notes Premium Cap, as applicable, among the aggregate principal amount of the validly tendered Old Notes of such series on a pro rata basis, and any series of validly tendered Old Notes having a lower Acceptance Priority Level than at which proration occurs will not be accepted for exchange. As set forth in the Confidential Offering Circular, Amgen may elect, in its sole discretion, to increase the Maximum Notes Exchange Cap and/or the Maximum New Notes Premium Cap, but is under no obligation to do so.</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All Old Notes that are tendered for exchange in the Exchange Offers on or before the Early Participation Date will have priority over Old Notes that are tendered for exchange after the Early Participation Date. If the principal amount of Old Notes validly tendered and not validly withdrawn on or before the Early Participation Date constitutes a principal amount of Old Notes that, if accepted by Amgen, would result in Amgen issuing New Notes having an aggregate principal amount equal to or in excess of the Maximum Notes Exchange Cap, unless Amgen elects, in its sole discretion, to increase the Maximum Notes Exchange Cap, Amgen will not accept any Old Notes tendered for exchange after the Early Participation Date (even if they are of Acceptance Priority Level 1). In addition, if the aggregate amount of the New Notes Premium resulting from Old Notes tendered for exchange in the Exchange Offers on or before the Early Participation Date, and accepted by Amgen, equals or exceeds the Maximum New Notes Premium Cap, unless Amgen elects, in its sole discretion, to increase the Maximum New Notes Premium Cap, Amgen will not accept any Old Notes tendered for exchange after the Early Participation Date (even if they are of Acceptance Priority Level 1).</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withdrawal date (5:00 p.m., New York City time, on August 12, 2020) for the Exchange Offers has now passed. In accordance with the terms of the Exchange Offers, tendered Old Notes may no longer be withdrawn, except in certain limited circumstances where additional withdrawal rights are required by law. The Exchange Offers will expire at 12:00 Midnight, New York City time, at the end of August 26, 2020, unless extended by Amgen (such date and time, as it may be extended, the “Expiration Date”). The prices for the New Notes offered in the Exchange Offers will be determined at 10:00 a.m., New York City time, on August 13, 2020, unless extended by Amgen (such date and time, as it may be extended, the “Price Determination Date”).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Exchange Eligible Holders that validly tendered and did not validly withdraw their Old Notes at or prior to 5:00 p.m., New York City time, on</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August 12, 2020 (the “Early Participation Date”) will be eligible to receive the applicable Total Exchange Price (as defined in the Confidential Offering Circular), which includes an early exchange premium equal to $30.00 in principal amount of New Notes for each $1,000 principal amount of the applicable series of Old Notes validly tendered and not validly withdrawn at or prior to the Early Participation Date and accepted for exchange (the “Early Exchange Premium”). Exchange Eligible Holders of Old Notes who validly tender their Old Notes after the Early Participation Date, but at or prior to the Expiration Date, will be eligible to receive the applicable Exchange Price (as defined in the Confidential Offering Circular), but will not receive the Early Exchange Premium.</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Exchange Price payable by Amgen for each $1,000 principal amount of Old Notes tendered for exchange, and accepted by Amgen, will consist of a combination of cash and a principal amount of New Notes (together, a “Payment Amount”) equal to the applicable Total Exchange Price of the series of Old Notes tendered. The Exchange Prices will be paid in the same manner as the Total Exchange Prices except that the principal amount of New Notes</w:t>
      </w:r>
    </w:p>
    <w:p>
      <w:pPr>
        <w:sectPr>
          <w:pgSz w:w="11900" w:h="16838" w:orient="portrait"/>
          <w:cols w:equalWidth="0" w:num="1">
            <w:col w:w="10940"/>
          </w:cols>
          <w:pgMar w:left="440" w:top="270" w:right="519" w:bottom="1440" w:gutter="0" w:footer="0" w:header="0"/>
        </w:sectPr>
      </w:pPr>
    </w:p>
    <w:bookmarkStart w:id="6" w:name="page7"/>
    <w:bookmarkEnd w:id="6"/>
    <w:p>
      <w:pPr>
        <w:ind w:right="3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AMGEN ANNOUNCES EARLY TENDER RESULTS OF SENIOR NOTES EXCHANGE OFFERS PAGE 4</w:t>
      </w:r>
    </w:p>
    <w:p>
      <w:pPr>
        <w:spacing w:after="0" w:line="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constituting a portion of the Payment Amount will be reduced by the Early Exchange Premium. The Total Exchange Price will be calculated on the Price Determination Date, unless extended by Amgen. Amgen may, at its option, elect to increase or decrease the principal amount of New Notes exchangeable for each $1,000 principal amount of the applicable Old Notes tendered and accepted by up to $100 per $1,000 principal amount. Such adjustments would affect the composition, but not the amount, of the Total Exchange Price and the Exchange Price for such series of Old Notes. Amgen expects any such election to be made as of the Price Determination Date. In addition to the applicable Total Exchange Price or applicable Exchange Price, Exchange Eligible Holders whose Old Notes are accepted for exchange will be paid accrued and unpaid interest on such Old Notes to, but not including, the applicable Settlement Date (as defined herein) in cash.</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Amgen reserves the right, but is under no obligation, at any point following the Early Participation Date and before the Expiration Date, to accept for exchange any Old Notes validly tendered at or prior to the Early Participation Date (the date of such exchange, the “Early Settlement Date”). The Early Settlement Date will be determined at Amgen’s option and is currently expected to occur on August 17, 2020, the third business day immediately following the Early Participation Date. If, after the Early Participation Date, Amgen chooses to exercise its option to have an Early Settlement Date and all conditions to the relevant Exchange Offers have been or are concurrently satisfied or waived by Amgen, including satisfaction or waiver of the Accounting Treatment Condition, the Minimum Issue Condition and the Yield Condition (each as defined in the Confidential Offering Circular), and subject to each of the Maximum Notes Exchange Cap and the Maximum New Notes Premium Cap, Amgen will accept for exchange all Old Notes validly tendered in the Exchange Offers prior to the Early Participation Date, and the exchange for such Old Notes will be made on the Early Settlement Date.</w:t>
      </w:r>
    </w:p>
    <w:p>
      <w:pPr>
        <w:spacing w:after="0" w:line="1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Whether or not Amgen chooses to exercise its option to have an Early Settlement Date, if, at or prior to the Expiration Date, all conditions to the relevant Exchange Offer have been or concurrently are satisfied or waived by Amgen, including satisfaction or waiver of the Accounting Treatment Condition, the Minimum Issue Condition and the Yield Condition, and subject to each of the Maximum Notes Exchange Cap and the Maximum New Notes Premium Cap, Amgen will accept for exchange all Old Notes validly tendered in such Exchange Offer at or prior to the Expiration Date, and not validly withdrawn at or prior to the Withdrawal Date (the date of such exchange, the “Final Settlement Date”).The Final Settlement Date for the Exchange Offers will be promptly after the Expiration Date and is currently expected to occur on August 28, 2020, the second business day immediately following the Expiration Date. Each of the Early Settlement Date and the Final Settlement Date is referred to as a “Settlement Date.”</w:t>
      </w:r>
    </w:p>
    <w:p>
      <w:pPr>
        <w:spacing w:after="0" w:line="166"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Consummation of the Exchange Offers is subject to the satisfaction of certain conditions, including the absence of certain adverse legal and market developments. The complete terms of the Exchange Offers are described in the Confidential Offering Circular. Amgen reserves the right, subject to applicable law, to extend, terminate or otherwise amend the terms of any or all of the Exchange Offers.</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and when issued, the New Notes will not be registered under the Securities Act or any state securities laws. Therefore, the New Notes may not be offered or sold in the United States absent registration or an applicable exemption from the registration requirements of the Securities Act and any applicable state securities laws. Amgen will enter into a registration rights agreement with respect to the New Notes providing for certain registration rights with respect to the New Notes as described in the Confidential Offering Circular.</w:t>
      </w:r>
    </w:p>
    <w:p>
      <w:pPr>
        <w:sectPr>
          <w:pgSz w:w="11900" w:h="16838" w:orient="portrait"/>
          <w:cols w:equalWidth="0" w:num="1">
            <w:col w:w="11020"/>
          </w:cols>
          <w:pgMar w:left="440" w:top="270" w:right="439" w:bottom="1440" w:gutter="0" w:footer="0" w:header="0"/>
        </w:sectPr>
      </w:pPr>
    </w:p>
    <w:bookmarkStart w:id="7" w:name="page8"/>
    <w:bookmarkEnd w:id="7"/>
    <w:p>
      <w:pPr>
        <w:ind w:right="3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AMGEN ANNOUNCES EARLY TENDER RESULTS OF SENIOR NOTES EXCHANGE OFFERS PAGE 5</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This press release is not an offer to sell or a solicitation of an offer to buy any security. The Exchange Offers are being made solely by the Confidential Offering Circular and only to such persons and in such jurisdictions as is permitted under applicable law.</w:t>
      </w:r>
    </w:p>
    <w:p>
      <w:pPr>
        <w:spacing w:after="0" w:line="2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In particular, this communication is only addressed to and directed at: (A) in any Member State of the European Economic Area or the United Kingdom that has implemented the Prospectus Directive, qualified investors in that Member State within the meaning of the Prospectus Directive and (B) (i) persons that are outside the United Kingdom or (ii) persons in the United Kingdom who are investment professionals falling within Article 19(5) of the Financial Services and Markets Act 2000 (Financial Promotion) Order 2005 (the “Order”) or fall within Article 43 of the Order, or any other person to whom it may otherwise lawfully be communicated under the Order (all such persons together being referred to as “relevant persons”). The New Notes are only available to, and any invitation, offer or agreement to subscribe, purchase or otherwise acquire such New Notes will be engaged in only with, relevant persons. Any person who is not a relevant person should not act or rely on this document or any of its contents.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Amgen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Amgen focuses on areas of high unmet medical need and leverages its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news release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Adaptive Biotechnologies (including statements regarding such collaboration’s, or our own, ability to discover and develop fully-human neutralizing antibodies targeting SARS-CoV-2 to potentially prevent or treat COVID-19), BeiGene, Ltd., or the Otezla</w:t>
      </w:r>
      <w:r>
        <w:rPr>
          <w:rFonts w:ascii="Arial" w:cs="Arial" w:eastAsia="Arial" w:hAnsi="Arial"/>
          <w:sz w:val="13"/>
          <w:szCs w:val="13"/>
          <w:color w:val="auto"/>
        </w:rPr>
        <w:t>®</w:t>
      </w:r>
      <w:r>
        <w:rPr>
          <w:rFonts w:ascii="Arial" w:cs="Arial" w:eastAsia="Arial" w:hAnsi="Arial"/>
          <w:sz w:val="16"/>
          <w:szCs w:val="16"/>
          <w:color w:val="auto"/>
        </w:rPr>
        <w:t xml:space="preserve"> (apremilast) acquisition, including anticipated Otezla sales growth and the timing of non-GAAP EPS accretion,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such as the ongoing COVID-19 pandemic on our business, outcomes, progress or effects relating to studies of Otezla as a potential treatment for COVID-19, the completion of the Exchange Offers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news release and does not undertake any obligation to update any forward-looking statements contained in this document as a result of new information, future events or otherwise.</w:t>
      </w:r>
    </w:p>
    <w:p>
      <w:pPr>
        <w:sectPr>
          <w:pgSz w:w="11900" w:h="16838" w:orient="portrait"/>
          <w:cols w:equalWidth="0" w:num="1">
            <w:col w:w="10980"/>
          </w:cols>
          <w:pgMar w:left="440" w:top="270" w:right="479" w:bottom="1440" w:gutter="0" w:footer="0" w:header="0"/>
        </w:sectPr>
      </w:pPr>
    </w:p>
    <w:bookmarkStart w:id="8" w:name="page9"/>
    <w:bookmarkEnd w:id="8"/>
    <w:p>
      <w:pPr>
        <w:ind w:right="3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AMGEN ANNOUNCES EARLY TENDER RESULTS OF SENIOR NOTES EXCHANGE OFFERS PAGE 6</w:t>
      </w:r>
    </w:p>
    <w:p>
      <w:pPr>
        <w:spacing w:after="0" w:line="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sales, product development,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A breakdown, cyberattack or information security breach could compromise the confidentiality, integrity and availability of our systems and data. Our stock price is volatile and may be affected by a number of events.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sectPr>
          <w:pgSz w:w="11900" w:h="16838" w:orient="portrait"/>
          <w:cols w:equalWidth="0" w:num="1">
            <w:col w:w="11000"/>
          </w:cols>
          <w:pgMar w:left="440" w:top="270" w:right="459" w:bottom="1440" w:gutter="0" w:footer="0" w:header="0"/>
        </w:sectPr>
      </w:pPr>
    </w:p>
    <w:bookmarkStart w:id="9" w:name="page10"/>
    <w:bookmarkEnd w:id="9"/>
    <w:p>
      <w:pPr>
        <w:ind w:right="231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AMGEN ANNOUNCES EARLY TENDER RESULTS OF SENIOR NOTES EXCHANGE OFFERS PAGE 7</w:t>
      </w:r>
    </w:p>
    <w:p>
      <w:pPr>
        <w:spacing w:after="0" w:line="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Amgen, Thousand Oaks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Trish Rowland, 805-447-5631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Megan Fox, 805-447-1423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Arvind Sood, 805-447-1060 (investors)</w:t>
      </w:r>
    </w:p>
    <w:p>
      <w:pPr>
        <w:sectPr>
          <w:pgSz w:w="11900" w:h="16838" w:orient="portrait"/>
          <w:cols w:equalWidth="0" w:num="1">
            <w:col w:w="10019"/>
          </w:cols>
          <w:pgMar w:left="44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39900" cy="591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9900" cy="591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One Amgen Center Drive</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Telephone 805-447-1000</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www.Amgen.com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ANNOUNCES PRICING TERMS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NOTES EXCHANGE OFFERS, INCREASES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MAXIMUM NOTES EXCHANGE CAP AND ACCEPTS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TENDERED NOTES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THOUSAND OAKS, Calif. (August 13, 2020) – Amgen Inc. (NASDAQ:AMGN) announced today the pricing terms of its previously announced nine separate private offers to exchange (each, an “Exchange Offer” and, collectively, the “Exchange Offers”) certain specified series of its outstanding senior notes (collectively, the “Old Notes”) for a combination of a cash payment and new Senior Notes due 2053 (the “New Notes”). In addition, Amgen announced that it has increased the cap on the aggregate principal amount of New Notes to be issued in the Exchange Offers from $800,000,000 to $940,000,000 (such increased amount, the “Maximum Notes Exchange Cap”). Except for the increase in the Maximum Notes Exchange Cap described above, all other terms and conditions of the Exchange Offers remain unchanged.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Offers consist of the following:</w:t>
      </w:r>
    </w:p>
    <w:p>
      <w:pPr>
        <w:spacing w:after="0" w:line="117" w:lineRule="exact"/>
        <w:rPr>
          <w:sz w:val="20"/>
          <w:szCs w:val="20"/>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6.90% Senior Notes due 2038;</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6.375% Senior Notes due 2037;</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6.40% Senior Notes due 2039;</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5.75% Senior Notes due 2040;</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5.65% Senior Notes due 2042;</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5.375% Senior Notes due 2043;</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5.15% Senior Notes due 2041;</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4.95% Senior Notes due 2041; and</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offer to exchange the 4.40% Senior Notes due 2045;</w:t>
      </w:r>
    </w:p>
    <w:p>
      <w:pPr>
        <w:sectPr>
          <w:pgSz w:w="11900" w:h="16838" w:orient="portrait"/>
          <w:cols w:equalWidth="0" w:num="1">
            <w:col w:w="11020"/>
          </w:cols>
          <w:pgMar w:left="440" w:top="121" w:right="439" w:bottom="1440" w:gutter="0" w:footer="0" w:header="0"/>
        </w:sectPr>
      </w:pPr>
    </w:p>
    <w:bookmarkStart w:id="11" w:name="page12"/>
    <w:bookmarkEnd w:id="11"/>
    <w:p>
      <w:pPr>
        <w:ind w:right="41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PRICING TERMS OF SENIOR NOTES EXCHANGE OFFERS PAGE 2</w:t>
      </w:r>
    </w:p>
    <w:p>
      <w:pPr>
        <w:spacing w:after="0" w:line="9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each case, for a combination of a cash payment and New Notes, provided that the aggregate principal amount of New Notes to be issued in the Exchange Offers shall not exceed the Maximum Notes Exchange Cap and/or the Maximum New Notes Premium Cap (as defined in the Confidential Offering Circular).</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Exchange Offers are being conducted by Amgen upon the terms and subject to the conditions set forth in a confidential offering circular, dated July 30, 2020 (the “Confidential Offering Circular”). The Exchange Offers are only intended for, and copies of the offering documents will only be made available to, holders of outstanding Old Notes that have certified their status as (1) a “Qualified Institutional Buyer” as defined in Rule 144A under the Securities Act of 1933, as amended (the “Securities Act”), in a private transaction in reliance upon the exemption from the registration requirements of the Securities Act provided by Section 4(a)(2) thereof, or (2) (A) a person other than a “U.S. person” (as defined in Rule 902 of Regulation S under the Securities Act), outside the United States not purchasing for the account or benefit of a U.S. person, (B) acquiring the New Notes in an offshore transaction in accordance with Regulation S under the Securities Act and (C) otherwise a Non-U.S. Qualified Offeree (as described in the Confidential Offering Circular) (each such holder, an “Exchange Eligible Holder” and, collectively, the “Exchange Eligible Holders”). Documents relating to the Exchange Offers have been and will be distributed only to holders of the outstanding Old Notes that have completed or will complete and have returned or will return the letter of eligibility confirming that they are Exchange Eligible Holders. Holders of the outstanding Old Notes that desire to review the eligibility letter may visit the website for this purpose at </w:t>
      </w:r>
      <w:r>
        <w:rPr>
          <w:rFonts w:ascii="Arial" w:cs="Arial" w:eastAsia="Arial" w:hAnsi="Arial"/>
          <w:sz w:val="17"/>
          <w:szCs w:val="17"/>
          <w:u w:val="single" w:color="auto"/>
          <w:color w:val="auto"/>
        </w:rPr>
        <w:t>http://www.dfking.com/amgn</w:t>
      </w:r>
      <w:r>
        <w:rPr>
          <w:rFonts w:ascii="Arial" w:cs="Arial" w:eastAsia="Arial" w:hAnsi="Arial"/>
          <w:sz w:val="17"/>
          <w:szCs w:val="17"/>
          <w:color w:val="auto"/>
        </w:rPr>
        <w:t xml:space="preserve"> or contact D.F. King &amp; Co., Inc., the exchange agent and information agent for the Exchange Offers, by calling toll-free (800) 814-8954 or at (212) 269-5550 (banks and brokerage firms) or by email at amgen@dfking.com.</w:t>
      </w:r>
    </w:p>
    <w:p>
      <w:pPr>
        <w:spacing w:after="0" w:line="18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following table indicates, among other things, the Total Exchange Price (as defined herein) and the amount of cash payment for each $1,000 principal amount of the applicable series of Old Notes subject to the Exchange Offers, as calculated at 10:00 a.m., New York City time, on August 13, 2020 (such date and time, the “Price Determination Date”) in accordance with the Confidential Offering Circular:</w:t>
      </w:r>
    </w:p>
    <w:p>
      <w:pPr>
        <w:spacing w:after="0" w:line="184" w:lineRule="exact"/>
        <w:rPr>
          <w:sz w:val="20"/>
          <w:szCs w:val="20"/>
          <w:color w:val="auto"/>
        </w:rPr>
      </w:pPr>
    </w:p>
    <w:p>
      <w:pPr>
        <w:ind w:left="9660"/>
        <w:spacing w:after="0"/>
        <w:rPr>
          <w:sz w:val="20"/>
          <w:szCs w:val="20"/>
          <w:color w:val="auto"/>
        </w:rPr>
      </w:pPr>
      <w:r>
        <w:rPr>
          <w:rFonts w:ascii="Arial" w:cs="Arial" w:eastAsia="Arial" w:hAnsi="Arial"/>
          <w:sz w:val="13"/>
          <w:szCs w:val="13"/>
          <w:b w:val="1"/>
          <w:bCs w:val="1"/>
          <w:color w:val="auto"/>
        </w:rPr>
        <w:t>Composition of Total</w:t>
      </w:r>
    </w:p>
    <w:p>
      <w:pPr>
        <w:spacing w:after="0" w:line="8"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Exchange Price</w:t>
      </w:r>
      <w:r>
        <w:rPr>
          <w:rFonts w:ascii="Arial" w:cs="Arial" w:eastAsia="Arial" w:hAnsi="Arial"/>
          <w:sz w:val="12"/>
          <w:szCs w:val="12"/>
          <w:b w:val="1"/>
          <w:bCs w:val="1"/>
          <w:color w:val="auto"/>
        </w:rPr>
        <w:t>(1)(2)</w:t>
      </w:r>
    </w:p>
    <w:p>
      <w:pPr>
        <w:ind w:left="10220"/>
        <w:spacing w:after="0" w:line="224" w:lineRule="auto"/>
        <w:rPr>
          <w:sz w:val="20"/>
          <w:szCs w:val="20"/>
          <w:color w:val="auto"/>
        </w:rPr>
      </w:pPr>
      <w:r>
        <w:rPr>
          <w:rFonts w:ascii="Arial" w:cs="Arial" w:eastAsia="Arial" w:hAnsi="Arial"/>
          <w:sz w:val="12"/>
          <w:szCs w:val="12"/>
          <w:b w:val="1"/>
          <w:bCs w:val="1"/>
          <w:color w:val="auto"/>
        </w:rPr>
        <w:t>(3)</w:t>
      </w:r>
    </w:p>
    <w:tbl>
      <w:tblPr>
        <w:tblLayout w:type="fixed"/>
        <w:tblInd w:w="0" w:type="dxa"/>
        <w:tblCellMar>
          <w:top w:w="0" w:type="dxa"/>
          <w:left w:w="0" w:type="dxa"/>
          <w:bottom w:w="0" w:type="dxa"/>
          <w:right w:w="0" w:type="dxa"/>
        </w:tblCellMar>
      </w:tblPr>
      <w:tr>
        <w:trPr>
          <w:trHeight w:val="113"/>
        </w:trPr>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w w:val="98"/>
              </w:rPr>
              <w:t>Yield of Reference</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Fixed</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Reference</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Acceptance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U.S. Treasury</w:t>
            </w:r>
          </w:p>
        </w:tc>
        <w:tc>
          <w:tcPr>
            <w:tcW w:w="6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Exchange</w:t>
            </w:r>
          </w:p>
        </w:tc>
        <w:tc>
          <w:tcPr>
            <w:tcW w:w="140" w:type="dxa"/>
            <w:vAlign w:val="bottom"/>
          </w:tcPr>
          <w:p>
            <w:pPr>
              <w:spacing w:after="0"/>
              <w:rPr>
                <w:sz w:val="12"/>
                <w:szCs w:val="12"/>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Early</w:t>
            </w:r>
          </w:p>
        </w:tc>
        <w:tc>
          <w:tcPr>
            <w:tcW w:w="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Security at Price</w:t>
            </w:r>
          </w:p>
        </w:tc>
        <w:tc>
          <w:tcPr>
            <w:tcW w:w="6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9"/>
              </w:rPr>
              <w:t>CUSIP/ISIN Number</w:t>
            </w:r>
          </w:p>
        </w:tc>
        <w:tc>
          <w:tcPr>
            <w:tcW w:w="1040" w:type="dxa"/>
            <w:vAlign w:val="bottom"/>
            <w:vMerge w:val="restart"/>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Old Notes</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U.S. Treasury</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Priority</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Determination</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(basis</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Offer</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6"/>
              </w:rPr>
              <w:t>Exchange</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Security</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Level</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points)</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Yield</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3"/>
              </w:rPr>
              <w:t>Premium</w:t>
            </w:r>
            <w:r>
              <w:rPr>
                <w:rFonts w:ascii="Arial" w:cs="Arial" w:eastAsia="Arial" w:hAnsi="Arial"/>
                <w:sz w:val="12"/>
                <w:szCs w:val="12"/>
                <w:b w:val="1"/>
                <w:bCs w:val="1"/>
                <w:color w:val="auto"/>
                <w:w w:val="93"/>
              </w:rPr>
              <w:t>(1)</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Price</w:t>
            </w:r>
            <w:r>
              <w:rPr>
                <w:rFonts w:ascii="Arial" w:cs="Arial" w:eastAsia="Arial" w:hAnsi="Arial"/>
                <w:sz w:val="12"/>
                <w:szCs w:val="12"/>
                <w:b w:val="1"/>
                <w:bCs w:val="1"/>
                <w:color w:val="auto"/>
                <w:w w:val="94"/>
              </w:rPr>
              <w:t>(1)(2)</w:t>
            </w:r>
          </w:p>
        </w:tc>
        <w:tc>
          <w:tcPr>
            <w:tcW w:w="1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New Notes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9"/>
              </w:rPr>
              <w:t>Payment</w:t>
            </w:r>
          </w:p>
        </w:tc>
        <w:tc>
          <w:tcPr>
            <w:tcW w:w="0" w:type="dxa"/>
            <w:vAlign w:val="bottom"/>
          </w:tcPr>
          <w:p>
            <w:pPr>
              <w:spacing w:after="0"/>
              <w:rPr>
                <w:sz w:val="1"/>
                <w:szCs w:val="1"/>
                <w:color w:val="auto"/>
              </w:rPr>
            </w:pPr>
          </w:p>
        </w:tc>
      </w:tr>
      <w:tr>
        <w:trPr>
          <w:trHeight w:val="180"/>
        </w:trPr>
        <w:tc>
          <w:tcPr>
            <w:tcW w:w="23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031162AY6/US031162AY66</w:t>
            </w:r>
          </w:p>
        </w:tc>
        <w:tc>
          <w:tcPr>
            <w:tcW w:w="68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6"/>
                <w:szCs w:val="16"/>
                <w:color w:val="auto"/>
                <w:w w:val="92"/>
              </w:rPr>
              <w:t>6.90%</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6"/>
                <w:szCs w:val="16"/>
                <w:color w:val="auto"/>
                <w:w w:val="92"/>
              </w:rPr>
              <w:t>2.000% UST</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due February 15,</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$1,654.36</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$1,392.62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261.74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spacing w:after="0"/>
              <w:rPr>
                <w:sz w:val="20"/>
                <w:szCs w:val="20"/>
                <w:color w:val="auto"/>
              </w:rPr>
            </w:pPr>
            <w:r>
              <w:rPr>
                <w:rFonts w:ascii="Arial" w:cs="Arial" w:eastAsia="Arial" w:hAnsi="Arial"/>
                <w:sz w:val="16"/>
                <w:szCs w:val="16"/>
                <w:color w:val="auto"/>
              </w:rPr>
              <w:t>031162AW0/US031162AW01</w:t>
            </w: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6.375%</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2.000% UST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due February 15,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+95</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2.320%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$1,561.16</w:t>
            </w:r>
          </w:p>
        </w:tc>
        <w:tc>
          <w:tcPr>
            <w:tcW w:w="940" w:type="dxa"/>
            <w:vAlign w:val="bottom"/>
            <w:gridSpan w:val="3"/>
          </w:tcPr>
          <w:p>
            <w:pPr>
              <w:jc w:val="center"/>
              <w:spacing w:after="0"/>
              <w:rPr>
                <w:sz w:val="20"/>
                <w:szCs w:val="20"/>
                <w:color w:val="auto"/>
              </w:rPr>
            </w:pPr>
            <w:r>
              <w:rPr>
                <w:rFonts w:ascii="Arial" w:cs="Arial" w:eastAsia="Arial" w:hAnsi="Arial"/>
                <w:sz w:val="16"/>
                <w:szCs w:val="16"/>
                <w:color w:val="auto"/>
                <w:w w:val="92"/>
              </w:rPr>
              <w:t>$1,314.25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246.91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031162BA7/US031162BA71</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6.40%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2.000% UST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due February 15,</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$1,599.59</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$1,383.74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215.85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spacing w:after="0"/>
              <w:rPr>
                <w:sz w:val="20"/>
                <w:szCs w:val="20"/>
                <w:color w:val="auto"/>
              </w:rPr>
            </w:pPr>
            <w:r>
              <w:rPr>
                <w:rFonts w:ascii="Arial" w:cs="Arial" w:eastAsia="Arial" w:hAnsi="Arial"/>
                <w:sz w:val="16"/>
                <w:szCs w:val="16"/>
                <w:color w:val="auto"/>
              </w:rPr>
              <w:t>031162BC3/US031162BC38</w:t>
            </w: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2.000% UST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due February 15,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2.420%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$1,516.79</w:t>
            </w:r>
          </w:p>
        </w:tc>
        <w:tc>
          <w:tcPr>
            <w:tcW w:w="940" w:type="dxa"/>
            <w:vAlign w:val="bottom"/>
            <w:gridSpan w:val="3"/>
          </w:tcPr>
          <w:p>
            <w:pPr>
              <w:jc w:val="center"/>
              <w:spacing w:after="0"/>
              <w:rPr>
                <w:sz w:val="20"/>
                <w:szCs w:val="20"/>
                <w:color w:val="auto"/>
              </w:rPr>
            </w:pPr>
            <w:r>
              <w:rPr>
                <w:rFonts w:ascii="Arial" w:cs="Arial" w:eastAsia="Arial" w:hAnsi="Arial"/>
                <w:sz w:val="16"/>
                <w:szCs w:val="16"/>
                <w:color w:val="auto"/>
                <w:w w:val="92"/>
              </w:rPr>
              <w:t>$1,377.26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139.53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031162BH2/US031162BH25</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2.000% UST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due February 15,</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$1,524.72</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$1,419.78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spacing w:after="0"/>
              <w:rPr>
                <w:sz w:val="20"/>
                <w:szCs w:val="20"/>
                <w:color w:val="auto"/>
              </w:rPr>
            </w:pPr>
            <w:r>
              <w:rPr>
                <w:rFonts w:ascii="Arial" w:cs="Arial" w:eastAsia="Arial" w:hAnsi="Arial"/>
                <w:sz w:val="16"/>
                <w:szCs w:val="16"/>
                <w:color w:val="auto"/>
              </w:rPr>
              <w:t>031162BP4/US031162BP41</w:t>
            </w: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2.000% UST due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February 15,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2.470%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$1,494.84</w:t>
            </w:r>
          </w:p>
        </w:tc>
        <w:tc>
          <w:tcPr>
            <w:tcW w:w="940" w:type="dxa"/>
            <w:vAlign w:val="bottom"/>
            <w:gridSpan w:val="3"/>
          </w:tcPr>
          <w:p>
            <w:pPr>
              <w:jc w:val="center"/>
              <w:spacing w:after="0"/>
              <w:rPr>
                <w:sz w:val="20"/>
                <w:szCs w:val="20"/>
                <w:color w:val="auto"/>
              </w:rPr>
            </w:pPr>
            <w:r>
              <w:rPr>
                <w:rFonts w:ascii="Arial" w:cs="Arial" w:eastAsia="Arial" w:hAnsi="Arial"/>
                <w:sz w:val="16"/>
                <w:szCs w:val="16"/>
                <w:color w:val="auto"/>
                <w:w w:val="92"/>
              </w:rPr>
              <w:t>$1,445.36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031162BK5/US031162BK53</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2.000% UST due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February 15,</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$1,443.15</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$1,394.40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gridSpan w:val="2"/>
          </w:tcPr>
          <w:p>
            <w:pPr>
              <w:spacing w:after="0"/>
              <w:rPr>
                <w:sz w:val="20"/>
                <w:szCs w:val="20"/>
                <w:color w:val="auto"/>
              </w:rPr>
            </w:pPr>
            <w:r>
              <w:rPr>
                <w:rFonts w:ascii="Arial" w:cs="Arial" w:eastAsia="Arial" w:hAnsi="Arial"/>
                <w:sz w:val="16"/>
                <w:szCs w:val="16"/>
                <w:color w:val="auto"/>
              </w:rPr>
              <w:t>031162BE9/US031162BE93</w:t>
            </w: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4.95%</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2.000% UST due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February 15,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2041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2.470%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$1,406.21</w:t>
            </w:r>
          </w:p>
        </w:tc>
        <w:tc>
          <w:tcPr>
            <w:tcW w:w="940" w:type="dxa"/>
            <w:vAlign w:val="bottom"/>
            <w:gridSpan w:val="3"/>
          </w:tcPr>
          <w:p>
            <w:pPr>
              <w:jc w:val="center"/>
              <w:spacing w:after="0"/>
              <w:rPr>
                <w:sz w:val="20"/>
                <w:szCs w:val="20"/>
                <w:color w:val="auto"/>
              </w:rPr>
            </w:pPr>
            <w:r>
              <w:rPr>
                <w:rFonts w:ascii="Arial" w:cs="Arial" w:eastAsia="Arial" w:hAnsi="Arial"/>
                <w:sz w:val="16"/>
                <w:szCs w:val="16"/>
                <w:color w:val="auto"/>
                <w:w w:val="92"/>
              </w:rPr>
              <w:t>$1,381.84</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031162BZ2/US031162BZ23</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4.40%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2.000% UST due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Senior</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February 15,</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Notes due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$1,317.54</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$1,317.54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ind w:left="4" w:right="4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PRICING TERMS OF SENIOR NOTES EXCHANGE OFFERS PAGE 3</w:t>
      </w:r>
    </w:p>
    <w:p>
      <w:pPr>
        <w:spacing w:after="0" w:line="9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$1,000 principal amount of Old Notes.</w:t>
      </w:r>
    </w:p>
    <w:p>
      <w:pPr>
        <w:spacing w:after="0" w:line="23" w:lineRule="exact"/>
        <w:rPr>
          <w:rFonts w:ascii="Arial" w:cs="Arial" w:eastAsia="Arial" w:hAnsi="Arial"/>
          <w:sz w:val="18"/>
          <w:szCs w:val="18"/>
          <w:color w:val="auto"/>
        </w:rPr>
      </w:pPr>
    </w:p>
    <w:p>
      <w:pPr>
        <w:ind w:left="424" w:right="32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reflect any accrued and unpaid interest. Amgen will pay accrued and unpaid interest on the Old Notes to, but not including, the Early Settlement Date (as defined herein) in cash.</w:t>
      </w:r>
    </w:p>
    <w:p>
      <w:pPr>
        <w:ind w:left="424" w:right="8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figures in this table reflect any optional adjustments of the principal amount of New Notes exchangeable for each $1,000 principal amount of the applicable series of Old Notes tendered and accepted for exchange, as permitted under the terms and conditions in the Confidential Offering Circular.</w:t>
      </w:r>
    </w:p>
    <w:p>
      <w:pPr>
        <w:spacing w:after="0" w:line="190"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table below indicates the interest rate (the “New Notes Coupon”) for the New Notes to be issued by Amgen pursuant to the Exchange Offers, as calculated at the Price Determination Date in accordance with the Confidential Offering Circular:</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Reference U.S.</w:t>
            </w:r>
          </w:p>
        </w:tc>
        <w:tc>
          <w:tcPr>
            <w:tcW w:w="2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Yield of Reference U.S.</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Spread</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New Notes</w:t>
            </w:r>
          </w:p>
        </w:tc>
        <w:tc>
          <w:tcPr>
            <w:tcW w:w="0" w:type="dxa"/>
            <w:vAlign w:val="bottom"/>
          </w:tcPr>
          <w:p>
            <w:pPr>
              <w:spacing w:after="0"/>
              <w:rPr>
                <w:sz w:val="1"/>
                <w:szCs w:val="1"/>
                <w:color w:val="auto"/>
              </w:rPr>
            </w:pPr>
          </w:p>
        </w:tc>
      </w:tr>
      <w:tr>
        <w:trPr>
          <w:trHeight w:val="14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9"/>
              </w:rPr>
              <w:t>New Notes</w:t>
            </w:r>
          </w:p>
        </w:tc>
        <w:tc>
          <w:tcPr>
            <w:tcW w:w="2080" w:type="dxa"/>
            <w:vAlign w:val="bottom"/>
            <w:vMerge w:val="restart"/>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24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w w:val="92"/>
              </w:rPr>
              <w:t>Treasury Security at Price</w:t>
            </w:r>
          </w:p>
        </w:tc>
        <w:tc>
          <w:tcPr>
            <w:tcW w:w="9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(basis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0" w:type="dxa"/>
            <w:vAlign w:val="bottom"/>
            <w:tcBorders>
              <w:bottom w:val="single" w:sz="8" w:color="auto"/>
            </w:tcBorders>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3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Treasury Security</w:t>
            </w:r>
          </w:p>
        </w:tc>
        <w:tc>
          <w:tcPr>
            <w:tcW w:w="2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Determination Date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points)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Coupon</w:t>
            </w:r>
          </w:p>
        </w:tc>
        <w:tc>
          <w:tcPr>
            <w:tcW w:w="0" w:type="dxa"/>
            <w:vAlign w:val="bottom"/>
          </w:tcPr>
          <w:p>
            <w:pPr>
              <w:spacing w:after="0"/>
              <w:rPr>
                <w:sz w:val="1"/>
                <w:szCs w:val="1"/>
                <w:color w:val="auto"/>
              </w:rPr>
            </w:pPr>
          </w:p>
        </w:tc>
      </w:tr>
      <w:tr>
        <w:trPr>
          <w:trHeight w:val="20"/>
        </w:trPr>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New Notes due 2053</w:t>
            </w:r>
          </w:p>
        </w:tc>
        <w:tc>
          <w:tcPr>
            <w:tcW w:w="28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gridSpan w:val="2"/>
            <w:vMerge w:val="continue"/>
            <w:shd w:val="clear" w:color="auto" w:fill="CCEEFF"/>
          </w:tcPr>
          <w:p>
            <w:pPr>
              <w:spacing w:after="0"/>
              <w:rPr>
                <w:sz w:val="17"/>
                <w:szCs w:val="17"/>
                <w:color w:val="auto"/>
              </w:rPr>
            </w:pPr>
          </w:p>
        </w:tc>
        <w:tc>
          <w:tcPr>
            <w:tcW w:w="2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2.000% UST due February 15, 2050</w:t>
            </w:r>
          </w:p>
        </w:tc>
        <w:tc>
          <w:tcPr>
            <w:tcW w:w="480" w:type="dxa"/>
            <w:vAlign w:val="bottom"/>
            <w:vMerge w:val="continue"/>
            <w:shd w:val="clear" w:color="auto" w:fill="CCEEFF"/>
          </w:tcPr>
          <w:p>
            <w:pPr>
              <w:spacing w:after="0"/>
              <w:rPr>
                <w:sz w:val="17"/>
                <w:szCs w:val="17"/>
                <w:color w:val="auto"/>
              </w:rPr>
            </w:pPr>
          </w:p>
        </w:tc>
        <w:tc>
          <w:tcPr>
            <w:tcW w:w="22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1.370%</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5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accordance with the Acceptance Priority Levels and proration procedures described in the Confidential Offering Circular, Amgen will accept $676,157,000 in aggregate principal amount of the Old Notes that were tendered for exchange at or prior to the Early Participation Date. Amgen expects to deliver an aggregate principal amount of $940,000,000 of New Notes and will pay an aggregate of $85,382,998.17 cash consideration, excluding accrued and unpaid interest, for the Old Notes accepted for exchange on the Early Settlement Date. Since Old Notes have been validly tendered as of the Early Participation Date so that the maximum amount of New Notes to be issued in exchange for such tendered Old Notes would exceed the Maximum Notes Exchange Cap, no additional Old Notes will be accepted for exchange after the Early Participation Date.</w:t>
      </w:r>
    </w:p>
    <w:p>
      <w:pPr>
        <w:spacing w:after="0" w:line="178"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table below indicates, among other things, the principal amount of each series of Old Notes validly tendered as of the Early Participation Date, the principal amount of Old Notes to be accepted for exchange as of the Early Participation Date and the percentage of the principal amount of Old Notes to be accepted for exchange pursuant to the Exchange Offers:</w:t>
      </w:r>
    </w:p>
    <w:p>
      <w:pPr>
        <w:spacing w:after="0" w:line="19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w:t>
            </w:r>
          </w:p>
        </w:tc>
        <w:tc>
          <w:tcPr>
            <w:tcW w:w="2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to</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9"/>
              </w:rPr>
              <w:t>CUSIP/ISIN Number</w:t>
            </w:r>
          </w:p>
        </w:tc>
        <w:tc>
          <w:tcPr>
            <w:tcW w:w="2020" w:type="dxa"/>
            <w:vAlign w:val="bottom"/>
            <w:vMerge w:val="restart"/>
          </w:tcPr>
          <w:p>
            <w:pPr>
              <w:spacing w:after="0"/>
              <w:rPr>
                <w:sz w:val="12"/>
                <w:szCs w:val="12"/>
                <w:color w:val="auto"/>
              </w:rPr>
            </w:pPr>
          </w:p>
        </w:tc>
        <w:tc>
          <w:tcPr>
            <w:tcW w:w="2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Old Notes</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Tendered by Early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2"/>
              </w:rPr>
              <w:t>be Accepted for</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Proration Factor</w:t>
            </w:r>
          </w:p>
        </w:tc>
        <w:tc>
          <w:tcPr>
            <w:tcW w:w="0" w:type="dxa"/>
            <w:vAlign w:val="bottom"/>
          </w:tcPr>
          <w:p>
            <w:pPr>
              <w:spacing w:after="0"/>
              <w:rPr>
                <w:sz w:val="1"/>
                <w:szCs w:val="1"/>
                <w:color w:val="auto"/>
              </w:rPr>
            </w:pPr>
          </w:p>
        </w:tc>
      </w:tr>
      <w:tr>
        <w:trPr>
          <w:trHeight w:val="178"/>
        </w:trPr>
        <w:tc>
          <w:tcPr>
            <w:tcW w:w="132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3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Participation Date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Exchange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031162AY6/US031162AY66</w:t>
            </w:r>
          </w:p>
        </w:tc>
        <w:tc>
          <w:tcPr>
            <w:tcW w:w="19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6.90% Senior Notes due</w:t>
            </w: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37,335,000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37,335,000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031162AW0/US031162AW01</w:t>
            </w:r>
          </w:p>
        </w:tc>
        <w:tc>
          <w:tcPr>
            <w:tcW w:w="23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9"/>
              </w:rPr>
              <w:t>6.375% Senior Notes due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2037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73,531,000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73,531,000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031162BA7/US031162BA71</w:t>
            </w:r>
          </w:p>
        </w:tc>
        <w:tc>
          <w:tcPr>
            <w:tcW w:w="232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9"/>
              </w:rPr>
              <w:t>6.40% Senior Notes due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2039</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133,310,000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133,310,000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031162BC3/US031162BC38</w:t>
            </w:r>
          </w:p>
        </w:tc>
        <w:tc>
          <w:tcPr>
            <w:tcW w:w="23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5.75% Senior Notes due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2040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39,022,000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39,022,000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031162BH2/US031162BH25</w:t>
            </w:r>
          </w:p>
        </w:tc>
        <w:tc>
          <w:tcPr>
            <w:tcW w:w="232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9"/>
              </w:rPr>
              <w:t>5.65% Senior Notes due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71,602,000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71,602,000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031162BP4/US031162BP41</w:t>
            </w:r>
          </w:p>
        </w:tc>
        <w:tc>
          <w:tcPr>
            <w:tcW w:w="23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9"/>
              </w:rPr>
              <w:t>5.375% Senior Notes due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2043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76,199,000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76,199,000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031162BK5/US031162BK53</w:t>
            </w:r>
          </w:p>
        </w:tc>
        <w:tc>
          <w:tcPr>
            <w:tcW w:w="232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9"/>
              </w:rPr>
              <w:t>5.15% Senior Notes due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2041</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491,030,000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245,158,000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49.977%</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031162BE9/US031162BE93</w:t>
            </w:r>
          </w:p>
        </w:tc>
        <w:tc>
          <w:tcPr>
            <w:tcW w:w="23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4.95% Senior Notes due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323,794,000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031162BZ2/US031162BZ23</w:t>
            </w:r>
          </w:p>
        </w:tc>
        <w:tc>
          <w:tcPr>
            <w:tcW w:w="232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9"/>
              </w:rPr>
              <w:t>4.40% Senior Notes due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2045</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939,837,000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3" w:name="page14"/>
    <w:bookmarkEnd w:id="13"/>
    <w:p>
      <w:pPr>
        <w:ind w:right="40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PRICING TERMS OF SENIOR NOTES EXCHANGE OFFERS PAGE 4</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withdrawal date (5:00 p.m., New York City time, on August 12, 2020) for the Exchange Offers has now passed. In accordance with the terms of the Exchange Offers, tendered Old Notes may no longer be withdrawn, except in certain limited circumstances where additional withdrawal rights are required by law. The Exchange Offers will expire at 12:00 Midnight, New York City time, at the end of August 26, 2020, unless extended by Amgen (such date and time, as it may be extended, the “Expiration Date”).</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Exchange Eligible Holders that validly tendered and did not validly withdraw their Old Notes at or prior to the Early Participation Date will be eligible to receive the applicable Total Exchange Price set forth in the first table above (each, a “Total Exchange Price”), which includes an early exchange premium equal to $30.00 in principal amount of New Notes for each $1,000 principal amount of the applicable series of Old Notes validly tendered and not validly withdrawn at or prior to the Early Participation Date and accepted for exchange (the “Early Exchange Premium”).</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applicable Total Exchange Price, Exchange Eligible Holders whose Old Notes are accepted for exchange will be paid accrued and unpaid interest on such Old Notes to, but not including, the Early Settlement Date in cash.</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Amgen has elected to conduct an early settlement for Old Notes tendered at or prior to the Early Participation Date and accepted by Amgen. Such early settlement is expected to occur on August 17, 2020 (the “Early Settlement Date”), subject to all the conditions to the Exchange Offers having been satisfied or waived by Amgen.</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complete terms of the Exchange Offers are described in the Confidential Offering Circular. Amgen reserves the right, subject to applicable law, to extend, terminate or otherwise amend the terms of any or all of the Exchange Offers.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and when issued, the New Notes will not be registered under the Securities Act or any state securities laws. Therefore, the New Notes may not be offered or sold in the United States absent registration or an applicable exemption from the registration requirements of the Securities Act and any applicable state securities laws. Amgen will enter into a registration rights agreement with respect to the New Notes providing for certain registration rights with respect to the New Notes as described in the Confidential Offering Circular.</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press release is not an offer to sell or a solicitation of an offer to buy any security. The Exchange Offers are being made solely by the Confidential Offering Circular and only to such persons and in such jurisdictions as is permitted under applicable law.</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In particular, this communication is only addressed to and directed at: (A) in any Member State of the European Economic Area or the United Kingdom that has implemented the Prospectus Directive, qualified investors in that Member State within the meaning of the Prospectus Directive and (B) (i) persons that are outside the United Kingdom or (ii) persons in the United Kingdom who are investment professionals falling within Article 19(5) of the Financial Services and Markets Act 2000 (Financial Promotion) Order 2005 (the “Order”) or fall within Article 43 of the Order, or any</w:t>
      </w:r>
    </w:p>
    <w:p>
      <w:pPr>
        <w:sectPr>
          <w:pgSz w:w="11900" w:h="16838" w:orient="portrait"/>
          <w:cols w:equalWidth="0" w:num="1">
            <w:col w:w="10940"/>
          </w:cols>
          <w:pgMar w:left="440" w:top="270" w:right="519" w:bottom="1440" w:gutter="0" w:footer="0" w:header="0"/>
        </w:sectPr>
      </w:pPr>
    </w:p>
    <w:bookmarkStart w:id="14" w:name="page15"/>
    <w:bookmarkEnd w:id="14"/>
    <w:p>
      <w:pPr>
        <w:ind w:right="40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AMGEN ANNOUNCES PRICING TERMS OF SENIOR NOTES EXCHANGE OFFERS PAGE 5</w:t>
      </w:r>
    </w:p>
    <w:p>
      <w:pPr>
        <w:spacing w:after="0" w:line="9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other person to whom it may otherwise lawfully be communicated under the Order (all such persons together being referred to as “relevant persons”). The New Notes are only available to, and any invitation, offer or agreement to subscribe, purchase or otherwise acquire such New Notes will be engaged in only with, relevant persons. Any person who is not a relevant person should not act or rely on this document or any of its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Amgen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Amgen focuses on areas of high unmet medical need and leverages its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news release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Adaptive Biotechnologies (including statements regarding such collaboration’s, or our own, ability to discover and develop fully-human neutralizing antibodies targeting SARS-CoV-2 to potentially prevent or treat COVID-19), BeiGene, Ltd., or the Otezla</w:t>
      </w:r>
      <w:r>
        <w:rPr>
          <w:rFonts w:ascii="Arial" w:cs="Arial" w:eastAsia="Arial" w:hAnsi="Arial"/>
          <w:sz w:val="13"/>
          <w:szCs w:val="13"/>
          <w:color w:val="auto"/>
        </w:rPr>
        <w:t>®</w:t>
      </w:r>
      <w:r>
        <w:rPr>
          <w:rFonts w:ascii="Arial" w:cs="Arial" w:eastAsia="Arial" w:hAnsi="Arial"/>
          <w:sz w:val="16"/>
          <w:szCs w:val="16"/>
          <w:color w:val="auto"/>
        </w:rPr>
        <w:t xml:space="preserve"> (apremilast) acquisition, including anticipated Otezla sales growth and the timing of non-GAAP EPS accretion,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such as the ongoing COVID-19 pandemic on our business, outcomes, progress or effects relating to studies of Otezla as a potential treatment for COVID-19, the completion of the Exchange Offers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news release and does not undertake any obligation to update any forward-looking statements contained in this document as a result of new information, future events or otherwise.</w:t>
      </w:r>
    </w:p>
    <w:p>
      <w:pPr>
        <w:spacing w:after="0" w:line="17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w:t>
      </w:r>
    </w:p>
    <w:p>
      <w:pPr>
        <w:sectPr>
          <w:pgSz w:w="11900" w:h="16838" w:orient="portrait"/>
          <w:cols w:equalWidth="0" w:num="1">
            <w:col w:w="10980"/>
          </w:cols>
          <w:pgMar w:left="440" w:top="270" w:right="479" w:bottom="1440" w:gutter="0" w:footer="0" w:header="0"/>
        </w:sectPr>
      </w:pPr>
    </w:p>
    <w:bookmarkStart w:id="15" w:name="page16"/>
    <w:bookmarkEnd w:id="15"/>
    <w:p>
      <w:pPr>
        <w:ind w:right="40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AMGEN ANNOUNCES PRICING TERMS OF SENIOR NOTES EXCHANGE OFFERS PAGE 6</w:t>
      </w:r>
    </w:p>
    <w:p>
      <w:pPr>
        <w:spacing w:after="0" w:line="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sales, product development,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A breakdown, cyberattack or information security breach could compromise the confidentiality, integrity and availability of our systems and data. Our stock price is volatile and may be affected by a number of events.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Amgen, Thousand Oaks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Trish Rowland, 805-447-5631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Megan Fox, 805-447-1423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Arvind Sood, 805-447-1060 (investors)</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2020-08-14T05:25:14Z</dcterms:created>
  <dcterms:modified xsi:type="dcterms:W3CDTF">2020-08-14T05:25:14Z</dcterms:modified>
</cp:coreProperties>
</file>