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11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18" w:lineRule="exact"/>
        <w:rPr>
          <w:sz w:val="24"/>
          <w:szCs w:val="24"/>
          <w:color w:val="auto"/>
        </w:rPr>
      </w:pPr>
    </w:p>
    <w:p>
      <w:pPr>
        <w:ind w:left="1180" w:hanging="1145"/>
        <w:spacing w:after="0"/>
        <w:tabs>
          <w:tab w:leader="none" w:pos="11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51" w:lineRule="exact"/>
        <w:rPr>
          <w:sz w:val="24"/>
          <w:szCs w:val="24"/>
          <w:color w:val="auto"/>
        </w:rPr>
      </w:pPr>
    </w:p>
    <w:p>
      <w:pPr>
        <w:ind w:left="11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18"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000-12477</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center"/>
              <w:ind w:left="201"/>
              <w:spacing w:after="0"/>
              <w:rPr>
                <w:sz w:val="20"/>
                <w:szCs w:val="20"/>
                <w:color w:val="auto"/>
              </w:rPr>
            </w:pPr>
            <w:r>
              <w:rPr>
                <w:rFonts w:ascii="Arial" w:cs="Arial" w:eastAsia="Arial" w:hAnsi="Arial"/>
                <w:sz w:val="18"/>
                <w:szCs w:val="18"/>
                <w:b w:val="1"/>
                <w:bCs w:val="1"/>
                <w:color w:val="auto"/>
                <w:w w:val="89"/>
              </w:rPr>
              <w:t>95-3540776</w:t>
            </w:r>
          </w:p>
        </w:tc>
      </w:tr>
      <w:tr>
        <w:trPr>
          <w:trHeight w:val="184"/>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4"/>
              </w:rPr>
              <w:t>(State or other jurisdiction of</w:t>
            </w:r>
          </w:p>
        </w:tc>
        <w:tc>
          <w:tcPr>
            <w:tcW w:w="1340" w:type="dxa"/>
            <w:vAlign w:val="bottom"/>
          </w:tcPr>
          <w:p>
            <w:pPr>
              <w:jc w:val="center"/>
              <w:ind w:left="201"/>
              <w:spacing w:after="0"/>
              <w:rPr>
                <w:sz w:val="20"/>
                <w:szCs w:val="20"/>
                <w:color w:val="auto"/>
              </w:rPr>
            </w:pPr>
            <w:r>
              <w:rPr>
                <w:rFonts w:ascii="Arial" w:cs="Arial" w:eastAsia="Arial" w:hAnsi="Arial"/>
                <w:sz w:val="14"/>
                <w:szCs w:val="14"/>
                <w:color w:val="auto"/>
                <w:w w:val="95"/>
              </w:rPr>
              <w:t>(I.R.S. Employer</w:t>
            </w:r>
          </w:p>
        </w:tc>
      </w:tr>
      <w:tr>
        <w:trPr>
          <w:trHeight w:val="182"/>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5"/>
              </w:rPr>
              <w:t>incorporation or organization)</w:t>
            </w:r>
          </w:p>
        </w:tc>
        <w:tc>
          <w:tcPr>
            <w:tcW w:w="1340" w:type="dxa"/>
            <w:vAlign w:val="bottom"/>
          </w:tcPr>
          <w:p>
            <w:pPr>
              <w:jc w:val="center"/>
              <w:ind w:left="181"/>
              <w:spacing w:after="0"/>
              <w:rPr>
                <w:sz w:val="20"/>
                <w:szCs w:val="20"/>
                <w:color w:val="auto"/>
              </w:rPr>
            </w:pPr>
            <w:r>
              <w:rPr>
                <w:rFonts w:ascii="Arial" w:cs="Arial" w:eastAsia="Arial" w:hAnsi="Arial"/>
                <w:sz w:val="14"/>
                <w:szCs w:val="14"/>
                <w:color w:val="auto"/>
                <w:w w:val="99"/>
              </w:rPr>
              <w:t>Identification No.)</w:t>
            </w:r>
          </w:p>
        </w:tc>
      </w:tr>
      <w:tr>
        <w:trPr>
          <w:trHeight w:val="561"/>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2"/>
              </w:rPr>
              <w:t>One Amgen Center Drive,</w:t>
            </w:r>
          </w:p>
        </w:tc>
        <w:tc>
          <w:tcPr>
            <w:tcW w:w="1340" w:type="dxa"/>
            <w:vAlign w:val="bottom"/>
          </w:tcPr>
          <w:p>
            <w:pPr>
              <w:spacing w:after="0"/>
              <w:rPr>
                <w:sz w:val="24"/>
                <w:szCs w:val="24"/>
                <w:color w:val="auto"/>
              </w:rPr>
            </w:pPr>
          </w:p>
        </w:tc>
      </w:tr>
      <w:tr>
        <w:trPr>
          <w:trHeight w:val="234"/>
        </w:trPr>
        <w:tc>
          <w:tcPr>
            <w:tcW w:w="6220" w:type="dxa"/>
            <w:vAlign w:val="bottom"/>
          </w:tcPr>
          <w:p>
            <w:pPr>
              <w:jc w:val="center"/>
              <w:ind w:right="3837"/>
              <w:spacing w:after="0"/>
              <w:rPr>
                <w:sz w:val="20"/>
                <w:szCs w:val="20"/>
                <w:color w:val="auto"/>
              </w:rPr>
            </w:pPr>
            <w:r>
              <w:rPr>
                <w:rFonts w:ascii="Arial" w:cs="Arial" w:eastAsia="Arial" w:hAnsi="Arial"/>
                <w:sz w:val="18"/>
                <w:szCs w:val="18"/>
                <w:b w:val="1"/>
                <w:bCs w:val="1"/>
                <w:color w:val="auto"/>
                <w:w w:val="92"/>
              </w:rPr>
              <w:t>Thousand Oaks, California</w:t>
            </w:r>
          </w:p>
        </w:tc>
        <w:tc>
          <w:tcPr>
            <w:tcW w:w="1340" w:type="dxa"/>
            <w:vAlign w:val="bottom"/>
          </w:tcPr>
          <w:p>
            <w:pPr>
              <w:jc w:val="center"/>
              <w:ind w:left="201"/>
              <w:spacing w:after="0"/>
              <w:rPr>
                <w:sz w:val="20"/>
                <w:szCs w:val="20"/>
                <w:color w:val="auto"/>
              </w:rPr>
            </w:pPr>
            <w:r>
              <w:rPr>
                <w:rFonts w:ascii="Arial" w:cs="Arial" w:eastAsia="Arial" w:hAnsi="Arial"/>
                <w:sz w:val="18"/>
                <w:szCs w:val="18"/>
                <w:b w:val="1"/>
                <w:bCs w:val="1"/>
                <w:color w:val="auto"/>
                <w:w w:val="89"/>
              </w:rPr>
              <w:t>91320-1799</w:t>
            </w:r>
          </w:p>
        </w:tc>
      </w:tr>
      <w:tr>
        <w:trPr>
          <w:trHeight w:val="218"/>
        </w:trPr>
        <w:tc>
          <w:tcPr>
            <w:tcW w:w="6220" w:type="dxa"/>
            <w:vAlign w:val="bottom"/>
          </w:tcPr>
          <w:p>
            <w:pPr>
              <w:jc w:val="center"/>
              <w:ind w:right="3837"/>
              <w:spacing w:after="0"/>
              <w:rPr>
                <w:sz w:val="20"/>
                <w:szCs w:val="20"/>
                <w:color w:val="auto"/>
              </w:rPr>
            </w:pPr>
            <w:r>
              <w:rPr>
                <w:rFonts w:ascii="Arial" w:cs="Arial" w:eastAsia="Arial" w:hAnsi="Arial"/>
                <w:sz w:val="14"/>
                <w:szCs w:val="14"/>
                <w:color w:val="auto"/>
                <w:w w:val="95"/>
              </w:rPr>
              <w:t>(Address of principal executive offices)</w:t>
            </w:r>
          </w:p>
        </w:tc>
        <w:tc>
          <w:tcPr>
            <w:tcW w:w="1340" w:type="dxa"/>
            <w:vAlign w:val="bottom"/>
          </w:tcPr>
          <w:p>
            <w:pPr>
              <w:jc w:val="center"/>
              <w:ind w:left="181"/>
              <w:spacing w:after="0"/>
              <w:rPr>
                <w:sz w:val="20"/>
                <w:szCs w:val="20"/>
                <w:color w:val="auto"/>
              </w:rPr>
            </w:pPr>
            <w:r>
              <w:rPr>
                <w:rFonts w:ascii="Arial" w:cs="Arial" w:eastAsia="Arial" w:hAnsi="Arial"/>
                <w:sz w:val="14"/>
                <w:szCs w:val="14"/>
                <w:color w:val="auto"/>
                <w:w w:val="96"/>
              </w:rPr>
              <w:t>(Zip Code)</w:t>
            </w:r>
          </w:p>
        </w:tc>
      </w:tr>
      <w:tr>
        <w:trPr>
          <w:trHeight w:val="376"/>
        </w:trPr>
        <w:tc>
          <w:tcPr>
            <w:tcW w:w="6220" w:type="dxa"/>
            <w:vAlign w:val="bottom"/>
          </w:tcPr>
          <w:p>
            <w:pPr>
              <w:jc w:val="right"/>
              <w:ind w:right="1517"/>
              <w:spacing w:after="0"/>
              <w:rPr>
                <w:sz w:val="20"/>
                <w:szCs w:val="20"/>
                <w:color w:val="auto"/>
              </w:rPr>
            </w:pPr>
            <w:r>
              <w:rPr>
                <w:rFonts w:ascii="Arial" w:cs="Arial" w:eastAsia="Arial" w:hAnsi="Arial"/>
                <w:sz w:val="18"/>
                <w:szCs w:val="18"/>
                <w:b w:val="1"/>
                <w:bCs w:val="1"/>
                <w:color w:val="auto"/>
              </w:rPr>
              <w:t>(805) 447-1000</w:t>
            </w:r>
          </w:p>
        </w:tc>
        <w:tc>
          <w:tcPr>
            <w:tcW w:w="1340" w:type="dxa"/>
            <w:vAlign w:val="bottom"/>
          </w:tcPr>
          <w:p>
            <w:pPr>
              <w:spacing w:after="0"/>
              <w:rPr>
                <w:sz w:val="24"/>
                <w:szCs w:val="24"/>
                <w:color w:val="auto"/>
              </w:rPr>
            </w:pPr>
          </w:p>
        </w:tc>
      </w:tr>
      <w:tr>
        <w:trPr>
          <w:trHeight w:val="230"/>
        </w:trPr>
        <w:tc>
          <w:tcPr>
            <w:tcW w:w="6220" w:type="dxa"/>
            <w:vAlign w:val="bottom"/>
          </w:tcPr>
          <w:p>
            <w:pPr>
              <w:jc w:val="center"/>
              <w:ind w:left="1797"/>
              <w:spacing w:after="0"/>
              <w:rPr>
                <w:sz w:val="20"/>
                <w:szCs w:val="20"/>
                <w:color w:val="auto"/>
              </w:rPr>
            </w:pPr>
            <w:r>
              <w:rPr>
                <w:rFonts w:ascii="Arial" w:cs="Arial" w:eastAsia="Arial" w:hAnsi="Arial"/>
                <w:sz w:val="18"/>
                <w:szCs w:val="18"/>
                <w:color w:val="auto"/>
                <w:w w:val="90"/>
              </w:rPr>
              <w:t>(Registrant’s telephone number, including area code)</w:t>
            </w:r>
          </w:p>
        </w:tc>
        <w:tc>
          <w:tcPr>
            <w:tcW w:w="1340" w:type="dxa"/>
            <w:vAlign w:val="bottom"/>
          </w:tcPr>
          <w:p>
            <w:pPr>
              <w:spacing w:after="0"/>
              <w:rPr>
                <w:sz w:val="20"/>
                <w:szCs w:val="20"/>
                <w:color w:val="auto"/>
              </w:rPr>
            </w:pPr>
          </w:p>
        </w:tc>
      </w:tr>
    </w:tbl>
    <w:p>
      <w:pPr>
        <w:spacing w:after="0" w:line="148"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625" w:right="239" w:bottom="1440" w:gutter="0" w:footer="0" w:header="0"/>
        </w:sectPr>
      </w:pPr>
    </w:p>
    <w:p>
      <w:pPr>
        <w:spacing w:after="0" w:line="136"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37" w:lineRule="exact"/>
        <w:rPr>
          <w:sz w:val="24"/>
          <w:szCs w:val="24"/>
          <w:color w:val="auto"/>
        </w:rPr>
      </w:pPr>
    </w:p>
    <w:p>
      <w:pPr>
        <w:sectPr>
          <w:pgSz w:w="11900" w:h="16838" w:orient="portrait"/>
          <w:cols w:equalWidth="0" w:num="4">
            <w:col w:w="2060" w:space="500"/>
            <w:col w:w="1460" w:space="720"/>
            <w:col w:w="3440" w:space="720"/>
            <w:col w:w="2520"/>
          </w:cols>
          <w:pgMar w:left="240" w:top="625" w:right="239" w:bottom="1440" w:gutter="0" w:footer="0" w:header="0"/>
          <w:type w:val="continuous"/>
        </w:sectPr>
      </w:pPr>
    </w:p>
    <w:p>
      <w:pPr>
        <w:ind w:left="500" w:right="256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20, 2015, the registrant had 760,323,664 shares of common stock, $0.0001 par value, outstanding.</w:t>
      </w:r>
    </w:p>
    <w:p>
      <w:pPr>
        <w:sectPr>
          <w:pgSz w:w="11900" w:h="16838" w:orient="portrait"/>
          <w:cols w:equalWidth="0" w:num="1">
            <w:col w:w="11420"/>
          </w:cols>
          <w:pgMar w:left="240" w:top="625" w:right="239" w:bottom="1440"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AMGEN INC.</w:t>
      </w:r>
    </w:p>
    <w:p>
      <w:pPr>
        <w:spacing w:after="0" w:line="14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INDEX</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Page No.</w:t>
            </w:r>
          </w:p>
        </w:tc>
      </w:tr>
      <w:tr>
        <w:trPr>
          <w:trHeight w:val="196"/>
        </w:trPr>
        <w:tc>
          <w:tcPr>
            <w:tcW w:w="3140" w:type="dxa"/>
            <w:vAlign w:val="bottom"/>
            <w:tcBorders>
              <w:bottom w:val="single" w:sz="8" w:color="0000FF"/>
            </w:tcBorders>
            <w:gridSpan w:val="9"/>
          </w:tcPr>
          <w:p>
            <w:pPr>
              <w:spacing w:after="0" w:line="170"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6520" w:type="dxa"/>
            <w:vAlign w:val="bottom"/>
            <w:gridSpan w:val="9"/>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70" w:lineRule="exact"/>
              <w:rPr>
                <w:rFonts w:ascii="Arial" w:cs="Arial" w:eastAsia="Arial" w:hAnsi="Arial"/>
                <w:sz w:val="18"/>
                <w:szCs w:val="18"/>
                <w:b w:val="1"/>
                <w:bCs w:val="1"/>
                <w:color w:val="0000FF"/>
                <w:w w:val="79"/>
              </w:rPr>
            </w:pPr>
            <w:hyperlink w:anchor="page2">
              <w:r>
                <w:rPr>
                  <w:rFonts w:ascii="Arial" w:cs="Arial" w:eastAsia="Arial" w:hAnsi="Arial"/>
                  <w:sz w:val="18"/>
                  <w:szCs w:val="18"/>
                  <w:b w:val="1"/>
                  <w:bCs w:val="1"/>
                  <w:color w:val="0000FF"/>
                  <w:w w:val="79"/>
                </w:rPr>
                <w:t>1</w:t>
              </w:r>
            </w:hyperlink>
          </w:p>
        </w:tc>
        <w:tc>
          <w:tcPr>
            <w:tcW w:w="20" w:type="dxa"/>
            <w:vAlign w:val="bottom"/>
          </w:tcPr>
          <w:p>
            <w:pPr>
              <w:spacing w:after="0"/>
              <w:rPr>
                <w:sz w:val="17"/>
                <w:szCs w:val="17"/>
                <w:color w:val="auto"/>
              </w:rPr>
            </w:pP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16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w:t>
              </w:r>
            </w:hyperlink>
          </w:p>
        </w:tc>
        <w:tc>
          <w:tcPr>
            <w:tcW w:w="6520" w:type="dxa"/>
            <w:vAlign w:val="bottom"/>
            <w:gridSpan w:val="9"/>
          </w:tcPr>
          <w:p>
            <w:pPr>
              <w:spacing w:after="0"/>
              <w:rPr>
                <w:sz w:val="22"/>
                <w:szCs w:val="22"/>
                <w:color w:val="auto"/>
              </w:rPr>
            </w:pPr>
          </w:p>
        </w:tc>
        <w:tc>
          <w:tcPr>
            <w:tcW w:w="106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2"/>
                <w:szCs w:val="22"/>
                <w:color w:val="auto"/>
              </w:rPr>
            </w:pPr>
          </w:p>
        </w:tc>
      </w:tr>
      <w:tr>
        <w:trPr>
          <w:trHeight w:val="250"/>
        </w:trPr>
        <w:tc>
          <w:tcPr>
            <w:tcW w:w="980" w:type="dxa"/>
            <w:vAlign w:val="bottom"/>
          </w:tcPr>
          <w:p>
            <w:pPr>
              <w:spacing w:after="0"/>
              <w:rPr>
                <w:sz w:val="21"/>
                <w:szCs w:val="21"/>
                <w:color w:val="auto"/>
              </w:rPr>
            </w:pPr>
          </w:p>
        </w:tc>
        <w:tc>
          <w:tcPr>
            <w:tcW w:w="4720" w:type="dxa"/>
            <w:vAlign w:val="bottom"/>
            <w:tcBorders>
              <w:bottom w:val="single" w:sz="8" w:color="0000FF"/>
            </w:tcBorders>
            <w:gridSpan w:val="11"/>
          </w:tcPr>
          <w:p>
            <w:pPr>
              <w:spacing w:after="0"/>
              <w:rPr>
                <w:rFonts w:ascii="Arial" w:cs="Arial" w:eastAsia="Arial" w:hAnsi="Arial"/>
                <w:sz w:val="18"/>
                <w:szCs w:val="18"/>
                <w:color w:val="0000FF"/>
                <w:w w:val="94"/>
              </w:rPr>
            </w:pPr>
            <w:hyperlink w:anchor="page3">
              <w:r>
                <w:rPr>
                  <w:rFonts w:ascii="Arial" w:cs="Arial" w:eastAsia="Arial" w:hAnsi="Arial"/>
                  <w:sz w:val="18"/>
                  <w:szCs w:val="18"/>
                  <w:color w:val="0000FF"/>
                  <w:w w:val="94"/>
                </w:rPr>
                <w:t>CONDENSED CONSOLIDATED STATEMENTS OF INCOME</w:t>
              </w:r>
            </w:hyperlink>
          </w:p>
        </w:tc>
        <w:tc>
          <w:tcPr>
            <w:tcW w:w="3960" w:type="dxa"/>
            <w:vAlign w:val="bottom"/>
            <w:gridSpan w:val="6"/>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6280" w:type="dxa"/>
            <w:vAlign w:val="bottom"/>
            <w:tcBorders>
              <w:bottom w:val="single" w:sz="8" w:color="0000FF"/>
            </w:tcBorders>
            <w:gridSpan w:val="15"/>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CONDENSED CONSOLIDATED STATEMENTS OF COMPREHENSIVE INCOME</w:t>
              </w:r>
            </w:hyperlink>
          </w:p>
        </w:tc>
        <w:tc>
          <w:tcPr>
            <w:tcW w:w="2400" w:type="dxa"/>
            <w:vAlign w:val="bottom"/>
            <w:gridSpan w:val="2"/>
          </w:tcPr>
          <w:p>
            <w:pPr>
              <w:spacing w:after="0"/>
              <w:rPr>
                <w:sz w:val="21"/>
                <w:szCs w:val="21"/>
                <w:color w:val="auto"/>
              </w:rPr>
            </w:pPr>
          </w:p>
        </w:tc>
        <w:tc>
          <w:tcPr>
            <w:tcW w:w="10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5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1"/>
                <w:szCs w:val="21"/>
                <w:color w:val="auto"/>
              </w:rPr>
            </w:pPr>
          </w:p>
        </w:tc>
        <w:tc>
          <w:tcPr>
            <w:tcW w:w="868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16"/>
          </w:tcPr>
          <w:p>
            <w:pPr>
              <w:spacing w:after="0"/>
              <w:rPr>
                <w:rFonts w:ascii="Arial" w:cs="Arial" w:eastAsia="Arial" w:hAnsi="Arial"/>
                <w:sz w:val="18"/>
                <w:szCs w:val="18"/>
                <w:color w:val="0000FF"/>
                <w:w w:val="97"/>
              </w:rPr>
            </w:pPr>
            <w:hyperlink w:anchor="page22">
              <w:r>
                <w:rPr>
                  <w:rFonts w:ascii="Arial" w:cs="Arial" w:eastAsia="Arial" w:hAnsi="Arial"/>
                  <w:sz w:val="18"/>
                  <w:szCs w:val="18"/>
                  <w:color w:val="0000FF"/>
                  <w:w w:val="97"/>
                </w:rPr>
                <w:t>MANAGEMENT’S DISCUSSION AND ANALYSIS OF FINANCIAL CONDITION AND RESULTS OF</w:t>
              </w:r>
            </w:hyperlink>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980" w:type="dxa"/>
            <w:vAlign w:val="bottom"/>
          </w:tcPr>
          <w:p>
            <w:pPr>
              <w:spacing w:after="0"/>
              <w:rPr>
                <w:sz w:val="17"/>
                <w:szCs w:val="17"/>
                <w:color w:val="auto"/>
              </w:rPr>
            </w:pPr>
          </w:p>
        </w:tc>
        <w:tc>
          <w:tcPr>
            <w:tcW w:w="8680" w:type="dxa"/>
            <w:vAlign w:val="bottom"/>
            <w:gridSpan w:val="17"/>
          </w:tcPr>
          <w:p>
            <w:pPr>
              <w:spacing w:after="0" w:line="196" w:lineRule="exact"/>
              <w:rPr>
                <w:rFonts w:ascii="Arial" w:cs="Arial" w:eastAsia="Arial" w:hAnsi="Arial"/>
                <w:sz w:val="18"/>
                <w:szCs w:val="18"/>
                <w:color w:val="0000FF"/>
              </w:rPr>
            </w:pPr>
            <w:hyperlink w:anchor="page22">
              <w:r>
                <w:rPr>
                  <w:rFonts w:ascii="Arial" w:cs="Arial" w:eastAsia="Arial" w:hAnsi="Arial"/>
                  <w:sz w:val="18"/>
                  <w:szCs w:val="18"/>
                  <w:color w:val="0000FF"/>
                </w:rPr>
                <w:t>OPERATIONS</w:t>
              </w:r>
            </w:hyperlink>
          </w:p>
        </w:tc>
        <w:tc>
          <w:tcPr>
            <w:tcW w:w="1180" w:type="dxa"/>
            <w:vAlign w:val="bottom"/>
            <w:gridSpan w:val="4"/>
          </w:tcPr>
          <w:p>
            <w:pPr>
              <w:jc w:val="right"/>
              <w:ind w:right="20"/>
              <w:spacing w:after="0" w:line="196" w:lineRule="exact"/>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868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QUANTITATIVE AND QUALITATIVE DISCLOSURES ABOUT MARKET RISK</w:t>
              </w:r>
            </w:hyperlink>
          </w:p>
        </w:tc>
        <w:tc>
          <w:tcPr>
            <w:tcW w:w="11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480" w:type="dxa"/>
            <w:vAlign w:val="bottom"/>
            <w:gridSpan w:val="5"/>
            <w:shd w:val="clear" w:color="auto" w:fill="0000FF"/>
          </w:tcPr>
          <w:p>
            <w:pPr>
              <w:spacing w:after="0" w:line="20" w:lineRule="exact"/>
              <w:rPr>
                <w:sz w:val="1"/>
                <w:szCs w:val="1"/>
                <w:color w:val="auto"/>
              </w:rPr>
            </w:pPr>
          </w:p>
        </w:tc>
        <w:tc>
          <w:tcPr>
            <w:tcW w:w="2600" w:type="dxa"/>
            <w:vAlign w:val="bottom"/>
            <w:tcBorders>
              <w:left w:val="single" w:sz="8" w:color="0000FF"/>
            </w:tcBorders>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6080" w:type="dxa"/>
            <w:vAlign w:val="bottom"/>
            <w:gridSpan w:val="14"/>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260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31</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60" w:type="dxa"/>
            <w:vAlign w:val="bottom"/>
            <w:gridSpan w:val="1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 OTHER INFORMATION</w:t>
              </w:r>
            </w:hyperlink>
          </w:p>
        </w:tc>
        <w:tc>
          <w:tcPr>
            <w:tcW w:w="1180" w:type="dxa"/>
            <w:vAlign w:val="bottom"/>
            <w:gridSpan w:val="4"/>
          </w:tcPr>
          <w:p>
            <w:pPr>
              <w:jc w:val="right"/>
              <w:ind w:right="20"/>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31</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880" w:type="dxa"/>
            <w:vAlign w:val="bottom"/>
            <w:gridSpan w:val="6"/>
          </w:tcPr>
          <w:p>
            <w:pPr>
              <w:spacing w:after="0"/>
              <w:rPr>
                <w:rFonts w:ascii="Arial" w:cs="Arial" w:eastAsia="Arial" w:hAnsi="Arial"/>
                <w:sz w:val="18"/>
                <w:szCs w:val="18"/>
                <w:color w:val="0000FF"/>
                <w:w w:val="94"/>
              </w:rPr>
            </w:pPr>
            <w:hyperlink w:anchor="page33">
              <w:r>
                <w:rPr>
                  <w:rFonts w:ascii="Arial" w:cs="Arial" w:eastAsia="Arial" w:hAnsi="Arial"/>
                  <w:sz w:val="18"/>
                  <w:szCs w:val="18"/>
                  <w:color w:val="0000FF"/>
                  <w:w w:val="94"/>
                </w:rPr>
                <w:t>LEGAL PROCEEDINGS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200" w:type="dxa"/>
            <w:vAlign w:val="bottom"/>
            <w:gridSpan w:val="8"/>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1880" w:type="dxa"/>
            <w:vAlign w:val="bottom"/>
            <w:gridSpan w:val="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RISK FACTORS</w:t>
              </w:r>
            </w:hyperlink>
          </w:p>
        </w:tc>
        <w:tc>
          <w:tcPr>
            <w:tcW w:w="6800" w:type="dxa"/>
            <w:vAlign w:val="bottom"/>
            <w:gridSpan w:val="11"/>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080" w:type="dxa"/>
            <w:vAlign w:val="bottom"/>
            <w:gridSpan w:val="14"/>
          </w:tcPr>
          <w:p>
            <w:pPr>
              <w:spacing w:after="0"/>
              <w:rPr>
                <w:sz w:val="20"/>
                <w:szCs w:val="20"/>
                <w:color w:val="auto"/>
              </w:rPr>
            </w:pPr>
            <w:r>
              <w:rPr>
                <w:rFonts w:ascii="Arial" w:cs="Arial" w:eastAsia="Arial" w:hAnsi="Arial"/>
                <w:sz w:val="18"/>
                <w:szCs w:val="18"/>
                <w:color w:val="0000FF"/>
                <w:w w:val="94"/>
              </w:rPr>
              <w:t>UNREGISTERED SALES OF EQUITY SECURITIES AND USE OF PROCEEDS</w:t>
            </w:r>
          </w:p>
        </w:tc>
        <w:tc>
          <w:tcPr>
            <w:tcW w:w="260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60" w:type="dxa"/>
            <w:vAlign w:val="bottom"/>
            <w:gridSpan w:val="12"/>
            <w:shd w:val="clear" w:color="auto" w:fill="0000FF"/>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080" w:type="dxa"/>
            <w:vAlign w:val="bottom"/>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2600" w:type="dxa"/>
            <w:vAlign w:val="bottom"/>
            <w:gridSpan w:val="3"/>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9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00" w:type="dxa"/>
            <w:vAlign w:val="bottom"/>
            <w:gridSpan w:val="2"/>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SIGNATURES</w:t>
              </w:r>
            </w:hyperlink>
          </w:p>
        </w:tc>
        <w:tc>
          <w:tcPr>
            <w:tcW w:w="8560" w:type="dxa"/>
            <w:vAlign w:val="bottom"/>
            <w:gridSpan w:val="16"/>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33</w:t>
              </w:r>
            </w:hyperlink>
          </w:p>
        </w:tc>
      </w:tr>
      <w:tr>
        <w:trPr>
          <w:trHeight w:val="20"/>
        </w:trPr>
        <w:tc>
          <w:tcPr>
            <w:tcW w:w="11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00" w:type="dxa"/>
            <w:vAlign w:val="bottom"/>
            <w:gridSpan w:val="3"/>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INDEX TO EXHIBITS</w:t>
              </w:r>
            </w:hyperlink>
          </w:p>
        </w:tc>
        <w:tc>
          <w:tcPr>
            <w:tcW w:w="7860" w:type="dxa"/>
            <w:vAlign w:val="bottom"/>
            <w:gridSpan w:val="15"/>
          </w:tcPr>
          <w:p>
            <w:pPr>
              <w:spacing w:after="0"/>
              <w:rPr>
                <w:sz w:val="21"/>
                <w:szCs w:val="21"/>
                <w:color w:val="auto"/>
              </w:rPr>
            </w:pPr>
          </w:p>
        </w:tc>
        <w:tc>
          <w:tcPr>
            <w:tcW w:w="1180" w:type="dxa"/>
            <w:vAlign w:val="bottom"/>
            <w:gridSpan w:val="4"/>
          </w:tcPr>
          <w:p>
            <w:pPr>
              <w:jc w:val="right"/>
              <w:ind w:right="20"/>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34</w:t>
              </w:r>
            </w:hyperlink>
          </w:p>
        </w:tc>
      </w:tr>
      <w:tr>
        <w:trPr>
          <w:trHeight w:val="20"/>
        </w:trPr>
        <w:tc>
          <w:tcPr>
            <w:tcW w:w="9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840"/>
          </w:cols>
          <w:pgMar w:left="280" w:top="364" w:right="7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66675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52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4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5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4,874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4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44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5,033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41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44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3,011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30"/>
        </w:trPr>
        <w:tc>
          <w:tcPr>
            <w:tcW w:w="4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26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4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60" w:type="dxa"/>
            <w:vAlign w:val="bottom"/>
            <w:vMerge w:val="continue"/>
          </w:tcPr>
          <w:p>
            <w:pPr>
              <w:spacing w:after="0"/>
              <w:rPr>
                <w:sz w:val="24"/>
                <w:szCs w:val="24"/>
                <w:color w:val="auto"/>
              </w:rPr>
            </w:pPr>
          </w:p>
        </w:tc>
        <w:tc>
          <w:tcPr>
            <w:tcW w:w="4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5260" w:type="dxa"/>
            <w:vAlign w:val="bottom"/>
            <w:tcBorders>
              <w:bottom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5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Basic</w:t>
            </w:r>
          </w:p>
        </w:tc>
        <w:tc>
          <w:tcPr>
            <w:tcW w:w="4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473"/>
        </w:trPr>
        <w:tc>
          <w:tcPr>
            <w:tcW w:w="4160" w:type="dxa"/>
            <w:vAlign w:val="bottom"/>
          </w:tcPr>
          <w:p>
            <w:pPr>
              <w:ind w:left="40"/>
              <w:spacing w:after="0"/>
              <w:rPr>
                <w:sz w:val="20"/>
                <w:szCs w:val="20"/>
                <w:color w:val="auto"/>
              </w:rPr>
            </w:pPr>
            <w:r>
              <w:rPr>
                <w:rFonts w:ascii="Arial" w:cs="Arial" w:eastAsia="Arial" w:hAnsi="Arial"/>
                <w:sz w:val="18"/>
                <w:szCs w:val="18"/>
                <w:color w:val="auto"/>
              </w:rPr>
              <w:t>Dividends paid per share</w:t>
            </w:r>
          </w:p>
        </w:tc>
        <w:tc>
          <w:tcPr>
            <w:tcW w:w="5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729"/>
        </w:trPr>
        <w:tc>
          <w:tcPr>
            <w:tcW w:w="4160" w:type="dxa"/>
            <w:vAlign w:val="bottom"/>
          </w:tcPr>
          <w:p>
            <w:pPr>
              <w:spacing w:after="0"/>
              <w:rPr>
                <w:sz w:val="24"/>
                <w:szCs w:val="24"/>
                <w:color w:val="auto"/>
              </w:rPr>
            </w:pPr>
          </w:p>
        </w:tc>
        <w:tc>
          <w:tcPr>
            <w:tcW w:w="5260" w:type="dxa"/>
            <w:vAlign w:val="bottom"/>
            <w:gridSpan w:val="2"/>
          </w:tcPr>
          <w:p>
            <w:pPr>
              <w:jc w:val="right"/>
              <w:ind w:right="2800"/>
              <w:spacing w:after="0"/>
              <w:rPr>
                <w:sz w:val="20"/>
                <w:szCs w:val="20"/>
                <w:color w:val="auto"/>
              </w:rPr>
            </w:pPr>
            <w:r>
              <w:rPr>
                <w:rFonts w:ascii="Arial" w:cs="Arial" w:eastAsia="Arial" w:hAnsi="Arial"/>
                <w:sz w:val="18"/>
                <w:szCs w:val="18"/>
                <w:color w:val="auto"/>
              </w:rPr>
              <w:t>See accompanying notes.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66675</wp:posOffset>
            </wp:positionV>
            <wp:extent cx="1800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reclassification adjustments and taxes:</w:t>
            </w: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Effective portion of cash flow hedges</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gains on available-for-sale securities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57"/>
        </w:trPr>
        <w:tc>
          <w:tcPr>
            <w:tcW w:w="858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84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1,768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1,108</w:t>
            </w:r>
          </w:p>
        </w:tc>
      </w:tr>
      <w:tr>
        <w:trPr>
          <w:trHeight w:val="20"/>
        </w:trPr>
        <w:tc>
          <w:tcPr>
            <w:tcW w:w="8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47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4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2014</w:t>
            </w:r>
          </w:p>
        </w:tc>
      </w:tr>
      <w:tr>
        <w:trPr>
          <w:trHeight w:val="236"/>
        </w:trPr>
        <w:tc>
          <w:tcPr>
            <w:tcW w:w="74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300" w:type="dxa"/>
            <w:vAlign w:val="bottom"/>
            <w:tcBorders>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24,254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23,295</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2,647</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3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35,064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34,713</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5,223</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12,265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14,721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14,788</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3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1,592</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68,952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69,009</w:t>
            </w:r>
          </w:p>
        </w:tc>
      </w:tr>
      <w:tr>
        <w:trPr>
          <w:trHeight w:val="67"/>
        </w:trPr>
        <w:tc>
          <w:tcPr>
            <w:tcW w:w="7440" w:type="dxa"/>
            <w:vAlign w:val="bottom"/>
            <w:tcBorders>
              <w:bottom w:val="single" w:sz="8" w:color="CCEEFF"/>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r>
      <w:tr>
        <w:trPr>
          <w:trHeight w:val="264"/>
        </w:trPr>
        <w:tc>
          <w:tcPr>
            <w:tcW w:w="74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43"/>
        </w:trPr>
        <w:tc>
          <w:tcPr>
            <w:tcW w:w="8740" w:type="dxa"/>
            <w:vAlign w:val="bottom"/>
            <w:gridSpan w:val="2"/>
          </w:tcPr>
          <w:p>
            <w:pPr>
              <w:ind w:left="3760"/>
              <w:spacing w:after="0"/>
              <w:rPr>
                <w:sz w:val="20"/>
                <w:szCs w:val="20"/>
                <w:color w:val="auto"/>
              </w:rPr>
            </w:pPr>
            <w:r>
              <w:rPr>
                <w:rFonts w:ascii="Arial" w:cs="Arial" w:eastAsia="Arial" w:hAnsi="Arial"/>
                <w:sz w:val="18"/>
                <w:szCs w:val="18"/>
                <w:b w:val="1"/>
                <w:bCs w:val="1"/>
                <w:color w:val="auto"/>
              </w:rPr>
              <w:t>LIABILITIES AND STOCKHOLDERS’ EQUITY</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1,212</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7,008</w:t>
            </w:r>
          </w:p>
        </w:tc>
      </w:tr>
      <w:tr>
        <w:trPr>
          <w:trHeight w:val="324"/>
        </w:trPr>
        <w:tc>
          <w:tcPr>
            <w:tcW w:w="7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29,841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30,215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Long-term deferred tax liability</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3,461</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w:t>
            </w:r>
          </w:p>
        </w:tc>
      </w:tr>
      <w:tr>
        <w:trPr>
          <w:trHeight w:val="324"/>
        </w:trPr>
        <w:tc>
          <w:tcPr>
            <w:tcW w:w="7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Contingencies and commitments</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324"/>
        </w:trPr>
        <w:tc>
          <w:tcPr>
            <w:tcW w:w="7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29"/>
        </w:trPr>
        <w:tc>
          <w:tcPr>
            <w:tcW w:w="7440" w:type="dxa"/>
            <w:vAlign w:val="bottom"/>
          </w:tcPr>
          <w:p>
            <w:pPr>
              <w:ind w:left="180"/>
              <w:spacing w:after="0"/>
              <w:rPr>
                <w:sz w:val="20"/>
                <w:szCs w:val="20"/>
                <w:color w:val="auto"/>
              </w:rPr>
            </w:pPr>
            <w:r>
              <w:rPr>
                <w:rFonts w:ascii="Arial" w:cs="Arial" w:eastAsia="Arial" w:hAnsi="Arial"/>
                <w:sz w:val="18"/>
                <w:szCs w:val="18"/>
                <w:color w:val="auto"/>
                <w:w w:val="99"/>
              </w:rPr>
              <w:t>Common stock and additional paid-in capital; $0.0001 par value; 2,750.0 shares authorized;</w:t>
            </w: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440" w:type="dxa"/>
            <w:vAlign w:val="bottom"/>
          </w:tcPr>
          <w:p>
            <w:pPr>
              <w:ind w:left="340"/>
              <w:spacing w:after="0"/>
              <w:rPr>
                <w:sz w:val="20"/>
                <w:szCs w:val="20"/>
                <w:color w:val="auto"/>
              </w:rPr>
            </w:pPr>
            <w:r>
              <w:rPr>
                <w:rFonts w:ascii="Arial" w:cs="Arial" w:eastAsia="Arial" w:hAnsi="Arial"/>
                <w:sz w:val="18"/>
                <w:szCs w:val="18"/>
                <w:color w:val="auto"/>
              </w:rPr>
              <w:t>outstanding - 760.4 shares in 2015 and 760.4 shares in 2014</w:t>
            </w:r>
          </w:p>
        </w:tc>
        <w:tc>
          <w:tcPr>
            <w:tcW w:w="13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30,420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30,410</w:t>
            </w:r>
          </w:p>
        </w:tc>
      </w:tr>
      <w:tr>
        <w:trPr>
          <w:trHeight w:val="27"/>
        </w:trPr>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Accumulated other comprehensive gain/(loss)</w:t>
            </w: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stockholders’ equity</w:t>
            </w:r>
          </w:p>
        </w:tc>
        <w:tc>
          <w:tcPr>
            <w:tcW w:w="1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26,506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68,952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69,009</w:t>
            </w:r>
          </w:p>
        </w:tc>
      </w:tr>
      <w:tr>
        <w:trPr>
          <w:trHeight w:val="27"/>
        </w:trPr>
        <w:tc>
          <w:tcPr>
            <w:tcW w:w="74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5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1,073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 net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receivables, net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sales of marketable securities</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1,811</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maturities of marketable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Change in restricted investments</w:t>
            </w:r>
          </w:p>
        </w:tc>
        <w:tc>
          <w:tcPr>
            <w:tcW w:w="10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Repayment of debt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Net proceeds from issuance of common stock in connection with the Company’s equity award programs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Settlement of contingent consideration obligation</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37"/>
        </w:trPr>
        <w:tc>
          <w:tcPr>
            <w:tcW w:w="7900" w:type="dxa"/>
            <w:vAlign w:val="bottom"/>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3,805</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3,687</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financial information for the three months ended March 31, 2015 and 2014, is unaudited but includes all adjustments (consisting of only normal recurring adjustments, unless otherwise indicated), which Amgen considers necessary for a fair presentation of its condensed consolidated results of operations for those periods. Interim results are not necessarily indicative of results for the full fiscal year.</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condensed consolidated financial statements should be read in conjunction with our consolidated financial statements and the notes thereto contained in our Annual Report on Form 10-K for the year ended December 31,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4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condensed consolidated financial statements include the accounts of Amgen as well as its majority-owned subsidiaries. We do not have any significant interests in any variable interest entities. All material intercompany transactions and balances have been eliminated in consolidation.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accounting principles generally accepted in the United States (GAAP) requires management to make estimates and assumptions that affect the amounts reported in the condensed consolidated financial statements and accompanying notes. Actual results may differ from those estimates.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net</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Property, plant and equipment is recorded at historical cost, net of accumulated depreciation and amortization of $7.2 billion and $7.0 billion as of March 31, 2015, and December 31, 2014,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May 2014, a new accounting standard was issued that amends the guidance for the recognition of revenue from contracts with customers to transfer goods and services. This new standard will be effective for interim and annual periods beginning January 1, 2017, and is required to be adopted using either a full retrospective or a modified retrospective approach, and early adoption is not permitted. We are currently evaluating the impact that this new standard will have on our financial statements.</w:t>
      </w:r>
    </w:p>
    <w:p>
      <w:pPr>
        <w:spacing w:after="0" w:line="10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April 2015, a new accounting standard was issued that amends the presentation for debt issuance costs. Upon adoption, such costs shall be presented on our consolidated balance sheets as a direct deduction from the carrying amount of the related debt liability and not as a deferred charge presented in Other assets on our consolidated balance sheets. This new standard will be effective for interim and annual periods beginning on January 1, 2016, and is required to be retrospectively adopted. Adoption of this new standard is not expected to have a material impact on our consolidated balance sheets or related disclosures.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Restructuring</w:t>
      </w:r>
    </w:p>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second half of 2014, we initiated a restructuring plan to invest in continuing innovation and the launch of our new pipeline molecules, while improving our cost structure. As part of the plan, we stated that we would reduce our staff by 3,500 to 4,000 by the end of 2015, close our facilities in Washington state and Colorado and reduce the number of buildings at our headquarters in Thousand Oaks, California.</w:t>
      </w:r>
    </w:p>
    <w:p>
      <w:pPr>
        <w:spacing w:after="0" w:line="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continue to estimate that $935 million to $1,035 million of pre-tax restructuring charges will be incurred in connection with the implementation of our restructuring plan, of which $650 million has been incurred through March 31, 2015. Included in these amounts are: (i) separation costs of $535 million to $585 million with respect to the staff reductions, and (ii) asset-related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charges of $400 million to $450 million consisting primarily of asset impairments, accelerated depreciation and other related costs resulting from the consolidation of our worldwide facilities.</w:t>
      </w:r>
    </w:p>
    <w:p>
      <w:pPr>
        <w:spacing w:after="0" w:line="8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2015, we incurred $92 million of restructuring costs. We expect that substantially all remaining restructuring actions and related estimated costs, as discussed above, will be incurred during the remainder of 2015 to support our ongoing transformation and process improvement efforts.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charges recorded related to the restructuring plan by type of activity and the locations recognized within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Income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8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During the three months ended March 31, 2015</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5"/>
              </w:rPr>
              <w:t>Separation costs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ind w:left="260"/>
              <w:spacing w:after="0" w:line="147" w:lineRule="exact"/>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Accelerated</w:t>
            </w:r>
          </w:p>
        </w:tc>
        <w:tc>
          <w:tcPr>
            <w:tcW w:w="260" w:type="dxa"/>
            <w:vAlign w:val="bottom"/>
          </w:tcPr>
          <w:p>
            <w:pPr>
              <w:spacing w:after="0"/>
              <w:rPr>
                <w:sz w:val="12"/>
                <w:szCs w:val="12"/>
                <w:color w:val="auto"/>
              </w:rPr>
            </w:pPr>
          </w:p>
        </w:tc>
        <w:tc>
          <w:tcPr>
            <w:tcW w:w="8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impairments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21"/>
                <w:szCs w:val="21"/>
                <w:color w:val="auto"/>
              </w:rPr>
            </w:pP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1"/>
                <w:szCs w:val="21"/>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Asset impairment and accelerated depreciation charges were recognized in connection with our decision to exit Boulder and Longmont, Colorado, Bothell and Seattle, Washington and the consolidation of facilities in Thousand Oaks, California. The decision to accelerate the closure of these manufacturing and research and development (R&amp;D) facilities was principally based on optimizing the utilization of our sites in the United States, which includes an expansion of our presence in the key U.S. biotechnology hubs of South San Francisco, California and Cambridge, Massachusetts.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charges and spending related to the restructuring plan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3"/>
              </w:rPr>
              <w:t>During the three months ended March 31, 2015</w:t>
            </w:r>
          </w:p>
        </w:tc>
        <w:tc>
          <w:tcPr>
            <w:tcW w:w="134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Separation costs</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22"/>
                <w:szCs w:val="22"/>
                <w:color w:val="auto"/>
              </w:rPr>
            </w:pPr>
          </w:p>
        </w:tc>
        <w:tc>
          <w:tcPr>
            <w:tcW w:w="1340" w:type="dxa"/>
            <w:vAlign w:val="bottom"/>
          </w:tcPr>
          <w:p>
            <w:pPr>
              <w:jc w:val="right"/>
              <w:ind w:right="7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liabilities as of December 31, 2014</w:t>
            </w:r>
          </w:p>
        </w:tc>
        <w:tc>
          <w:tcPr>
            <w:tcW w:w="1540" w:type="dxa"/>
            <w:vAlign w:val="bottom"/>
            <w:tcBorders>
              <w:top w:val="single" w:sz="8" w:color="auto"/>
              <w:bottom w:val="single" w:sz="8" w:color="CCEEFF"/>
            </w:tcBorders>
            <w:shd w:val="clear" w:color="auto" w:fill="CCEEFF"/>
          </w:tcPr>
          <w:p>
            <w:pPr>
              <w:jc w:val="right"/>
              <w:ind w:right="13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Expense</w:t>
            </w:r>
          </w:p>
        </w:tc>
        <w:tc>
          <w:tcPr>
            <w:tcW w:w="1540" w:type="dxa"/>
            <w:vAlign w:val="bottom"/>
          </w:tcPr>
          <w:p>
            <w:pPr>
              <w:spacing w:after="0"/>
              <w:rPr>
                <w:sz w:val="21"/>
                <w:szCs w:val="21"/>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53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5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Restructuring liabilities as of March 31, 2015</w:t>
            </w:r>
          </w:p>
        </w:tc>
        <w:tc>
          <w:tcPr>
            <w:tcW w:w="1540" w:type="dxa"/>
            <w:vAlign w:val="bottom"/>
            <w:tcBorders>
              <w:top w:val="single" w:sz="8" w:color="auto"/>
              <w:bottom w:val="single" w:sz="8" w:color="auto"/>
            </w:tcBorders>
          </w:tcPr>
          <w:p>
            <w:pPr>
              <w:jc w:val="right"/>
              <w:ind w:right="133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170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w:t>
            </w:r>
          </w:p>
        </w:tc>
      </w:tr>
      <w:tr>
        <w:trPr>
          <w:trHeight w:val="20"/>
        </w:trPr>
        <w:tc>
          <w:tcPr>
            <w:tcW w:w="53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4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effective tax rate for the three months ended March 31, 2015, was 13.5% compared with 10.9% for the corresponding period of the prior year. The effective rates are different from the federal statutory rates primarily as a result of indefinitely reinvested earnings of our foreign operations. We do not provide for U.S. income taxes on undistributed earnings of our foreign operations that are intended to be invested indefinitely outside of the United States. In addition, the effective tax rates for both periods were reduced by foreign tax credits associated with the Puerto Rico excise tax described below.</w:t>
      </w:r>
    </w:p>
    <w:p>
      <w:pPr>
        <w:spacing w:after="0" w:line="7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increase in our effective tax rate for the three months ended March 31, 2015, was due primarily to the unfavorable tax impact of changes in the jurisdictional mix of income and expenses, offset partially by a state tax audit settlement in the three months ended March 31, 2015.</w:t>
      </w:r>
    </w:p>
    <w:p>
      <w:pPr>
        <w:spacing w:after="0" w:line="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Puerto Rico imposes an excise tax on the gross intercompany purchase price of goods and services from our manufacturing subsidiary in Puerto Rico. The rate is 4.0% effective July 1, 2013 through December 31, 2017. We account for the excise tax as a manufacturing cost that is capitalized in inventory and expensed in cost of sales when the related products are sold. For U.S. income tax purposes, the excise tax results in foreign tax credits that are generally recognized in our provision for income taxes when the excise tax is incurred.</w:t>
      </w:r>
    </w:p>
    <w:p>
      <w:pPr>
        <w:spacing w:after="0" w:line="10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One or more of our legal entities file income tax returns in the U.S. federal jurisdiction, various U.S. state jurisdictions and certain foreign jurisdictions. Our income tax returns are routinely audited by the tax authorities in those jurisdictions. Significant disputes may arise with these tax authorities involving issues of the timing and amount of income and deductions, the use of tax credits and allocations of income among various tax jurisdictions because of differing interpretations of tax laws and regulations. We are no longer subject to U.S. federal income tax examinations for years ended on or before December 31, 2009, or to California state income tax examinations for years ended on or before December 31, 2008.</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8" w:name="page9"/>
    <w:bookmarkEnd w:id="8"/>
    <w:p>
      <w:pPr>
        <w:jc w:val="both"/>
        <w:ind w:firstLine="405"/>
        <w:spacing w:after="0" w:line="286" w:lineRule="auto"/>
        <w:rPr>
          <w:sz w:val="20"/>
          <w:szCs w:val="20"/>
          <w:color w:val="auto"/>
        </w:rPr>
      </w:pPr>
      <w:r>
        <w:rPr>
          <w:rFonts w:ascii="Arial" w:cs="Arial" w:eastAsia="Arial" w:hAnsi="Arial"/>
          <w:sz w:val="17"/>
          <w:szCs w:val="17"/>
          <w:color w:val="auto"/>
        </w:rPr>
        <w:t>During the three months ended March 31, 2015, the gross amount of our unrecognized tax benefits (UTBs) increased by approximately $100 million as a result of tax positions taken during the current year. The UTB balance decreased by approximately $70 million during the first quarter of 2015 due to a state tax audit settlement. Substantially all of the UTBs as of March 31, 2015, if recognized, would affect our effective tax rate.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computation of basic earnings per share (EPS) is based on the weighted-average number of our common shares outstanding. The computation of diluted EPS is based on the weighted-average number of our common shares outstanding and dilutive potential common shares, which include principally shares that may be issued under our stock option awards and restricted stock and performance unit awards, determined using the treasury stock method (collectively “dilutive securities”).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computation for basic and diluted EPS was as follows (in millions, except per share data):</w:t>
      </w:r>
    </w:p>
    <w:p>
      <w:pPr>
        <w:spacing w:after="0" w:line="365"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66675</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(Numerator):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income for basic and diluted EPS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1,623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1,073</w:t>
            </w:r>
          </w:p>
        </w:tc>
      </w:tr>
      <w:tr>
        <w:trPr>
          <w:trHeight w:val="27"/>
        </w:trPr>
        <w:tc>
          <w:tcPr>
            <w:tcW w:w="8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(Denominator):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Weighted-average shares for basic EPS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757</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37"/>
        </w:trPr>
        <w:tc>
          <w:tcPr>
            <w:tcW w:w="8360" w:type="dxa"/>
            <w:vAlign w:val="bottom"/>
          </w:tcPr>
          <w:p>
            <w:pPr>
              <w:ind w:left="180"/>
              <w:spacing w:after="0"/>
              <w:rPr>
                <w:sz w:val="20"/>
                <w:szCs w:val="20"/>
                <w:color w:val="auto"/>
              </w:rPr>
            </w:pPr>
            <w:r>
              <w:rPr>
                <w:rFonts w:ascii="Arial" w:cs="Arial" w:eastAsia="Arial" w:hAnsi="Arial"/>
                <w:sz w:val="18"/>
                <w:szCs w:val="18"/>
                <w:color w:val="auto"/>
              </w:rPr>
              <w:t>Weighted-average shares for diluted EPS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768</w:t>
            </w:r>
          </w:p>
        </w:tc>
      </w:tr>
      <w:tr>
        <w:trPr>
          <w:trHeight w:val="27"/>
        </w:trPr>
        <w:tc>
          <w:tcPr>
            <w:tcW w:w="8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8"/>
        </w:trPr>
        <w:tc>
          <w:tcPr>
            <w:tcW w:w="8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1.40</w:t>
            </w: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2015 and 2014, the number of anti-dilutive employee stock-based awards excluded from the computation of diluted EPS was not significant.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Available-for-sale investments</w:t>
      </w:r>
    </w:p>
    <w:p>
      <w:pPr>
        <w:spacing w:after="0" w:line="148"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values of available-for-sale investments by type of security were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 of security as of March 31, 2015</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government-related debt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Foreign and 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1,690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6,525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mortgage- and asset-backed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1,708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short-term interest-bearing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1,520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interest-bearing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26,384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26,516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available-for-sale investments</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26,482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26,674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 of security as of December 31, 2014</w:t>
            </w:r>
          </w:p>
        </w:tc>
        <w:tc>
          <w:tcPr>
            <w:tcW w:w="30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unrealized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center"/>
              <w:ind w:right="173"/>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CCEEFF"/>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77"/>
              </w:rPr>
              <w:t>losses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government-related debt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Foreign and 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Financial</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6,036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43"/>
        </w:trPr>
        <w:tc>
          <w:tcPr>
            <w:tcW w:w="5160" w:type="dxa"/>
            <w:vAlign w:val="bottom"/>
            <w:gridSpan w:val="3"/>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mortgage- and asset-backed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Money market mutual funds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 short-term interest-bearing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interest-bearing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26,588</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available-for-sale investments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6"/>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ind w:left="420"/>
        <w:spacing w:after="0"/>
        <w:rPr>
          <w:sz w:val="20"/>
          <w:szCs w:val="20"/>
          <w:color w:val="auto"/>
        </w:rPr>
      </w:pPr>
      <w:r>
        <w:rPr>
          <w:rFonts w:ascii="Arial" w:cs="Arial" w:eastAsia="Arial" w:hAnsi="Arial"/>
          <w:sz w:val="17"/>
          <w:szCs w:val="17"/>
          <w:color w:val="auto"/>
        </w:rPr>
        <w:t>The fair values of available-for-sale investments by classification in the Condensed Consolidated Balance Sheets were as follows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Classification in the Condensed Consolidated Balance Sheets</w:t>
            </w:r>
          </w:p>
        </w:tc>
        <w:tc>
          <w:tcPr>
            <w:tcW w:w="120" w:type="dxa"/>
            <w:vAlign w:val="bottom"/>
            <w:vMerge w:val="restart"/>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Marketable securities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24,254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23,295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 noncurrent</w:t>
            </w: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Total available-for-sale investments</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26,674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and cash equivalents in the table above excludes cash of $602 million and $438 million as of March 31, 2015, and December 31, 2014, respectively.</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available-for-sale interest-bearing security investments by contractual maturity, except for mortgage- and asset-backed securities that do not have a single maturity date, were as follows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maturity</w:t>
            </w:r>
          </w:p>
        </w:tc>
        <w:tc>
          <w:tcPr>
            <w:tcW w:w="120" w:type="dxa"/>
            <w:vAlign w:val="bottom"/>
            <w:vMerge w:val="restart"/>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Maturing in one year or less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Maturing after one year through three years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7,428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Maturing after three years through five years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Maturing after five years through ten years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Maturing after ten years</w:t>
            </w:r>
          </w:p>
        </w:tc>
        <w:tc>
          <w:tcPr>
            <w:tcW w:w="1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Mortgage- and asset-backed securities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interest-bearing securities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26,516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26,588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three months ended March 31, 2015 and 2014, realized gains totaled $36 million and $28 million, respectively, and realized losses totaled $71 million and $26 million, respectively. The cost of securities sold is based on the specific identification method.</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unrealized losses on available-for-sale investments and their related fair values were as follows (in millions):</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 of security as of March 31, 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2"/>
              </w:rPr>
              <w:t>Unrealized losses</w:t>
            </w: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4,995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1" w:name="page12"/>
    <w:bookmarkEnd w:id="11"/>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4"/>
                <w:szCs w:val="14"/>
                <w:b w:val="1"/>
                <w:bCs w:val="1"/>
                <w:color w:val="auto"/>
              </w:rPr>
              <w:t>12 months or greater</w:t>
            </w:r>
          </w:p>
        </w:tc>
      </w:tr>
      <w:tr>
        <w:trPr>
          <w:trHeight w:val="26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Type of security as of December 31, 2014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Unrealized losses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2"/>
              </w:rPr>
              <w:t>Unrealized losses</w:t>
            </w: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government-related debt securities: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Foreign and 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7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Other mortgage- and asset-backed securities</w:t>
            </w:r>
          </w:p>
        </w:tc>
        <w:tc>
          <w:tcPr>
            <w:tcW w:w="28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11,569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primary objective of our investment portfolio is to enhance overall returns in an efficient manner while maintaining safety of principal, prudent levels of liquidity and acceptable levels of risk. Our investment policy limits interest-bearing security investments to certain types of debt and money market instruments issued by institutions with primarily investment grade credit ratings and places restrictions on maturities and concentration by asset class and issuer.</w:t>
      </w:r>
    </w:p>
    <w:p>
      <w:pPr>
        <w:spacing w:after="0" w:line="10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review our available-for-sale investments for other-than-temporary declines in fair value below our cost basis each quarter and whenever events or changes in circumstances indicate that the cost basis of an asset may not be recoverable. This evaluation is based on a number of factors, including the length of time and the extent to which the fair value has been below our cost basis and adverse conditions related specifically to the security, including any changes to the credit rating of the security, and the intent to sell, or whether we will more likely than not be required to sell, the security before recovery of its amortized cost basis. Our assessment of whether a security is other-than-temporarily impaired could change in the future due to new developments or changes in assumptions related to any particular security. As of March 31, 2015, and December 31, 2014, we believe the cost bases for our available-for-sale investments were recoverable in all material respects.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43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6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2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7. Goodwill and other intangible assets</w:t>
            </w: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6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6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660" w:type="dxa"/>
            <w:vAlign w:val="bottom"/>
          </w:tcPr>
          <w:p>
            <w:pPr>
              <w:ind w:left="420"/>
              <w:spacing w:after="0"/>
              <w:rPr>
                <w:sz w:val="20"/>
                <w:szCs w:val="20"/>
                <w:color w:val="auto"/>
              </w:rPr>
            </w:pPr>
            <w:r>
              <w:rPr>
                <w:rFonts w:ascii="Arial" w:cs="Arial" w:eastAsia="Arial" w:hAnsi="Arial"/>
                <w:sz w:val="18"/>
                <w:szCs w:val="18"/>
                <w:color w:val="auto"/>
              </w:rPr>
              <w:t>The changes in the carrying amounts of goodwill were as follows (in millions):</w:t>
            </w: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60" w:type="dxa"/>
            <w:vAlign w:val="bottom"/>
          </w:tcPr>
          <w:p>
            <w:pPr>
              <w:spacing w:after="0"/>
              <w:rPr>
                <w:sz w:val="24"/>
                <w:szCs w:val="24"/>
                <w:color w:val="auto"/>
              </w:rPr>
            </w:pPr>
          </w:p>
        </w:tc>
        <w:tc>
          <w:tcPr>
            <w:tcW w:w="3760" w:type="dxa"/>
            <w:vAlign w:val="bottom"/>
            <w:tcBorders>
              <w:bottom w:val="single" w:sz="8" w:color="auto"/>
            </w:tcBorders>
            <w:gridSpan w:val="5"/>
          </w:tcPr>
          <w:p>
            <w:pPr>
              <w:jc w:val="right"/>
              <w:ind w:right="815"/>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14,788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14,968</w:t>
            </w: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color w:val="auto"/>
              </w:rPr>
              <w:t>Goodwill related to acquisitions of businesses</w:t>
            </w:r>
            <w:r>
              <w:rPr>
                <w:rFonts w:ascii="Arial" w:cs="Arial" w:eastAsia="Arial" w:hAnsi="Arial"/>
                <w:sz w:val="25"/>
                <w:szCs w:val="25"/>
                <w:color w:val="auto"/>
                <w:vertAlign w:val="superscript"/>
              </w:rPr>
              <w:t>(1)</w:t>
            </w:r>
          </w:p>
        </w:tc>
        <w:tc>
          <w:tcPr>
            <w:tcW w:w="122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and other adjustments</w:t>
            </w:r>
          </w:p>
        </w:tc>
        <w:tc>
          <w:tcPr>
            <w:tcW w:w="1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1220" w:type="dxa"/>
            <w:vAlign w:val="bottom"/>
            <w:tcBorders>
              <w:top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14,721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0" w:hanging="208"/>
        <w:spacing w:after="0" w:line="252" w:lineRule="auto"/>
        <w:tabs>
          <w:tab w:leader="none" w:pos="5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Composed of goodwill recognized on the acquisition dates of business combinations and subsequent adjustments to these amounts resulting from changes to the acquisition date fair values of net assets acquired in the business combinations recorded during their respective measurement periods.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intangible assets consisted of the following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2015</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2014</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Intangible</w:t>
            </w:r>
          </w:p>
        </w:tc>
        <w:tc>
          <w:tcPr>
            <w:tcW w:w="240" w:type="dxa"/>
            <w:vAlign w:val="bottom"/>
          </w:tcPr>
          <w:p>
            <w:pPr>
              <w:spacing w:after="0"/>
              <w:rPr>
                <w:sz w:val="13"/>
                <w:szCs w:val="13"/>
                <w:color w:val="auto"/>
              </w:rPr>
            </w:pPr>
          </w:p>
        </w:tc>
        <w:tc>
          <w:tcPr>
            <w:tcW w:w="11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Intangible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carrying</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amortization</w:t>
            </w: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 net</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amortization</w:t>
            </w:r>
          </w:p>
        </w:tc>
        <w:tc>
          <w:tcPr>
            <w:tcW w:w="220" w:type="dxa"/>
            <w:vAlign w:val="bottom"/>
          </w:tcPr>
          <w:p>
            <w:pPr>
              <w:spacing w:after="0"/>
              <w:rPr>
                <w:sz w:val="16"/>
                <w:szCs w:val="16"/>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w w:val="96"/>
              </w:rPr>
              <w:t>assets, net</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Developed product technology rights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10,786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10,826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Licensing rights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R&amp;D technology rights</w:t>
            </w: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Marketing-related rights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16,377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16,470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20"/>
              <w:spacing w:after="0"/>
              <w:rPr>
                <w:sz w:val="20"/>
                <w:szCs w:val="20"/>
                <w:color w:val="auto"/>
              </w:rPr>
            </w:pPr>
            <w:r>
              <w:rPr>
                <w:rFonts w:ascii="Arial" w:cs="Arial" w:eastAsia="Arial" w:hAnsi="Arial"/>
                <w:sz w:val="18"/>
                <w:szCs w:val="18"/>
                <w:color w:val="auto"/>
              </w:rPr>
              <w:t>(IPR&amp;D)</w:t>
            </w:r>
          </w:p>
        </w:tc>
        <w:tc>
          <w:tcPr>
            <w:tcW w:w="2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18,625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12,693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Developed product technology rights consist of rights related to marketed products acquired in business combinations. Licensing rights are composed primarily of contractual rights acquired in business combinations to receive future milestones, royalties and profit sharing payments, capitalized payments to third parties for milestones related to regulatory approvals to commercialize products and up-front payments associated with royalty obligations for marketed products. R&amp;D technology rights consist of technology used in R&amp;D with alternative future uses. Marketing-related intangible assets are composed primarily of rights related to the sale and distribution of marketed products.</w:t>
      </w:r>
    </w:p>
    <w:p>
      <w:pPr>
        <w:spacing w:after="0" w:line="107" w:lineRule="exact"/>
        <w:rPr>
          <w:sz w:val="20"/>
          <w:szCs w:val="20"/>
          <w:color w:val="auto"/>
        </w:rPr>
      </w:pPr>
    </w:p>
    <w:p>
      <w:pPr>
        <w:jc w:val="both"/>
        <w:ind w:firstLine="405"/>
        <w:spacing w:after="0" w:line="232" w:lineRule="auto"/>
        <w:rPr>
          <w:sz w:val="20"/>
          <w:szCs w:val="20"/>
          <w:color w:val="auto"/>
        </w:rPr>
      </w:pPr>
      <w:r>
        <w:rPr>
          <w:rFonts w:ascii="Arial" w:cs="Arial" w:eastAsia="Arial" w:hAnsi="Arial"/>
          <w:sz w:val="18"/>
          <w:szCs w:val="18"/>
          <w:color w:val="auto"/>
        </w:rPr>
        <w:t>IPR&amp;D consists of R&amp;D projects acquired in a business combination which are not complete due to remaining technological risks and/or lack of receipt of the required regulatory approvals. These projects include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(carfilzomib) for Injection and oprozomib acquired in the acquisition of Onyx Pharmaceuticals, Inc. (Onyx), AMG 416 acquired in the acquisition of KAI Pharmaceuticals and talimogene laherparepvec acquired in the acquisition of BioVex Group, Inc. (BioVex).</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2015, we announced that the Cellular, Tissue and Gene Therapies Advisory Committee (CTGTAC) and the Oncologic Drugs Advisory Committee (ODAC) of the U.S. Food and Drug Administration (FDA) will jointly review our talimogene laherparepvec Biologics License Application (BLA) at a meeting on April 29, 2015. The FDA will consider the advisory committees' recommendations in its review of our talimogene laherparepvec BLA for the treatment of patients with injectable regionally or distantly metastatic melanoma. As of March 31, 2015, the carrying value of the IPR&amp;D for talimogene laherparepvec was $675 million.</w:t>
      </w:r>
    </w:p>
    <w:p>
      <w:pPr>
        <w:spacing w:after="0" w:line="107"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For all IPR&amp;D projects, there are major risks and uncertainties associated with the timely and successful completion of development and commercialization of these product candidates, including our ability to confirm their safety and efficacy based on data from clinical trials, our ability to obtain necessary regulatory approvals and our ability to successfully complete these tasks within budgeted costs. We are not able to market a human therapeutic without obtaining regulatory approvals, and such approvals require completing clinical trials that demonstrate a product candidate is safe and effective. In addition, the availability and extent of coverage and reimbursement from third-party payers, including government healthcare programs and private insurance plans, impact the revenues a product can generate. Consequently, the eventual realized value, if any, of these acquired IPR&amp;D projects may vary from their estimated fair values. IPR&amp;D projects are reviewed annually for impairment and whenever events or changes in circumstances indicate that the carrying amount may not be recoverable. For example, if the BLA for talimogene laherparepvec is not approved for treatment of patients with injectable regionally or distantly metastatic melanoma, we would be required to test the talimogene laherparepvec IPR&amp;D asset for impairment again.</w:t>
      </w:r>
    </w:p>
    <w:p>
      <w:pPr>
        <w:spacing w:after="0" w:line="8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2015 and 2014, we recognized amortization charges associated with our finite-lived intangible assets of $341 million and $357 million, respectively. The total estimated amortization charges for our finite-lived intangible assets for the nine months ending December 31, 2015, and the years ending December 31, 2016, 2017, 2018, 2019 and 2020, are $1.0 billion, $1.3 billion, $1.2 billion, $1.0 billion, $939 million and $891 million,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 Financing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carrying values and the fixed contractual coupon rates, as applicable, of our long-term borrowings were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36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2.30% notes due 2016 (2.30% 2016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2.50% notes due 2016 (2.50% 2016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1,000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Floating Rate Notes due 2017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1.25% notes due 2017 (1.25% 2017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849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2.125% notes due 2017 (2.125% 2017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5.85% notes due 2017 (5.85% 2017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1,100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6.15% notes due 2018 (6.15% 2018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Term Loan due 2018</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4,375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4.375% euro-denominated notes due 2018 (4.375% 2018 euro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Floating Rate Notes due 2019</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250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2.20% notes due 2019 (2.20% 2019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5.70% notes due 2019 (5.70% 2019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999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2.125% euro-denominated notes due 2019 (2.125% 2019 euro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4.50% notes due 2020 (4.50% 2020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3.45% notes due 2020 (3.45% 2020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4.10% notes due 2021 (4.10% 2021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998</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3.875% notes due 2021 (3.875% 2021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3.625% notes due 2022 (3.625% 2022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747</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3.625% notes due 2024 (3.625% 2024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5.50% pound-sterling-denominated notes due 2026 (5.50% 2026 pound sterling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735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4.00% pound-sterling-denominated notes due 2029 (4.00% 2029 pound sterling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6.375% notes due 2037 (6.375% 2037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899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6.90% notes due 2038 (6.90% 2038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6.40% notes due 2039 (6.40% 2039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996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5.75% notes due 2040 (5.75% 2040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4.95% notes due 2041 (4.95% 2041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596</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5.15% notes due 2041 (5.15% 2041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5.65% notes due 2042 (5.65% 2042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1,245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notes due 2043 (5.375% 2043 Notes)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notes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100</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30,715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noncurrent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30,215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repayments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2015, we repaid $125 million of principal on our Term Loan Credit Facility.</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36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under our stock repurchase program was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9"/>
              </w:rPr>
              <w:t>2015</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120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Dollars</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Dollars</w:t>
            </w: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2015, $3.4 billion remained available under our stock repurchase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December 17, 2014, the Board of Directors declared a quarterly cash dividend of $0.79 per share of common stock, which was paid on March 6, 2015. On March 4, 2015, the Board of Directors declared a quarterly cash dividend of $0.79 per share of common stock, which will be paid on June 5, 2015, to all stockholders of record as of the close of business on May 14,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accumulated other comprehensive income (AOCI) were as follows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24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Cash flow</w:t>
            </w:r>
          </w:p>
        </w:tc>
        <w:tc>
          <w:tcPr>
            <w:tcW w:w="12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Available-for-sale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10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hedges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securities</w:t>
            </w: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Reclassification adjustments to income</w:t>
            </w:r>
          </w:p>
        </w:tc>
        <w:tc>
          <w:tcPr>
            <w:tcW w:w="24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Balance as of March 31, 2015</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reclassifications out of AOCI to earnings were as follows (in millions):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Amounts reclassified out of AOCI</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Components of AOCI</w:t>
            </w:r>
          </w:p>
        </w:tc>
        <w:tc>
          <w:tcPr>
            <w:tcW w:w="100" w:type="dxa"/>
            <w:vAlign w:val="bottom"/>
            <w:vMerge w:val="restart"/>
          </w:tcPr>
          <w:p>
            <w:pPr>
              <w:spacing w:after="0"/>
              <w:rPr>
                <w:sz w:val="13"/>
                <w:szCs w:val="13"/>
                <w:color w:val="auto"/>
              </w:rPr>
            </w:pPr>
          </w:p>
        </w:tc>
        <w:tc>
          <w:tcPr>
            <w:tcW w:w="19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Three months ended March</w:t>
            </w:r>
          </w:p>
        </w:tc>
        <w:tc>
          <w:tcPr>
            <w:tcW w:w="1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5"/>
              </w:rPr>
              <w:t>Three months ended March</w:t>
            </w:r>
          </w:p>
        </w:tc>
        <w:tc>
          <w:tcPr>
            <w:tcW w:w="100" w:type="dxa"/>
            <w:vAlign w:val="bottom"/>
          </w:tcPr>
          <w:p>
            <w:pPr>
              <w:spacing w:after="0"/>
              <w:rPr>
                <w:sz w:val="13"/>
                <w:szCs w:val="13"/>
                <w:color w:val="auto"/>
              </w:rPr>
            </w:pPr>
          </w:p>
        </w:tc>
        <w:tc>
          <w:tcPr>
            <w:tcW w:w="29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Line item affected in the Statements of Income</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31, 2015</w:t>
            </w:r>
          </w:p>
        </w:tc>
        <w:tc>
          <w:tcPr>
            <w:tcW w:w="100" w:type="dxa"/>
            <w:vAlign w:val="bottom"/>
          </w:tcPr>
          <w:p>
            <w:pPr>
              <w:spacing w:after="0"/>
              <w:rPr>
                <w:sz w:val="16"/>
                <w:szCs w:val="16"/>
                <w:color w:val="auto"/>
              </w:rPr>
            </w:pPr>
          </w:p>
        </w:tc>
        <w:tc>
          <w:tcPr>
            <w:tcW w:w="13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31, 2014</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Cash flow hedges:</w:t>
            </w: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Foreign currency contract gains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43"/>
        </w:trPr>
        <w:tc>
          <w:tcPr>
            <w:tcW w:w="4500" w:type="dxa"/>
            <w:vAlign w:val="bottom"/>
            <w:gridSpan w:val="2"/>
          </w:tcPr>
          <w:p>
            <w:pPr>
              <w:ind w:left="260"/>
              <w:spacing w:after="0"/>
              <w:rPr>
                <w:sz w:val="20"/>
                <w:szCs w:val="20"/>
                <w:color w:val="auto"/>
              </w:rPr>
            </w:pPr>
            <w:r>
              <w:rPr>
                <w:rFonts w:ascii="Arial" w:cs="Arial" w:eastAsia="Arial" w:hAnsi="Arial"/>
                <w:sz w:val="18"/>
                <w:szCs w:val="18"/>
                <w:color w:val="auto"/>
              </w:rPr>
              <w:t>Cross-currency swap contract (losses) gains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before income tax</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Tax benefit/(expense)</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taxes</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0"/>
              <w:spacing w:after="0"/>
              <w:rPr>
                <w:sz w:val="20"/>
                <w:szCs w:val="20"/>
                <w:color w:val="auto"/>
              </w:rPr>
            </w:pPr>
            <w:r>
              <w:rPr>
                <w:rFonts w:ascii="Arial" w:cs="Arial" w:eastAsia="Arial" w:hAnsi="Arial"/>
                <w:sz w:val="18"/>
                <w:szCs w:val="18"/>
                <w:color w:val="auto"/>
              </w:rPr>
              <w:t>Available-for-sale securities:</w:t>
            </w: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0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realized (losses) gains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920" w:type="dxa"/>
            <w:vAlign w:val="bottom"/>
          </w:tcPr>
          <w:p>
            <w:pPr>
              <w:ind w:left="40"/>
              <w:spacing w:after="0"/>
              <w:rPr>
                <w:sz w:val="20"/>
                <w:szCs w:val="20"/>
                <w:color w:val="auto"/>
              </w:rPr>
            </w:pPr>
            <w:r>
              <w:rPr>
                <w:rFonts w:ascii="Arial" w:cs="Arial" w:eastAsia="Arial" w:hAnsi="Arial"/>
                <w:sz w:val="18"/>
                <w:szCs w:val="18"/>
                <w:color w:val="auto"/>
              </w:rPr>
              <w:t>Tax benefit/(expense)</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of taxes</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Fair value measurement</w:t>
      </w:r>
    </w:p>
    <w:p>
      <w:pPr>
        <w:spacing w:after="0" w:line="14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divided into three levels based on the source of inputs as follows:</w:t>
      </w:r>
    </w:p>
    <w:p>
      <w:pPr>
        <w:spacing w:after="0" w:line="212"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 Valuations based on unadjusted quoted prices in active markets for identical assets or liabilities that the Company has the ability to access</w:t>
      </w:r>
    </w:p>
    <w:p>
      <w:pPr>
        <w:spacing w:after="0" w:line="63"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 Valuations for which all significant inputs are observable, either directly or indirectly, other than level 1 inputs</w:t>
      </w:r>
    </w:p>
    <w:p>
      <w:pPr>
        <w:spacing w:after="0" w:line="63" w:lineRule="exact"/>
        <w:rPr>
          <w:sz w:val="20"/>
          <w:szCs w:val="20"/>
          <w:color w:val="auto"/>
        </w:rPr>
      </w:pPr>
    </w:p>
    <w:p>
      <w:pPr>
        <w:ind w:left="40"/>
        <w:spacing w:after="0"/>
        <w:tabs>
          <w:tab w:leader="none" w:pos="10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 Valuations based on inputs that are unobservable and significant to the overall fair value measurement</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 of each major class of the Company’s financial assets and liabilities measured at fair value on a recurring basis was as follows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Quoted prices in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measurement</w:t>
            </w: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 for</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other observable</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March 31, 2015,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86"/>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21,985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obligations in connection with</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business combinations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64"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Quoted prices in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Significant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measurement</w:t>
            </w: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 for</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other observable</w:t>
            </w:r>
          </w:p>
        </w:tc>
        <w:tc>
          <w:tcPr>
            <w:tcW w:w="26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December 31, 2014, using:</w:t>
            </w:r>
          </w:p>
        </w:tc>
        <w:tc>
          <w:tcPr>
            <w:tcW w:w="180" w:type="dxa"/>
            <w:vAlign w:val="bottom"/>
          </w:tcPr>
          <w:p>
            <w:pPr>
              <w:spacing w:after="0"/>
              <w:rPr>
                <w:sz w:val="10"/>
                <w:szCs w:val="10"/>
                <w:color w:val="auto"/>
              </w:rPr>
            </w:pPr>
          </w:p>
        </w:tc>
        <w:tc>
          <w:tcPr>
            <w:tcW w:w="154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86"/>
              </w:rPr>
              <w:t>identical assets</w:t>
            </w:r>
          </w:p>
        </w:tc>
        <w:tc>
          <w:tcPr>
            <w:tcW w:w="200" w:type="dxa"/>
            <w:vAlign w:val="bottom"/>
          </w:tcPr>
          <w:p>
            <w:pPr>
              <w:spacing w:after="0"/>
              <w:rPr>
                <w:sz w:val="10"/>
                <w:szCs w:val="10"/>
                <w:color w:val="auto"/>
              </w:rPr>
            </w:pPr>
          </w:p>
        </w:tc>
        <w:tc>
          <w:tcPr>
            <w:tcW w:w="15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0"/>
                <w:szCs w:val="10"/>
                <w:color w:val="auto"/>
              </w:rPr>
            </w:pPr>
          </w:p>
        </w:tc>
        <w:tc>
          <w:tcPr>
            <w:tcW w:w="144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0"/>
                <w:szCs w:val="10"/>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government-related debt securities: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Foreign and 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Residential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mortgage- and asset-backed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Money market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short-term interest-bearing securities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Equity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6,794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20,376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27,170</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rate swap contracts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obligations in connection with</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business combinations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values of our U.S. Treasury securities, money market mutual funds and equity securities are based on quoted market prices in active markets with no valuation adjustment.</w:t>
      </w:r>
    </w:p>
    <w:p>
      <w:pPr>
        <w:spacing w:after="0" w:line="8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Most of our other government-related and corporate debt securities are investment grade with maturity dates of five years or less from the balance sheet date. Our other government-related debt securities portfolio is composed of securities with weighted-average credit ratings of A- or equivalent by Standard &amp; Poor's Financial Services LLC (S&amp;P) or Fitch, Inc. (Fitch), A by Moody's Investor Service, Inc. (Moody's); and our corporate debt securities portfolio has a weighted-average credit rating of BBB+ or equivalent by S&amp;P or Moody's, and A- by Fitch. We estimate the fair values of these securities by taking into consideration valuations obtained from third-party pricing services. The pricing services utilize industry standard valuation models, including both income-and market-based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residential mortgage-, other mortgage- and asset-backed securities portfolio is composed entirely of senior tranches, with credit ratings of AAA or equivalent by S&amp;P, Moody's or Fitch. We estimate the fair values of these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value our other short-term interest-bearing securities at amortized cost, which approximates fair value given their near term maturity dates.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72" w:right="239" w:bottom="1440" w:gutter="0" w:footer="0" w:header="0"/>
        </w:sectPr>
      </w:pPr>
    </w:p>
    <w:bookmarkStart w:id="17" w:name="page18"/>
    <w:bookmarkEnd w:id="17"/>
    <w:p>
      <w:pPr>
        <w:jc w:val="both"/>
        <w:ind w:firstLine="405"/>
        <w:spacing w:after="0" w:line="255" w:lineRule="auto"/>
        <w:rPr>
          <w:sz w:val="20"/>
          <w:szCs w:val="20"/>
          <w:color w:val="auto"/>
        </w:rPr>
      </w:pPr>
      <w:r>
        <w:rPr>
          <w:rFonts w:ascii="Arial" w:cs="Arial" w:eastAsia="Arial" w:hAnsi="Arial"/>
          <w:sz w:val="18"/>
          <w:szCs w:val="18"/>
          <w:color w:val="auto"/>
        </w:rPr>
        <w:t>All of our foreign currency forward and option derivatives contracts have maturities of three years or less and all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rates, London Interbank Offered Rates (LIBOR) cash and swap rates and obligor credit default swap rates. In addition, inputs for our foreign currency option contracts also include implied volatility measures. These inputs, where applicable, are at commonly quoted intervals. See Note 11, Derivative instruments.</w:t>
      </w:r>
    </w:p>
    <w:p>
      <w:pPr>
        <w:spacing w:after="0" w:line="1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cross-currency swap contracts are with counterparties that have minimum credit ratings of A- or equivalent by S&amp;P, Moody’s or Fitch. We estimated the fair values of these contracts by taking into consideration valuations obtained from a third-party valuation service that utilizes an income-based industry standard valuation model for which all significant inputs are observable either directly or indirectly. These inputs include foreign currency exchange rates, LIBOR, swap rates, obligor credit default swap rates and cross-currency basis swap spreads. See Note 11, Derivative instruments.</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interest rate swap contracts are with counterparties that have minimum credit ratings of A- or equivalent by S&amp;P, Moody’s or Fitch. We estimated the fair values of these contracts by using an income-based industry standard valuation model for which all significant inputs were observable either directly or indirectly. These inputs included LIBOR, swap rates and obligor credit default swap rates.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obligations</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have incurred contingent consideration obligations as a result of our acquisition of a business and upon the assumption of contingent consideration obligations incurred by an acquired company discussed below. These contingent consideration obligations are recorded at their estimated fair values, and we revalue these obligations each reporting period until the related contingencies are resolved. The fair value measurements of these obligations are based on significant unobservable inputs related to product candidates acquired in the business combinations and are reviewed quarterly by management in our R&amp;D and commercial sales organizations. These inputs include, as applicable, estimated probabilities and timing of achieving specified regulatory and commercial milestones and estimated annual sales. Significant changes which increase or decrease the probabilities of achieving the related regulatory and commercial events, shorten or lengthen the time required to achieve such events, or increase or decrease estimated annual sales would result in corresponding increases or decreases in the fair values of these obligations, as applicable. Changes in fair values of contingent consideration obligations are recognized in Other operating expenses in the Condensed Consolidated Statements of Income.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carrying amounts of contingent consideration obligations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2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changes in valuation</w:t>
            </w: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596</w:t>
            </w:r>
          </w:p>
        </w:tc>
      </w:tr>
      <w:tr>
        <w:trPr>
          <w:trHeight w:val="20"/>
        </w:trPr>
        <w:tc>
          <w:tcPr>
            <w:tcW w:w="8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a result of our acquisition of BioVex in March 2011, we are obligated to pay its former shareholders up to $575 million of additional consideration contingent upon achieving separate regulatory and sales-related milestones with regard to talimogene laherparepvec, which was acquired in the acquisition. As a result of filing the BLA in the United States, we made a milestone payment of $125 million to the former BioVex shareholders during 2014. The remaining potential milestone payments include: (i) $125 million upon the first commercial sale in the United States following receipt of marketing approval for use of the product in specified patient populations, (ii) $125 million upon achievement of an agreed level of worldwide sales within a specified period of time and (iii) up to $200 million of additional consideration of varying amounts upon achievement of certain other regulatory and sales-related milestones.</w:t>
      </w:r>
    </w:p>
    <w:p>
      <w:pPr>
        <w:spacing w:after="0" w:line="8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estimate the fair values of the obligations to the former shareholders of BioVex by using probability-adjusted discounted cash flows. As a result of our quarterly review of the key assumptions, there was no change in the estimated aggregate fair value of the contingent consideration during the three months ended March 31, 2015 and 2014, respectively.</w:t>
      </w:r>
    </w:p>
    <w:p>
      <w:pPr>
        <w:spacing w:after="0" w:line="100" w:lineRule="exact"/>
        <w:rPr>
          <w:sz w:val="20"/>
          <w:szCs w:val="20"/>
          <w:color w:val="auto"/>
        </w:rPr>
      </w:pPr>
    </w:p>
    <w:p>
      <w:pPr>
        <w:jc w:val="both"/>
        <w:ind w:firstLine="405"/>
        <w:spacing w:after="0" w:line="232" w:lineRule="auto"/>
        <w:rPr>
          <w:sz w:val="20"/>
          <w:szCs w:val="20"/>
          <w:color w:val="auto"/>
        </w:rPr>
      </w:pPr>
      <w:r>
        <w:rPr>
          <w:rFonts w:ascii="Arial" w:cs="Arial" w:eastAsia="Arial" w:hAnsi="Arial"/>
          <w:sz w:val="18"/>
          <w:szCs w:val="18"/>
          <w:color w:val="auto"/>
        </w:rPr>
        <w:t>We assumed contingent consideration obligations upon the acquisition of Onyx arising from Onyx's 2009 acquisition of Proteolix, Inc. These contingent consideration obligations were comprised of two separate milestone payments of $150 million each payable if 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received specified marketing approvals for relapsed multiple myeloma on or before March 31, 2016, by each of the FDA and the European Medicines Agency (EMA). In December 2014, we renegotiated the terms of these milestones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and settled the contingent consideration obligations with the former shareholders of Proteolix, Inc. by agreeing to make a single payment of $225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amount was paid during the first quarter of 2015.</w:t>
      </w:r>
    </w:p>
    <w:p>
      <w:pPr>
        <w:spacing w:after="0" w:line="13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transfers of assets or liabilities between the fair value measurement levels, and there were no material remeasurements to fair value during the three months ended March 31, 2015 and 2014, of assets and liabilities that are not measured at fair value on a recurring basis.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fair value of other financial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equivalents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fair values of cash equivalents approximate their carrying values due to the short-term nature of these financial instruments.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Borrowings</w:t>
      </w:r>
    </w:p>
    <w:p>
      <w:pPr>
        <w:spacing w:after="0" w:line="14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estimated the fair value of our long-term debt (Level 2) by taking into consideration indicative prices obtained from a third-party financial institution that utilizes industry standard valuation models, including both income- and market-based approaches, for which all significant inputs are observable either directly or indirectly. These inputs include reported trades of and broker/dealer quotes on the same or similar securities; credit spreads; benchmark yields; foreign currency exchange rates, as applicable; and other observable inputs. As of March 31, 2015, and December 31, 2014, the aggregate fair values of our long-term debt were $33.5 billion and $33.6 billion, respectively, and the carrying values were $30.3 billion and $30.7 billion,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4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 is exposed to foreign currency exchange rate and interest rate risks related to its business operations. To reduce our risks related to these exposures, we utilize or have utilized certain derivative instruments, including foreign currency forward, foreign currency option, cross-currency swap, forward interest rate and interest rate swap contracts. We do not use derivatives for speculative trading purposes.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exposed to possible changes in the values of certain anticipated foreign currency cash flows resulting from changes in foreign currency exchange rates, associated primarily with our euro-denominated international product sales. Increases and decreases in the cash flows associated with our international product sales due to movements in foreign currency exchange rates are offset partially by the corresponding increases and decreases in our international operating expenses resulting from these foreign currency exchange rate movements. To further reduce our exposure to foreign currency exchange rate fluctuations on our international product sales, we enter into foreign currency forward and option contracts to hedge a portion of our projected international product sales primarily over a three-year time horizon, with, at any given point in time, a higher percentage of nearer-term projected product sales being hedged than in successive periods. As of March 31, 2015, and December 31, 2014, we had open foreign currency forward contracts with notional amounts of $3.7 billion and $3.8 billion, respectively, and open foreign currency option contracts with notional amounts of $352 million and $271 million, respectively. These foreign currency forward and option contracts, primarily euro based, have been designated as cash flow hedges, and accordingly, the effective portions of the unrealized gains and losses on these contracts are reported in AOCI in the Condensed Consolidated Balance Sheets and reclassified to earnings in the same periods during which the hedged transactions affect earnings.</w:t>
      </w:r>
    </w:p>
    <w:p>
      <w:pPr>
        <w:spacing w:after="0" w:line="10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To hedge our exposure to foreign currency exchange rate risk associated with certain of our long-term notes denominated in foreign currencies, we entered into cross-currency swap contracts. Under the terms of these contracts, we paid euros/pounds sterling and received U.S. dollars for the notional amounts at the inception of the contracts, and we exchange interest payments based on these notional amounts at fixed rates over the lives of the contracts in which we pay U.S. dollars and receive euros/pounds sterling. In addition, we will pay U.S. dollars to and receive euros/pounds sterling from the counterparties at the maturities of the contracts for these same notional amounts. The terms of these contracts correspond to the related hedged notes, effectively converting the interest payments and principal repayment on these notes from euros/pounds sterling to U.S. dollars. These cross-currency swap contracts have been designated as cash flow hedges, and accordingly, the effective portions of the unrealized gains and losses on these contracts are reported in AOCI in the Condensed Consolidated Balance Sheets and reclassified to earnings in the same periods during which the hedged debt affects earnings.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The notional amounts and interest rates of our cross-currency swaps are as follows (notional 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w w:val="94"/>
              </w:rPr>
              <w:t>Foreign currency</w:t>
            </w:r>
          </w:p>
        </w:tc>
        <w:tc>
          <w:tcPr>
            <w:tcW w:w="1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1380"/>
              <w:spacing w:after="0"/>
              <w:rPr>
                <w:sz w:val="20"/>
                <w:szCs w:val="20"/>
                <w:color w:val="auto"/>
              </w:rPr>
            </w:pPr>
            <w:r>
              <w:rPr>
                <w:rFonts w:ascii="Arial" w:cs="Arial" w:eastAsia="Arial" w:hAnsi="Arial"/>
                <w:sz w:val="14"/>
                <w:szCs w:val="14"/>
                <w:b w:val="1"/>
                <w:bCs w:val="1"/>
                <w:color w:val="auto"/>
              </w:rPr>
              <w:t>U.S. dollars</w:t>
            </w:r>
          </w:p>
        </w:tc>
        <w:tc>
          <w:tcPr>
            <w:tcW w:w="152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Hedged notes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7"/>
              </w:rPr>
              <w:t>Interest rate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Notional amount</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Interest rate</w:t>
            </w: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2.125% 2019 euro Notes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5.50% 2026 pound sterling Notes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7"/>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4.00% 2029 pound sterling Notes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 portions of the unrealized gain/(loss) recognized in other comprehensive income for our derivative instruments designated as cash flow hedges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7"/>
                <w:szCs w:val="17"/>
                <w:color w:val="auto"/>
              </w:rPr>
            </w:pPr>
          </w:p>
        </w:tc>
      </w:tr>
      <w:tr>
        <w:trPr>
          <w:trHeight w:val="80"/>
        </w:trPr>
        <w:tc>
          <w:tcPr>
            <w:tcW w:w="9040" w:type="dxa"/>
            <w:vAlign w:val="bottom"/>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58"/>
        </w:trPr>
        <w:tc>
          <w:tcPr>
            <w:tcW w:w="8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
        </w:trPr>
        <w:tc>
          <w:tcPr>
            <w:tcW w:w="8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locations in the Condensed Consolidated Statements of Income and the effective portions of the gain/(loss) reclassified out of AOCI into earnings for our derivative instruments designated as cash flow hedges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Three months ended</w:t>
            </w:r>
          </w:p>
        </w:tc>
      </w:tr>
      <w:tr>
        <w:trPr>
          <w:trHeight w:val="270"/>
        </w:trPr>
        <w:tc>
          <w:tcPr>
            <w:tcW w:w="5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23"/>
                <w:szCs w:val="23"/>
                <w:color w:val="auto"/>
              </w:rPr>
            </w:pPr>
          </w:p>
        </w:tc>
      </w:tr>
      <w:tr>
        <w:trPr>
          <w:trHeight w:val="80"/>
        </w:trPr>
        <w:tc>
          <w:tcPr>
            <w:tcW w:w="5280" w:type="dxa"/>
            <w:vAlign w:val="bottom"/>
            <w:gridSpan w:val="2"/>
          </w:tcPr>
          <w:p>
            <w:pPr>
              <w:spacing w:after="0"/>
              <w:rPr>
                <w:sz w:val="6"/>
                <w:szCs w:val="6"/>
                <w:color w:val="auto"/>
              </w:rPr>
            </w:pPr>
          </w:p>
        </w:tc>
        <w:tc>
          <w:tcPr>
            <w:tcW w:w="3760" w:type="dxa"/>
            <w:vAlign w:val="bottom"/>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r>
      <w:tr>
        <w:trPr>
          <w:trHeight w:val="25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CCEEFF"/>
            </w:tcBorders>
          </w:tcPr>
          <w:p>
            <w:pPr>
              <w:spacing w:after="0"/>
              <w:rPr>
                <w:sz w:val="22"/>
                <w:szCs w:val="22"/>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 of Income location</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Interest and other income, net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14</w:t>
            </w: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 portions of our cash flow hedge contracts are excluded from the assessment of hedge effectiveness, and the gains and losses of the ineffective portions of these hedging instruments were not material for the three months ended March 31, 2015 and 2014. As of March 31, 2015, the amounts expected to be reclassified out of AOCI into earnings over the next 12 months are approximately $358 million of net gains on our foreign currency and cross-currency swap contracts and approximately $1 million of losses on forward interest rate contracts.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To achieve a desired mix of fixed and floating interest rates on our long-term debt, we entered into interest rate swap contracts, which qualified and are designated as fair value hedges. The terms of these interest rate swap contracts correspond to the related hedged debt instruments and effectively converted a fixed interest rate coupon to a floating LIBOR-based coupon over the lives of the respective notes. We had interest rate swap agreements as of March 31, 2015 and December 31, 2014, with aggregate notional amounts of $6.65 billion. The contracts have rates that range from three-month LIBOR plus 0.4% to three-month LIBOR plus 2.0%.</w:t>
      </w:r>
    </w:p>
    <w:p>
      <w:pPr>
        <w:spacing w:after="0" w:line="10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For derivative instruments that are designated and qualify as fair value hedges, the unrealized gain or loss on the derivative resulting from the change in fair value during the period as well as the offsetting unrealized loss or gain of the hedged item resulting from the change in fair value during the period attributable to the hedged risk is recognized in current earnings. For the three months ended March 31, 2015 and 2014, we included the unrealized losses on the hedged debt of $89 million and $62 million, respectively, in the same line item, Interest expense, net, in the Condensed Consolidated Statements of Income, as the offsetting unrealized gains of $89 million and $62 million, respectively, on the related interest rate swap agreements.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14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We enter into foreign currency forward contracts that are not designated as hedging transactions to reduce our exposure to foreign currency fluctuations of certain assets and liabilities denominated in foreign currencies. These exposures are hedged on a month-to-month basis. As of March 31, 2015, and December 31, 2014, the total notional amounts of these foreign currency forward contracts were $957 million and $875 million, respectively.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0" w:name="page21"/>
    <w:bookmarkEnd w:id="20"/>
    <w:p>
      <w:pPr>
        <w:jc w:val="both"/>
        <w:ind w:firstLine="405"/>
        <w:spacing w:after="0" w:line="277" w:lineRule="auto"/>
        <w:rPr>
          <w:sz w:val="20"/>
          <w:szCs w:val="20"/>
          <w:color w:val="auto"/>
        </w:rPr>
      </w:pPr>
      <w:r>
        <w:rPr>
          <w:rFonts w:ascii="Arial" w:cs="Arial" w:eastAsia="Arial" w:hAnsi="Arial"/>
          <w:sz w:val="18"/>
          <w:szCs w:val="18"/>
          <w:color w:val="auto"/>
        </w:rPr>
        <w:t>The location in the Condensed Consolidated Statements of Income and the amount of gain/(loss) recognized in earnings for our derivative instruments not designated as hedging instruments were as follows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1"/>
              </w:rPr>
              <w:t>Three months ended</w:t>
            </w: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9"/>
              </w:rPr>
              <w:t>March 31,</w:t>
            </w:r>
          </w:p>
        </w:tc>
        <w:tc>
          <w:tcPr>
            <w:tcW w:w="820" w:type="dxa"/>
            <w:vAlign w:val="bottom"/>
          </w:tcPr>
          <w:p>
            <w:pPr>
              <w:spacing w:after="0"/>
              <w:rPr>
                <w:sz w:val="17"/>
                <w:szCs w:val="17"/>
                <w:color w:val="auto"/>
              </w:rPr>
            </w:pPr>
          </w:p>
        </w:tc>
      </w:tr>
      <w:tr>
        <w:trPr>
          <w:trHeight w:val="80"/>
        </w:trPr>
        <w:tc>
          <w:tcPr>
            <w:tcW w:w="5160" w:type="dxa"/>
            <w:vAlign w:val="bottom"/>
            <w:gridSpan w:val="2"/>
          </w:tcPr>
          <w:p>
            <w:pPr>
              <w:spacing w:after="0"/>
              <w:rPr>
                <w:sz w:val="6"/>
                <w:szCs w:val="6"/>
                <w:color w:val="auto"/>
              </w:rPr>
            </w:pPr>
          </w:p>
        </w:tc>
        <w:tc>
          <w:tcPr>
            <w:tcW w:w="3760" w:type="dxa"/>
            <w:vAlign w:val="bottom"/>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5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tcBorders>
              <w:bottom w:val="single" w:sz="8" w:color="CCEEFF"/>
            </w:tcBorders>
          </w:tcPr>
          <w:p>
            <w:pPr>
              <w:spacing w:after="0"/>
              <w:rPr>
                <w:sz w:val="22"/>
                <w:szCs w:val="22"/>
                <w:color w:val="auto"/>
              </w:rPr>
            </w:pP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 of Income location</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r>
      <w:tr>
        <w:trPr>
          <w:trHeight w:val="263"/>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derivatives included in the Condensed Consolidated Balance Sheets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w w:val="92"/>
              </w:rPr>
              <w:t>Derivative assets</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Derivative liabilities</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March 31, 2015</w:t>
            </w:r>
          </w:p>
        </w:tc>
        <w:tc>
          <w:tcPr>
            <w:tcW w:w="1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22"/>
                <w:szCs w:val="22"/>
                <w:color w:val="auto"/>
              </w:rPr>
            </w:pPr>
          </w:p>
        </w:tc>
      </w:tr>
      <w:tr>
        <w:trPr>
          <w:trHeight w:val="19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ind w:left="20"/>
              <w:spacing w:after="0"/>
              <w:rPr>
                <w:sz w:val="20"/>
                <w:szCs w:val="20"/>
                <w:color w:val="auto"/>
              </w:rPr>
            </w:pPr>
            <w:r>
              <w:rPr>
                <w:rFonts w:ascii="Arial" w:cs="Arial" w:eastAsia="Arial" w:hAnsi="Arial"/>
                <w:sz w:val="18"/>
                <w:szCs w:val="18"/>
                <w:color w:val="auto"/>
              </w:rPr>
              <w:t>Other current assets/ 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ind w:left="180"/>
              <w:spacing w:after="0"/>
              <w:rPr>
                <w:sz w:val="20"/>
                <w:szCs w:val="20"/>
                <w:color w:val="auto"/>
              </w:rPr>
            </w:pPr>
            <w:r>
              <w:rPr>
                <w:rFonts w:ascii="Arial" w:cs="Arial" w:eastAsia="Arial" w:hAnsi="Arial"/>
                <w:sz w:val="18"/>
                <w:szCs w:val="18"/>
                <w:color w:val="auto"/>
              </w:rPr>
              <w:t>Other noncurrent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rPr>
              <w:t>noncurrent assets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180"/>
              <w:spacing w:after="0"/>
              <w:rPr>
                <w:sz w:val="20"/>
                <w:szCs w:val="20"/>
                <w:color w:val="auto"/>
              </w:rPr>
            </w:pPr>
            <w:r>
              <w:rPr>
                <w:rFonts w:ascii="Arial" w:cs="Arial" w:eastAsia="Arial" w:hAnsi="Arial"/>
                <w:sz w:val="18"/>
                <w:szCs w:val="18"/>
                <w:color w:val="auto"/>
              </w:rPr>
              <w:t>liabilities</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 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noncurrent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3"/>
          </w:tcPr>
          <w:p>
            <w:pPr>
              <w:ind w:left="20"/>
              <w:spacing w:after="0"/>
              <w:rPr>
                <w:sz w:val="20"/>
                <w:szCs w:val="20"/>
                <w:color w:val="auto"/>
              </w:rPr>
            </w:pPr>
            <w:r>
              <w:rPr>
                <w:rFonts w:ascii="Arial" w:cs="Arial" w:eastAsia="Arial" w:hAnsi="Arial"/>
                <w:sz w:val="18"/>
                <w:szCs w:val="18"/>
                <w:color w:val="auto"/>
              </w:rPr>
              <w:t>Other current assets/ 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3"/>
          </w:tcPr>
          <w:p>
            <w:pPr>
              <w:ind w:left="180"/>
              <w:spacing w:after="0"/>
              <w:rPr>
                <w:sz w:val="20"/>
                <w:szCs w:val="20"/>
                <w:color w:val="auto"/>
              </w:rPr>
            </w:pPr>
            <w:r>
              <w:rPr>
                <w:rFonts w:ascii="Arial" w:cs="Arial" w:eastAsia="Arial" w:hAnsi="Arial"/>
                <w:sz w:val="18"/>
                <w:szCs w:val="18"/>
                <w:color w:val="auto"/>
              </w:rPr>
              <w:t>Other noncurrent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18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derivatives designated as hedging instruments</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2"/>
                <w:szCs w:val="22"/>
                <w:color w:val="auto"/>
              </w:rPr>
            </w:pPr>
          </w:p>
        </w:tc>
      </w:tr>
      <w:tr>
        <w:trPr>
          <w:trHeight w:val="171"/>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93"/>
        </w:trPr>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3"/>
                <w:szCs w:val="23"/>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8"/>
                <w:szCs w:val="18"/>
                <w:color w:val="auto"/>
                <w:w w:val="98"/>
              </w:rPr>
              <w:t>Total derivatives not designated as hedging instruments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derivatives</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22"/>
                <w:szCs w:val="22"/>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w w:val="92"/>
              </w:rPr>
              <w:t>Derivative assets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Derivative liabilities</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Balance Sheet location</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20" w:type="dxa"/>
            <w:vAlign w:val="bottom"/>
            <w:tcBorders>
              <w:bottom w:val="single" w:sz="8" w:color="auto"/>
            </w:tcBorders>
          </w:tcPr>
          <w:p>
            <w:pPr>
              <w:spacing w:after="0"/>
              <w:rPr>
                <w:sz w:val="22"/>
                <w:szCs w:val="22"/>
                <w:color w:val="auto"/>
              </w:rPr>
            </w:pPr>
          </w:p>
        </w:tc>
      </w:tr>
      <w:tr>
        <w:trPr>
          <w:trHeight w:val="19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2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80"/>
        </w:trPr>
        <w:tc>
          <w:tcPr>
            <w:tcW w:w="4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180" w:type="dxa"/>
            <w:vAlign w:val="bottom"/>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60" w:type="dxa"/>
            <w:vAlign w:val="bottom"/>
            <w:gridSpan w:val="2"/>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280" w:type="dxa"/>
            <w:vAlign w:val="bottom"/>
            <w:gridSpan w:val="3"/>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ind w:left="40"/>
              <w:spacing w:after="0"/>
              <w:rPr>
                <w:sz w:val="20"/>
                <w:szCs w:val="20"/>
                <w:color w:val="auto"/>
              </w:rPr>
            </w:pPr>
            <w:r>
              <w:rPr>
                <w:rFonts w:ascii="Arial" w:cs="Arial" w:eastAsia="Arial" w:hAnsi="Arial"/>
                <w:sz w:val="18"/>
                <w:szCs w:val="18"/>
                <w:color w:val="auto"/>
              </w:rPr>
              <w:t>Accrued liabilities/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3"/>
          </w:tcPr>
          <w:p>
            <w:pPr>
              <w:ind w:left="200"/>
              <w:spacing w:after="0"/>
              <w:rPr>
                <w:sz w:val="20"/>
                <w:szCs w:val="20"/>
                <w:color w:val="auto"/>
              </w:rPr>
            </w:pPr>
            <w:r>
              <w:rPr>
                <w:rFonts w:ascii="Arial" w:cs="Arial" w:eastAsia="Arial" w:hAnsi="Arial"/>
                <w:sz w:val="18"/>
                <w:szCs w:val="18"/>
                <w:color w:val="auto"/>
              </w:rPr>
              <w:t>noncurrent assets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200"/>
              <w:spacing w:after="0"/>
              <w:rPr>
                <w:sz w:val="20"/>
                <w:szCs w:val="20"/>
                <w:color w:val="auto"/>
              </w:rPr>
            </w:pPr>
            <w:r>
              <w:rPr>
                <w:rFonts w:ascii="Arial" w:cs="Arial" w:eastAsia="Arial" w:hAnsi="Arial"/>
                <w:sz w:val="18"/>
                <w:szCs w:val="18"/>
                <w:color w:val="auto"/>
              </w:rPr>
              <w:t>noncurrent liabilities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Accrued liabilities/ Other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noncurrent assets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noncurrent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9"/>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280" w:type="dxa"/>
            <w:vAlign w:val="bottom"/>
            <w:gridSpan w:val="3"/>
          </w:tcPr>
          <w:p>
            <w:pPr>
              <w:ind w:left="40"/>
              <w:spacing w:after="0"/>
              <w:rPr>
                <w:sz w:val="20"/>
                <w:szCs w:val="20"/>
                <w:color w:val="auto"/>
              </w:rPr>
            </w:pPr>
            <w:r>
              <w:rPr>
                <w:rFonts w:ascii="Arial" w:cs="Arial" w:eastAsia="Arial" w:hAnsi="Arial"/>
                <w:sz w:val="18"/>
                <w:szCs w:val="18"/>
                <w:color w:val="auto"/>
              </w:rPr>
              <w:t>Other current assets/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3"/>
          </w:tcPr>
          <w:p>
            <w:pPr>
              <w:ind w:left="40"/>
              <w:spacing w:after="0"/>
              <w:rPr>
                <w:sz w:val="20"/>
                <w:szCs w:val="20"/>
                <w:color w:val="auto"/>
              </w:rPr>
            </w:pPr>
            <w:r>
              <w:rPr>
                <w:rFonts w:ascii="Arial" w:cs="Arial" w:eastAsia="Arial" w:hAnsi="Arial"/>
                <w:sz w:val="18"/>
                <w:szCs w:val="18"/>
                <w:color w:val="auto"/>
              </w:rPr>
              <w:t>Accrued liabilities/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3"/>
          </w:tcPr>
          <w:p>
            <w:pPr>
              <w:ind w:left="200"/>
              <w:spacing w:after="0"/>
              <w:rPr>
                <w:sz w:val="20"/>
                <w:szCs w:val="20"/>
                <w:color w:val="auto"/>
              </w:rPr>
            </w:pPr>
            <w:r>
              <w:rPr>
                <w:rFonts w:ascii="Arial" w:cs="Arial" w:eastAsia="Arial" w:hAnsi="Arial"/>
                <w:sz w:val="18"/>
                <w:szCs w:val="18"/>
                <w:color w:val="auto"/>
              </w:rPr>
              <w:t>noncurrent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200"/>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derivatives designated as hedging instruments</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171"/>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r>
      <w:tr>
        <w:trPr>
          <w:trHeight w:val="93"/>
        </w:trPr>
        <w:tc>
          <w:tcPr>
            <w:tcW w:w="4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8"/>
                <w:szCs w:val="18"/>
                <w:color w:val="auto"/>
                <w:w w:val="98"/>
              </w:rPr>
              <w:t>Total derivatives not designated as hedging instruments</w:t>
            </w: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tcPr>
          <w:p>
            <w:pPr>
              <w:spacing w:after="0"/>
              <w:rPr>
                <w:sz w:val="20"/>
                <w:szCs w:val="20"/>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derivatives</w:t>
            </w:r>
          </w:p>
        </w:tc>
        <w:tc>
          <w:tcPr>
            <w:tcW w:w="2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contracts that were in liability positions as of March 31, 2015, contain certain credit-risk-related contingent provisions that would be triggered if: (i) we were to undergo a change in control and (ii) our or the surviving entity’s creditworthiness deteriorates, which is generally defined as having either a credit rating that is below investment grade or a materially weaker creditworthiness after the change in 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1" w:name="page22"/>
    <w:bookmarkEnd w:id="21"/>
    <w:p>
      <w:pPr>
        <w:jc w:val="both"/>
        <w:ind w:right="20"/>
        <w:spacing w:after="0" w:line="308" w:lineRule="auto"/>
        <w:rPr>
          <w:sz w:val="20"/>
          <w:szCs w:val="20"/>
          <w:color w:val="auto"/>
        </w:rPr>
      </w:pPr>
      <w:r>
        <w:rPr>
          <w:rFonts w:ascii="Arial" w:cs="Arial" w:eastAsia="Arial" w:hAnsi="Arial"/>
          <w:sz w:val="17"/>
          <w:szCs w:val="17"/>
          <w:color w:val="auto"/>
        </w:rPr>
        <w:t>derivative contracts are not subject to any type of master netting arrangement, and amounts due to or from a counterparty under these contracts may only be offset against other amounts due to or from the same counterparty if an event of default or termination, as defined, were to occur.</w:t>
      </w:r>
    </w:p>
    <w:p>
      <w:pPr>
        <w:spacing w:after="0" w:line="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cash flow effects of our derivative contracts for the three months ended March 31, 2015 and 2014, are included within Net cash provided by operating activities in the Condensed Consolidated Statements of Cash Flows.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the ordinary course of business, we are involved in various legal proceedings and other matters—including those discussed in this Note—that are complex in nature and have outcomes that are difficult to predict. See Note 18, Contingencies and commitments to our consolidated financial statements in our Annual Report on Form 10-K for the year ended December 31, 2014, for further discussion of certain of our legal proceedings and other matters.</w:t>
      </w:r>
    </w:p>
    <w:p>
      <w:pPr>
        <w:spacing w:after="0" w:line="3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We record accruals for loss contingencies to the extent that we conclude that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7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legal proceedings range from cases brought by a single plaintiff to class actions with thousands of putative class members. These legal proceedings, as well as other matters, involve various aspects of our business and a variety of claims—including but not limited to patent infringement, marketing, pricing and trade practices and securities law—some of which present novel factual allegations and/or unique legal theories. In each of the matters described in this filing or in Note 18, Contingencies and commitments, to our consolidated financial statements in our Annual Report on Form 10-K for the year ended December 31, 2014, plaintiffs seek an award of a not-yet-quantified amount of damages or an amount that is not material. In addition, a number of the matters pending against us are at very early stages of the legal process (which in complex proceedings of the sort faced by us often extend for several years). As a result, none of the matters described in this filing have progressed sufficiently through discovery and/or development of important factual information and legal issues to enable us to estimate a range of possible loss, if any, or such amounts are not material. While it is not possible to accurately predict or determine the eventual outcomes of these items, an adverse determination in one or more of these items currently pending could have a material adverse effect on our consolidated results of operations, financial position or cash flows.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recent developments concerning our legal proceedings and other matters are discussed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Onyx Litigation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trial date in this class action lawsuit filed in connection with Amgen’s acquisition of Onyx has been set for April 28,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Securities Litigation - In re Amgen Inc. Securities Litigation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trial date in this federal securities class action has been set for July 12,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Sanofi/Regeneron Patent Litigation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trial date in this patent infringement case has been set for March 7,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Sandoz Filgrastim Litigation</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March 19, 2015, the U.S. District Court for the Northern District of California (the California Northern District Court) issued an order dismissing with prejudice Amgen’s claims for unfair competition under California Business &amp; Professions Code § 17200 and conversion under California common law, and entered judgment in favor of Sandoz Inc. (Sandoz) on Sandoz’s cross-motion for partial judgment on the pleadings. The order also denied Amgen’s motion for a preliminary injunction, as well as Amgen’s motion for partial judgment on the pleadings. On a joint motion of the parties, on March 25, 2015 the California Northern District Court entered final judgment on the claims and counterclaims decided by the court’s March 19th order. The remaining patent infringement claim, counterclaim and defenses were stayed by the court pending appeal. On March 25, 2015, Amgen appealed the judgment in favor of Sandoz and the denial of Amgen’s motion for preliminary injunction to the U.S. Court of Appeals for the Federal Circuit (the Federal Circuit Court). The Federal Circuit Court granted Amgen’s motion for an expedited appeal with the hearing date on the appeal scheduled for June 3, 2015. On April 17, 2015, Amgen filed a motion for an injunction pending appeal with the Federal Circuit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2" w:name="page23"/>
    <w:bookmarkEnd w:id="22"/>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assist the reader in understanding Amgen’s business. MD&amp;A is provided as a supplement to, and should be read in conjunction with, our Annual Report on Form 10-K for the year ended December 31, 2014. Our results of operations discussed in MD&amp;A are presented in conformity with GAAP. Amgen operates in one business segment: human therapeutics. Therefore, our results of operations are discussed on a consolidated basis.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This report and other documents we file with the U.S. Securities and Exchange Commission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 by our forward-looking statements. Reference is made in particular to forward-looking statements regarding product sales, regulatory activities, clinical trial results, reimbursement, expenses, EPS, liquidity and capital resources, trends and planned dividends, stock repurchases and restructuring plans.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Amgen is committed to unlocking the potential of biology for patients suffering from serious illnesses by discovering, developing, manufacturing and delivering innovative human therapeutics. This approach begins by using tools like advanced human genetics to unravel the complexities of disease and understand the fundamentals of human biology.</w:t>
      </w:r>
    </w:p>
    <w:p>
      <w:pPr>
        <w:spacing w:after="0" w:line="10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Amgen focuses on areas of high unmet medical need and leverages its biologics manufacturing expertise to strive for solutions that improve health outcomes and dramatically improve people's lives. A biotechnology pioneer since 1980, Amgen has grown to be one of the world's leading independent biotechnology companies, has reached millions of patients around the world and is developing a pipeline of medicines with breakaway potential.</w:t>
      </w:r>
    </w:p>
    <w:p>
      <w:pPr>
        <w:spacing w:after="0" w:line="6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6"/>
          <w:szCs w:val="16"/>
          <w:color w:val="auto"/>
        </w:rPr>
        <w:t>Currently, we market primarily recombinant protein therapeutics for supportive cancer care, inflammation, nephrology and bone health. Our principal products are Neulasta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(pegfilgrastim), NEUPOGEN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(filgrastim), Enbrel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(etanercept), XGEVA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(denosumab), Prolia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(denosumab), Sensipar</w:t>
      </w:r>
      <w:r>
        <w:rPr>
          <w:rFonts w:ascii="Arial" w:cs="Arial" w:eastAsia="Arial" w:hAnsi="Arial"/>
          <w:sz w:val="22"/>
          <w:szCs w:val="22"/>
          <w:color w:val="auto"/>
          <w:vertAlign w:val="superscript"/>
        </w:rPr>
        <w:t>®</w:t>
      </w:r>
      <w:r>
        <w:rPr>
          <w:rFonts w:ascii="Arial" w:cs="Arial" w:eastAsia="Arial" w:hAnsi="Arial"/>
          <w:sz w:val="16"/>
          <w:szCs w:val="16"/>
          <w:color w:val="auto"/>
        </w:rPr>
        <w:t>/Mimpara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(cinacalcet) and our erythropoiesis-stimulating agents: Aranesp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(darbepoetin alfa) and EPOGEN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(epoetin alfa). Our product sales outside the United States consist principally of sales in Europe. For the three months ended March 31, 2015, our principal products represented 91% of worldwide product sales. We market several other products, including Vectibix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(panitumumab), Nplate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(romiplostim), Kyprolis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(carfilzomib) and BLINCYTO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(blinatumomab).</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2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Significant developments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is a summary of selected significant developments affecting our business that have occurred since December 31, 2014. For additional developments or for a more comprehensive discussion of certain developments discussed below, see our Annual Report on Form 10-K for the year ended December 31, 2014.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Products/Pipeline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Cardiovascular</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Corlanor</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(ivabradine)</w:t>
      </w:r>
    </w:p>
    <w:p>
      <w:pPr>
        <w:spacing w:after="0" w:line="64" w:lineRule="exact"/>
        <w:rPr>
          <w:sz w:val="20"/>
          <w:szCs w:val="20"/>
          <w:color w:val="auto"/>
        </w:rPr>
      </w:pPr>
    </w:p>
    <w:p>
      <w:pPr>
        <w:jc w:val="both"/>
        <w:ind w:left="660" w:hanging="166"/>
        <w:spacing w:after="0" w:line="23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2015, we announced that the FDA granted approval of Corlanor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 reduce the risk of hospitalization for worsening heart failure in patients with stable, symptomatic chronic heart failure with left ventricular ejection fraction ≤35 percent, who are in sinus rhythm with resting heart rate ≥70 beats per minute and either are on maximally tolerated doses of beta blockers or have a contraindication to beta blocker use. Commercial sales launched in April 2015.</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Repatha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evolocumab)*</w:t>
      </w:r>
    </w:p>
    <w:p>
      <w:pPr>
        <w:spacing w:after="0" w:line="64" w:lineRule="exact"/>
        <w:rPr>
          <w:sz w:val="20"/>
          <w:szCs w:val="20"/>
          <w:color w:val="auto"/>
        </w:rPr>
      </w:pPr>
    </w:p>
    <w:p>
      <w:pPr>
        <w:ind w:left="660" w:hanging="166"/>
        <w:spacing w:after="0" w:line="21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2015, we announced that we submitted an application seeking marketing approval of Repatha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the treatment of high cholesterol to the Ministry of Health, Labour and Welfare in Japan.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Nephrology</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AMG 416</w:t>
      </w:r>
    </w:p>
    <w:p>
      <w:pPr>
        <w:spacing w:after="0" w:line="144" w:lineRule="exact"/>
        <w:rPr>
          <w:sz w:val="20"/>
          <w:szCs w:val="20"/>
          <w:color w:val="auto"/>
        </w:rPr>
      </w:pPr>
    </w:p>
    <w:p>
      <w:pPr>
        <w:jc w:val="both"/>
        <w:ind w:left="660" w:hanging="16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2015, we announced results from the head-to-head phase 3 study comparing AMG 416 with cinacalcet for the treatment of secondary hyperparathyroidism in patients with chronic kidney disease receiving hemodialysis. The study met the primary endpoint of non-inferiority of AMG 416 compared to cinacalcet.</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Oncology</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Kyprolis</w:t>
      </w:r>
      <w:r>
        <w:rPr>
          <w:rFonts w:ascii="Arial" w:cs="Arial" w:eastAsia="Arial" w:hAnsi="Arial"/>
          <w:sz w:val="25"/>
          <w:szCs w:val="25"/>
          <w:color w:val="auto"/>
          <w:vertAlign w:val="superscript"/>
        </w:rPr>
        <w:t>®</w:t>
      </w:r>
    </w:p>
    <w:p>
      <w:pPr>
        <w:spacing w:after="0" w:line="64" w:lineRule="exact"/>
        <w:rPr>
          <w:sz w:val="20"/>
          <w:szCs w:val="20"/>
          <w:color w:val="auto"/>
        </w:rPr>
      </w:pPr>
    </w:p>
    <w:p>
      <w:pPr>
        <w:ind w:left="660" w:hanging="166"/>
        <w:spacing w:after="0" w:line="23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March 2015, we announced that the FDA accepted the supplemental New Drug Application of Kyprolis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for the treatment of patients with relapsed multiple myeloma who have received at least one prior therapy. As part of the acceptance, the FDA granted Kyprolis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priority review.</w:t>
      </w:r>
    </w:p>
    <w:p>
      <w:pPr>
        <w:spacing w:after="0" w:line="24" w:lineRule="exact"/>
        <w:rPr>
          <w:rFonts w:ascii="Arial" w:cs="Arial" w:eastAsia="Arial" w:hAnsi="Arial"/>
          <w:sz w:val="17"/>
          <w:szCs w:val="17"/>
          <w:color w:val="auto"/>
        </w:rPr>
      </w:pPr>
    </w:p>
    <w:p>
      <w:pPr>
        <w:jc w:val="both"/>
        <w:ind w:left="660" w:hanging="166"/>
        <w:spacing w:after="0" w:line="22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March 2015, we announced the results from a planned interim analysis showing that the phase 3 head-to-head clinical trial ENDEAVOR evaluating Kyprolis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combination with low-dose dexamethasone versus Velcade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(bortezomib) and low-dose dexamethasone met the primary endpoint of progression-free survival (PFS). Patients with relapsed multiple myeloma treated with Kyprolis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lived approximately twice as long without their disease worsening, demonstrating statistically and clinically significant superiority over Velcade</w:t>
      </w:r>
      <w:r>
        <w:rPr>
          <w:rFonts w:ascii="Arial" w:cs="Arial" w:eastAsia="Arial" w:hAnsi="Arial"/>
          <w:sz w:val="24"/>
          <w:szCs w:val="24"/>
          <w:color w:val="auto"/>
          <w:vertAlign w:val="superscript"/>
        </w:rPr>
        <w:t>®</w:t>
      </w:r>
      <w:r>
        <w:rPr>
          <w:rFonts w:ascii="Arial" w:cs="Arial" w:eastAsia="Arial" w:hAnsi="Arial"/>
          <w:sz w:val="17"/>
          <w:szCs w:val="17"/>
          <w:color w:val="auto"/>
        </w:rPr>
        <w:t>.</w:t>
      </w:r>
    </w:p>
    <w:p>
      <w:pPr>
        <w:spacing w:after="0" w:line="22" w:lineRule="exact"/>
        <w:rPr>
          <w:rFonts w:ascii="Arial" w:cs="Arial" w:eastAsia="Arial" w:hAnsi="Arial"/>
          <w:sz w:val="17"/>
          <w:szCs w:val="17"/>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April 2015, we announced the initiation of a phase 3 study with weekly dosing in relapsed and refractory multiple myeloma.</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Neulasta</w:t>
      </w:r>
      <w:r>
        <w:rPr>
          <w:rFonts w:ascii="Arial" w:cs="Arial" w:eastAsia="Arial" w:hAnsi="Arial"/>
          <w:sz w:val="25"/>
          <w:szCs w:val="25"/>
          <w:color w:val="auto"/>
          <w:vertAlign w:val="superscript"/>
        </w:rPr>
        <w:t>®</w:t>
      </w:r>
    </w:p>
    <w:p>
      <w:pPr>
        <w:spacing w:after="0" w:line="41" w:lineRule="exact"/>
        <w:rPr>
          <w:sz w:val="20"/>
          <w:szCs w:val="20"/>
          <w:color w:val="auto"/>
        </w:rPr>
      </w:pPr>
    </w:p>
    <w:p>
      <w:pPr>
        <w:jc w:val="both"/>
        <w:ind w:left="660" w:hanging="166"/>
        <w:spacing w:after="0" w:line="19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March 2015, we announced the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Delivery Kit is now available in the United States. The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Delivery Kit includes a specially designed single-use prefilled syringe co-packaged with the new On-body Injector for Neulasta</w:t>
      </w:r>
      <w:r>
        <w:rPr>
          <w:rFonts w:ascii="Arial" w:cs="Arial" w:eastAsia="Arial" w:hAnsi="Arial"/>
          <w:sz w:val="25"/>
          <w:szCs w:val="25"/>
          <w:color w:val="auto"/>
          <w:vertAlign w:val="superscript"/>
        </w:rPr>
        <w:t>®</w:t>
      </w:r>
      <w:r>
        <w:rPr>
          <w:rFonts w:ascii="Arial" w:cs="Arial" w:eastAsia="Arial" w:hAnsi="Arial"/>
          <w:sz w:val="18"/>
          <w:szCs w:val="18"/>
          <w:color w:val="auto"/>
        </w:rPr>
        <w:t>. The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Delivery Kit enables the healthcare provider to initiate administration of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on the same day as cytotoxic chemotherapy—with delivery of the patient's full dose of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the day following chemotherapy administration, consistent with the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prescribing information. This frees patients from a return visit to their healthcare provider the day after chemotherapy.</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Talimogene laherparepvec</w:t>
      </w:r>
    </w:p>
    <w:p>
      <w:pPr>
        <w:spacing w:after="0" w:line="117" w:lineRule="exact"/>
        <w:rPr>
          <w:sz w:val="20"/>
          <w:szCs w:val="20"/>
          <w:color w:val="auto"/>
        </w:rPr>
      </w:pPr>
    </w:p>
    <w:p>
      <w:pPr>
        <w:jc w:val="both"/>
        <w:ind w:left="660" w:hanging="166"/>
        <w:spacing w:after="0" w:line="276"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February 2015, we announced that the CTGTAC and the ODAC of the FDA will jointly review our talimogene laherparepvec BLA at a meeting on April 29, 2015. These advisory committees review marketed and investigational human drug products, including safety and effectiveness data, and make recommendations to the FDA. The FDA will consider the advisory committees' recommendations in its review of our talimogene laherparepvec BLA. The Prescription Drug User Fee Act action date for completion of FDA review of our talimogene laherparepvec BLA for the treatment of patients with injectable regionally or distantly metastatic melanoma is October 27, 2015.</w:t>
      </w:r>
    </w:p>
    <w:p>
      <w:pPr>
        <w:spacing w:after="0" w:line="6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FDA provisionally approved trade name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4" w:name="page25"/>
    <w:bookmarkEnd w:id="24"/>
    <w:p>
      <w:pPr>
        <w:ind w:left="540"/>
        <w:spacing w:after="0"/>
        <w:rPr>
          <w:sz w:val="20"/>
          <w:szCs w:val="20"/>
          <w:color w:val="auto"/>
        </w:rPr>
      </w:pPr>
      <w:r>
        <w:rPr>
          <w:rFonts w:ascii="Arial" w:cs="Arial" w:eastAsia="Arial" w:hAnsi="Arial"/>
          <w:sz w:val="18"/>
          <w:szCs w:val="18"/>
          <w:i w:val="1"/>
          <w:iCs w:val="1"/>
          <w:color w:val="auto"/>
        </w:rPr>
        <w:t>Trebananib</w:t>
      </w:r>
    </w:p>
    <w:p>
      <w:pPr>
        <w:spacing w:after="0" w:line="144" w:lineRule="exact"/>
        <w:rPr>
          <w:sz w:val="20"/>
          <w:szCs w:val="20"/>
          <w:color w:val="auto"/>
        </w:rPr>
      </w:pPr>
    </w:p>
    <w:p>
      <w:pPr>
        <w:ind w:left="660" w:right="20" w:hanging="166"/>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April 2015, we announced that we stopped administration of blinded investigational product in the phase 3 study of trebananib in first-line ovarian cancer based on a recommendation by the Data Safety Monitoring Committee, who deemed the study unlikely to achieve its primary PFS endpoint.</w:t>
      </w:r>
    </w:p>
    <w:p>
      <w:pPr>
        <w:spacing w:after="0" w:line="4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Vectibix</w:t>
      </w:r>
      <w:r>
        <w:rPr>
          <w:rFonts w:ascii="Arial" w:cs="Arial" w:eastAsia="Arial" w:hAnsi="Arial"/>
          <w:sz w:val="25"/>
          <w:szCs w:val="25"/>
          <w:i w:val="1"/>
          <w:iCs w:val="1"/>
          <w:color w:val="auto"/>
          <w:vertAlign w:val="superscript"/>
        </w:rPr>
        <w:t>®</w:t>
      </w:r>
    </w:p>
    <w:p>
      <w:pPr>
        <w:spacing w:after="0" w:line="64" w:lineRule="exact"/>
        <w:rPr>
          <w:sz w:val="20"/>
          <w:szCs w:val="20"/>
          <w:color w:val="auto"/>
        </w:rPr>
      </w:pPr>
    </w:p>
    <w:p>
      <w:pPr>
        <w:jc w:val="both"/>
        <w:ind w:left="660" w:hanging="166"/>
        <w:spacing w:after="0" w:line="26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April 2015, we announced that the European Commission approved a new use of Vectibix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 first-line treatment in combination with FOLFIRI for the treatment of adult patients with wild-type (WT) </w:t>
      </w:r>
      <w:r>
        <w:rPr>
          <w:rFonts w:ascii="Arial" w:cs="Arial" w:eastAsia="Arial" w:hAnsi="Arial"/>
          <w:sz w:val="16"/>
          <w:szCs w:val="16"/>
          <w:i w:val="1"/>
          <w:iCs w:val="1"/>
          <w:color w:val="auto"/>
        </w:rPr>
        <w:t>RAS</w:t>
      </w:r>
      <w:r>
        <w:rPr>
          <w:rFonts w:ascii="Arial" w:cs="Arial" w:eastAsia="Arial" w:hAnsi="Arial"/>
          <w:sz w:val="16"/>
          <w:szCs w:val="16"/>
          <w:color w:val="auto"/>
        </w:rPr>
        <w:t xml:space="preserve"> metastatic colorectal cancer (mCRC). About half of the patients with mCRC have WT </w:t>
      </w:r>
      <w:r>
        <w:rPr>
          <w:rFonts w:ascii="Arial" w:cs="Arial" w:eastAsia="Arial" w:hAnsi="Arial"/>
          <w:sz w:val="16"/>
          <w:szCs w:val="16"/>
          <w:i w:val="1"/>
          <w:iCs w:val="1"/>
          <w:color w:val="auto"/>
        </w:rPr>
        <w:t xml:space="preserve">RAS </w:t>
      </w:r>
      <w:r>
        <w:rPr>
          <w:rFonts w:ascii="Arial" w:cs="Arial" w:eastAsia="Arial" w:hAnsi="Arial"/>
          <w:sz w:val="16"/>
          <w:szCs w:val="16"/>
          <w:color w:val="auto"/>
        </w:rPr>
        <w:t>tumors. FOLFIRI, an irinotecan-based chemotherapy regimen, is frequently used in first-line colorectal cancer treatment in Europe.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an overview of our results of operations (dollar amounts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
        </w:trPr>
        <w:tc>
          <w:tcPr>
            <w:tcW w:w="73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8"/>
        </w:trPr>
        <w:tc>
          <w:tcPr>
            <w:tcW w:w="7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 of the world (ROW)</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color w:val="auto"/>
              </w:rPr>
              <w:t>Total product sales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4,356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73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4,521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7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1,364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27"/>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increase in global product sales for the three months ended March 31, 2015, was driven by ENBREL, Prolia</w:t>
      </w:r>
      <w:r>
        <w:rPr>
          <w:rFonts w:ascii="Arial" w:cs="Arial" w:eastAsia="Arial" w:hAnsi="Arial"/>
          <w:sz w:val="22"/>
          <w:szCs w:val="22"/>
          <w:color w:val="auto"/>
          <w:vertAlign w:val="superscript"/>
        </w:rPr>
        <w:t>®</w:t>
      </w:r>
      <w:r>
        <w:rPr>
          <w:rFonts w:ascii="Arial" w:cs="Arial" w:eastAsia="Arial" w:hAnsi="Arial"/>
          <w:sz w:val="16"/>
          <w:szCs w:val="16"/>
          <w:color w:val="auto"/>
        </w:rPr>
        <w:t>, EPOGEN</w:t>
      </w:r>
      <w:r>
        <w:rPr>
          <w:rFonts w:ascii="Arial" w:cs="Arial" w:eastAsia="Arial" w:hAnsi="Arial"/>
          <w:sz w:val="22"/>
          <w:szCs w:val="22"/>
          <w:color w:val="auto"/>
          <w:vertAlign w:val="superscript"/>
        </w:rPr>
        <w:t>®</w:t>
      </w:r>
      <w:r>
        <w:rPr>
          <w:rFonts w:ascii="Arial" w:cs="Arial" w:eastAsia="Arial" w:hAnsi="Arial"/>
          <w:sz w:val="16"/>
          <w:szCs w:val="16"/>
          <w:color w:val="auto"/>
        </w:rPr>
        <w:t>, Sensipar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XGEVA</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9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decrease in operating expenses for the three months ended March 31, 2015, was driven primarily as a result of savings from transformation and process improvement efforts under our restructuring plan, offset partially by increased investments for launching new products.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increases in net income and diluted EPS for the three months ended March 31, 2015, were driven by an increase in operating income.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Worldwide product sales were as follows (dollar 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73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7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1,380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1,379</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ENBREL</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988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7360" w:type="dxa"/>
            <w:vAlign w:val="bottom"/>
          </w:tcPr>
          <w:p>
            <w:pPr>
              <w:ind w:left="40"/>
              <w:spacing w:after="0" w:line="270"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7360" w:type="dxa"/>
            <w:vAlign w:val="bottom"/>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p>
        </w:tc>
        <w:tc>
          <w:tcPr>
            <w:tcW w:w="30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Other products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product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4,356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Future sales of our products are influenced by a number of factors, some of which may impact sales of certain of our products more significantly than others. Such factors are discussed below and in the Overview, Item 1. Business—Marketing, Distribution and Selected Marketed Products, Item 1A. Risk Factors and Item 7—Product Sales in our Annual Report on Form 10-K for the year ended December 31, 2014.</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Neulasta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/NEUPOGEN</w:t>
      </w:r>
      <w:r>
        <w:rPr>
          <w:rFonts w:ascii="Arial" w:cs="Arial" w:eastAsia="Arial" w:hAnsi="Arial"/>
          <w:sz w:val="25"/>
          <w:szCs w:val="25"/>
          <w:i w:val="1"/>
          <w:iCs w:val="1"/>
          <w:color w:val="auto"/>
          <w:vertAlign w:val="superscript"/>
        </w:rPr>
        <w:t>®</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
        </w:trPr>
        <w:tc>
          <w:tcPr>
            <w:tcW w:w="732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258"/>
        </w:trPr>
        <w:tc>
          <w:tcPr>
            <w:tcW w:w="7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 U.S.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70"/>
        </w:trPr>
        <w:tc>
          <w:tcPr>
            <w:tcW w:w="73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Neulasta</w:t>
            </w:r>
            <w:r>
              <w:rPr>
                <w:rFonts w:ascii="Arial" w:cs="Arial" w:eastAsia="Arial" w:hAnsi="Arial"/>
                <w:sz w:val="25"/>
                <w:szCs w:val="25"/>
                <w:color w:val="auto"/>
                <w:vertAlign w:val="superscript"/>
              </w:rPr>
              <w:t>®</w:t>
            </w:r>
            <w:r>
              <w:rPr>
                <w:rFonts w:ascii="Arial" w:cs="Arial" w:eastAsia="Arial" w:hAnsi="Arial"/>
                <w:sz w:val="18"/>
                <w:szCs w:val="18"/>
                <w:color w:val="auto"/>
              </w:rPr>
              <w:t>— ROW</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238</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732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64"/>
        </w:trPr>
        <w:tc>
          <w:tcPr>
            <w:tcW w:w="7320" w:type="dxa"/>
            <w:vAlign w:val="bottom"/>
          </w:tcPr>
          <w:p>
            <w:pPr>
              <w:ind w:left="40"/>
              <w:spacing w:after="0" w:line="264" w:lineRule="exact"/>
              <w:rPr>
                <w:sz w:val="20"/>
                <w:szCs w:val="20"/>
                <w:color w:val="auto"/>
              </w:rPr>
            </w:pP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U.S.</w:t>
            </w:r>
          </w:p>
        </w:tc>
        <w:tc>
          <w:tcPr>
            <w:tcW w:w="30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7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NEUPOGEN</w:t>
            </w:r>
            <w:r>
              <w:rPr>
                <w:rFonts w:ascii="Arial" w:cs="Arial" w:eastAsia="Arial" w:hAnsi="Arial"/>
                <w:sz w:val="25"/>
                <w:szCs w:val="25"/>
                <w:color w:val="auto"/>
                <w:vertAlign w:val="superscript"/>
              </w:rPr>
              <w:t>®</w:t>
            </w:r>
            <w:r>
              <w:rPr>
                <w:rFonts w:ascii="Arial" w:cs="Arial" w:eastAsia="Arial" w:hAnsi="Arial"/>
                <w:sz w:val="18"/>
                <w:szCs w:val="18"/>
                <w:color w:val="auto"/>
              </w:rPr>
              <w:t>— ROW</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64"/>
        </w:trPr>
        <w:tc>
          <w:tcPr>
            <w:tcW w:w="732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 NEUPOGEN</w:t>
            </w:r>
            <w:r>
              <w:rPr>
                <w:rFonts w:ascii="Arial" w:cs="Arial" w:eastAsia="Arial" w:hAnsi="Arial"/>
                <w:sz w:val="25"/>
                <w:szCs w:val="25"/>
                <w:color w:val="auto"/>
                <w:vertAlign w:val="superscript"/>
              </w:rPr>
              <w:t>®</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289</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r>
      <w:tr>
        <w:trPr>
          <w:trHeight w:val="264"/>
        </w:trPr>
        <w:tc>
          <w:tcPr>
            <w:tcW w:w="73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Neulasta</w:t>
            </w:r>
            <w:r>
              <w:rPr>
                <w:rFonts w:ascii="Arial" w:cs="Arial" w:eastAsia="Arial" w:hAnsi="Arial"/>
                <w:sz w:val="25"/>
                <w:szCs w:val="25"/>
                <w:color w:val="auto"/>
                <w:vertAlign w:val="superscript"/>
              </w:rPr>
              <w:t>®</w:t>
            </w:r>
            <w:r>
              <w:rPr>
                <w:rFonts w:ascii="Arial" w:cs="Arial" w:eastAsia="Arial" w:hAnsi="Arial"/>
                <w:sz w:val="18"/>
                <w:szCs w:val="18"/>
                <w:color w:val="auto"/>
              </w:rPr>
              <w:t>/NEUPOGEN</w:t>
            </w:r>
            <w:r>
              <w:rPr>
                <w:rFonts w:ascii="Arial" w:cs="Arial" w:eastAsia="Arial" w:hAnsi="Arial"/>
                <w:sz w:val="25"/>
                <w:szCs w:val="25"/>
                <w:color w:val="auto"/>
                <w:vertAlign w:val="superscript"/>
              </w:rPr>
              <w: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03" w:lineRule="auto"/>
        <w:rPr>
          <w:sz w:val="20"/>
          <w:szCs w:val="20"/>
          <w:color w:val="auto"/>
        </w:rPr>
      </w:pPr>
      <w:r>
        <w:rPr>
          <w:rFonts w:ascii="Arial" w:cs="Arial" w:eastAsia="Arial" w:hAnsi="Arial"/>
          <w:sz w:val="18"/>
          <w:szCs w:val="18"/>
          <w:color w:val="auto"/>
        </w:rPr>
        <w:t>The increase in global Neulasta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2015, was driven mainly by an increase in the average net sales price and wholesaler inventory in the United States. The decrease in global NEUPOGEN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2015, was driven primarily by a decrease in U.S. unit demand due to the impact of short-acting competition.</w:t>
      </w:r>
    </w:p>
    <w:p>
      <w:pPr>
        <w:spacing w:after="0" w:line="122" w:lineRule="exact"/>
        <w:rPr>
          <w:sz w:val="20"/>
          <w:szCs w:val="20"/>
          <w:color w:val="auto"/>
        </w:rPr>
      </w:pPr>
    </w:p>
    <w:p>
      <w:pPr>
        <w:jc w:val="both"/>
        <w:ind w:firstLine="405"/>
        <w:spacing w:after="0" w:line="217" w:lineRule="auto"/>
        <w:rPr>
          <w:sz w:val="20"/>
          <w:szCs w:val="20"/>
          <w:color w:val="auto"/>
        </w:rPr>
      </w:pPr>
      <w:r>
        <w:rPr>
          <w:rFonts w:ascii="Arial" w:cs="Arial" w:eastAsia="Arial" w:hAnsi="Arial"/>
          <w:sz w:val="16"/>
          <w:szCs w:val="16"/>
          <w:color w:val="010202"/>
        </w:rPr>
        <w:t>We face competition in the United States, which could have an impact over time on future sales of NEUPOGEN</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and, to a lesser extent, Neulasta</w:t>
      </w:r>
      <w:r>
        <w:rPr>
          <w:rFonts w:ascii="Arial" w:cs="Arial" w:eastAsia="Arial" w:hAnsi="Arial"/>
          <w:sz w:val="22"/>
          <w:szCs w:val="22"/>
          <w:color w:val="000000"/>
          <w:vertAlign w:val="superscript"/>
        </w:rPr>
        <w:t>®</w:t>
      </w:r>
      <w:r>
        <w:rPr>
          <w:rFonts w:ascii="Arial" w:cs="Arial" w:eastAsia="Arial" w:hAnsi="Arial"/>
          <w:sz w:val="16"/>
          <w:szCs w:val="16"/>
          <w:color w:val="010202"/>
        </w:rPr>
        <w:t>. Our outstanding material U.S. patent for pegfilgrastim (Neulasta</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 expires in October 2015. Apotex, Inc. announced that the FDA accepted for filing their applications, under the abbreviated pathway, for pegfilgrastim, a biosimilar version of Neulasta</w:t>
      </w:r>
      <w:r>
        <w:rPr>
          <w:rFonts w:ascii="Arial" w:cs="Arial" w:eastAsia="Arial" w:hAnsi="Arial"/>
          <w:sz w:val="22"/>
          <w:szCs w:val="22"/>
          <w:color w:val="000000"/>
          <w:vertAlign w:val="superscript"/>
        </w:rPr>
        <w:t>®</w:t>
      </w:r>
      <w:r>
        <w:rPr>
          <w:rFonts w:ascii="Arial" w:cs="Arial" w:eastAsia="Arial" w:hAnsi="Arial"/>
          <w:sz w:val="16"/>
          <w:szCs w:val="16"/>
          <w:color w:val="010202"/>
        </w:rPr>
        <w:t>, on December 17, 2014, and for filgrastim, a biosimilar version of NEUPOGEN</w:t>
      </w:r>
      <w:r>
        <w:rPr>
          <w:rFonts w:ascii="Arial" w:cs="Arial" w:eastAsia="Arial" w:hAnsi="Arial"/>
          <w:sz w:val="22"/>
          <w:szCs w:val="22"/>
          <w:color w:val="000000"/>
          <w:vertAlign w:val="superscript"/>
        </w:rPr>
        <w:t>®</w:t>
      </w:r>
      <w:r>
        <w:rPr>
          <w:rFonts w:ascii="Arial" w:cs="Arial" w:eastAsia="Arial" w:hAnsi="Arial"/>
          <w:sz w:val="16"/>
          <w:szCs w:val="16"/>
          <w:color w:val="010202"/>
        </w:rPr>
        <w:t>, on February 17, 2015. On March 6, 2015, Sandoz, a Novartis company, announced that the FDA approved its biosimilar filgrastim Zarxio</w:t>
      </w:r>
      <w:r>
        <w:rPr>
          <w:rFonts w:ascii="Arial" w:cs="Arial" w:eastAsia="Arial" w:hAnsi="Arial"/>
          <w:sz w:val="22"/>
          <w:szCs w:val="22"/>
          <w:color w:val="010202"/>
          <w:vertAlign w:val="superscript"/>
        </w:rPr>
        <w:t>™</w:t>
      </w:r>
      <w:r>
        <w:rPr>
          <w:rFonts w:ascii="Arial" w:cs="Arial" w:eastAsia="Arial" w:hAnsi="Arial"/>
          <w:sz w:val="16"/>
          <w:szCs w:val="16"/>
          <w:color w:val="010202"/>
        </w:rPr>
        <w:t xml:space="preserve"> for all indications included in the reference product’s (</w:t>
      </w:r>
      <w:r>
        <w:rPr>
          <w:rFonts w:ascii="Arial" w:cs="Arial" w:eastAsia="Arial" w:hAnsi="Arial"/>
          <w:sz w:val="16"/>
          <w:szCs w:val="16"/>
          <w:color w:val="000000"/>
        </w:rPr>
        <w:t>NEUPOGEN</w:t>
      </w:r>
      <w:r>
        <w:rPr>
          <w:rFonts w:ascii="Arial" w:cs="Arial" w:eastAsia="Arial" w:hAnsi="Arial"/>
          <w:sz w:val="22"/>
          <w:szCs w:val="22"/>
          <w:color w:val="000000"/>
          <w:vertAlign w:val="superscript"/>
        </w:rPr>
        <w:t>®</w:t>
      </w:r>
      <w:r>
        <w:rPr>
          <w:rFonts w:ascii="Arial" w:cs="Arial" w:eastAsia="Arial" w:hAnsi="Arial"/>
          <w:sz w:val="16"/>
          <w:szCs w:val="16"/>
          <w:color w:val="000000"/>
        </w:rPr>
        <w:t>)</w:t>
      </w:r>
      <w:r>
        <w:rPr>
          <w:rFonts w:ascii="Arial" w:cs="Arial" w:eastAsia="Arial" w:hAnsi="Arial"/>
          <w:sz w:val="16"/>
          <w:szCs w:val="16"/>
          <w:color w:val="010202"/>
        </w:rPr>
        <w:t xml:space="preserve"> label. The Sandoz biosimilar filgrastim is the subject of ongoing litigation between us and Sandoz. See Note 12, Contingencies and commitments, to the condensed consolidated financial statements for further discussion.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6" w:name="page27"/>
    <w:bookmarkEnd w:id="26"/>
    <w:p>
      <w:pPr>
        <w:ind w:left="420"/>
        <w:spacing w:after="0"/>
        <w:rPr>
          <w:sz w:val="20"/>
          <w:szCs w:val="20"/>
          <w:color w:val="auto"/>
        </w:rPr>
      </w:pPr>
      <w:r>
        <w:rPr>
          <w:rFonts w:ascii="Arial" w:cs="Arial" w:eastAsia="Arial" w:hAnsi="Arial"/>
          <w:sz w:val="18"/>
          <w:szCs w:val="18"/>
          <w:i w:val="1"/>
          <w:iCs w:val="1"/>
          <w:color w:val="auto"/>
        </w:rPr>
        <w:t>ENBREL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ENBREL sales by geographic region were as follows (dollar amounts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73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7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Change</w:t>
            </w: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ENBREL — U.S.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ENBREL — Canada</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ENBREL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988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ENBREL sales for the three months ended March 31, 2015, was driven primarily by an increase in the average net sales price, offset partially by a slight decline in units.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XGEVA</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and Prolia</w:t>
      </w:r>
      <w:r>
        <w:rPr>
          <w:rFonts w:ascii="Arial" w:cs="Arial" w:eastAsia="Arial" w:hAnsi="Arial"/>
          <w:sz w:val="25"/>
          <w:szCs w:val="25"/>
          <w:i w:val="1"/>
          <w:iCs w:val="1"/>
          <w:color w:val="auto"/>
          <w:vertAlign w:val="superscript"/>
        </w:rPr>
        <w: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total 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73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73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245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7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20%</w:t>
            </w:r>
          </w:p>
        </w:tc>
      </w:tr>
      <w:tr>
        <w:trPr>
          <w:trHeight w:val="264"/>
        </w:trPr>
        <w:tc>
          <w:tcPr>
            <w:tcW w:w="7360" w:type="dxa"/>
            <w:vAlign w:val="bottom"/>
            <w:shd w:val="clear" w:color="auto" w:fill="CCEEFF"/>
          </w:tcPr>
          <w:p>
            <w:pPr>
              <w:ind w:left="180"/>
              <w:spacing w:after="0" w:line="264" w:lineRule="exact"/>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p>
        </w:tc>
        <w:tc>
          <w:tcPr>
            <w:tcW w:w="8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340</w:t>
            </w:r>
          </w:p>
        </w:tc>
        <w:tc>
          <w:tcPr>
            <w:tcW w:w="120" w:type="dxa"/>
            <w:vAlign w:val="bottom"/>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279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7360" w:type="dxa"/>
            <w:vAlign w:val="bottom"/>
          </w:tcPr>
          <w:p>
            <w:pPr>
              <w:ind w:left="40"/>
              <w:spacing w:after="0" w:line="264"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40" w:type="dxa"/>
            <w:vAlign w:val="bottom"/>
          </w:tcPr>
          <w:p>
            <w:pPr>
              <w:spacing w:after="0"/>
              <w:rPr>
                <w:sz w:val="22"/>
                <w:szCs w:val="22"/>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170</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119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102</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7360" w:type="dxa"/>
            <w:vAlign w:val="bottom"/>
            <w:tcBorders>
              <w:bottom w:val="single" w:sz="8" w:color="CCEEFF"/>
            </w:tcBorders>
          </w:tcPr>
          <w:p>
            <w:pPr>
              <w:ind w:left="180"/>
              <w:spacing w:after="0" w:line="264" w:lineRule="exact"/>
              <w:rPr>
                <w:sz w:val="20"/>
                <w:szCs w:val="20"/>
                <w:color w:val="auto"/>
              </w:rPr>
            </w:pPr>
            <w:r>
              <w:rPr>
                <w:rFonts w:ascii="Arial" w:cs="Arial" w:eastAsia="Arial" w:hAnsi="Arial"/>
                <w:sz w:val="18"/>
                <w:szCs w:val="18"/>
                <w:color w:val="auto"/>
              </w:rPr>
              <w:t>Total Prolia</w:t>
            </w:r>
            <w:r>
              <w:rPr>
                <w:rFonts w:ascii="Arial" w:cs="Arial" w:eastAsia="Arial" w:hAnsi="Arial"/>
                <w:sz w:val="25"/>
                <w:szCs w:val="25"/>
                <w:color w:val="auto"/>
                <w:vertAlign w:val="superscript"/>
              </w:rPr>
              <w:t>®</w:t>
            </w: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272</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196</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73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Total XGEVA</w:t>
            </w:r>
            <w:r>
              <w:rPr>
                <w:rFonts w:ascii="Arial" w:cs="Arial" w:eastAsia="Arial" w:hAnsi="Arial"/>
                <w:sz w:val="25"/>
                <w:szCs w:val="25"/>
                <w:color w:val="auto"/>
                <w:vertAlign w:val="superscript"/>
              </w:rPr>
              <w:t>®</w:t>
            </w:r>
            <w:r>
              <w:rPr>
                <w:rFonts w:ascii="Arial" w:cs="Arial" w:eastAsia="Arial" w:hAnsi="Arial"/>
                <w:sz w:val="18"/>
                <w:szCs w:val="18"/>
                <w:color w:val="auto"/>
              </w:rPr>
              <w:t>/Prolia</w:t>
            </w:r>
            <w:r>
              <w:rPr>
                <w:rFonts w:ascii="Arial" w:cs="Arial" w:eastAsia="Arial" w:hAnsi="Arial"/>
                <w:sz w:val="25"/>
                <w:szCs w:val="25"/>
                <w:color w:val="auto"/>
                <w:vertAlign w:val="superscript"/>
              </w:rPr>
              <w:t>®</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612</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475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7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increases in global XGEVA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Prolia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2015, were driven by increases in unit demand.</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EPOGEN</w:t>
      </w:r>
      <w:r>
        <w:rPr>
          <w:rFonts w:ascii="Arial" w:cs="Arial" w:eastAsia="Arial" w:hAnsi="Arial"/>
          <w:sz w:val="25"/>
          <w:szCs w:val="25"/>
          <w:i w:val="1"/>
          <w:iCs w:val="1"/>
          <w:color w:val="auto"/>
          <w:vertAlign w:val="superscript"/>
        </w:rPr>
        <w:t>®</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left="524"/>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73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7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6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462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The increase in EPOGEN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2015, was driven primarily by an increase in the average net sales price and higher unit demand.</w:t>
      </w:r>
    </w:p>
    <w:p>
      <w:pPr>
        <w:spacing w:after="0" w:line="122" w:lineRule="exact"/>
        <w:rPr>
          <w:sz w:val="20"/>
          <w:szCs w:val="20"/>
          <w:color w:val="auto"/>
        </w:rPr>
      </w:pPr>
    </w:p>
    <w:p>
      <w:pPr>
        <w:jc w:val="both"/>
        <w:ind w:firstLine="405"/>
        <w:spacing w:after="0" w:line="231" w:lineRule="auto"/>
        <w:rPr>
          <w:sz w:val="20"/>
          <w:szCs w:val="20"/>
          <w:color w:val="auto"/>
        </w:rPr>
      </w:pPr>
      <w:r>
        <w:rPr>
          <w:rFonts w:ascii="Arial" w:cs="Arial" w:eastAsia="Arial" w:hAnsi="Arial"/>
          <w:sz w:val="16"/>
          <w:szCs w:val="16"/>
          <w:color w:val="010202"/>
        </w:rPr>
        <w:t>Our remaining material U.S. patent for EPOGEN</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expires in May 2015. As a result, we may face competition in the United States, which may have a material adverse impact over time on EPOGEN</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sales. In addition, EPOGEN</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and Aranesp</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compete with MIRCERA</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in the United States. F. Hoffman-La Roche Ltd. (Roche) began selling MIRCERA</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in October 2014 in the United States. MIRCERA</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competes with Aranesp</w:t>
      </w:r>
      <w:r>
        <w:rPr>
          <w:rFonts w:ascii="Arial" w:cs="Arial" w:eastAsia="Arial" w:hAnsi="Arial"/>
          <w:sz w:val="22"/>
          <w:szCs w:val="22"/>
          <w:color w:val="000000"/>
          <w:vertAlign w:val="superscript"/>
        </w:rPr>
        <w:t>®</w:t>
      </w:r>
      <w:r>
        <w:rPr>
          <w:rFonts w:ascii="Arial" w:cs="Arial" w:eastAsia="Arial" w:hAnsi="Arial"/>
          <w:sz w:val="16"/>
          <w:szCs w:val="16"/>
          <w:color w:val="010202"/>
        </w:rPr>
        <w:t xml:space="preserve"> in the nephrology segment only. On December 16, 2014, Hospira, Inc. submitted a BLA to the FDA for Retacrit</w:t>
      </w:r>
      <w:r>
        <w:rPr>
          <w:rFonts w:ascii="Arial" w:cs="Arial" w:eastAsia="Arial" w:hAnsi="Arial"/>
          <w:sz w:val="22"/>
          <w:szCs w:val="22"/>
          <w:color w:val="010202"/>
          <w:vertAlign w:val="superscript"/>
        </w:rPr>
        <w:t>™</w:t>
      </w:r>
      <w:r>
        <w:rPr>
          <w:rFonts w:ascii="Arial" w:cs="Arial" w:eastAsia="Arial" w:hAnsi="Arial"/>
          <w:sz w:val="16"/>
          <w:szCs w:val="16"/>
          <w:color w:val="010202"/>
        </w:rPr>
        <w:t>, a proposed biosimilar to EPOGEN</w:t>
      </w:r>
      <w:r>
        <w:rPr>
          <w:rFonts w:ascii="Arial" w:cs="Arial" w:eastAsia="Arial" w:hAnsi="Arial"/>
          <w:sz w:val="22"/>
          <w:szCs w:val="22"/>
          <w:color w:val="000000"/>
          <w:vertAlign w:val="superscript"/>
        </w:rPr>
        <w:t>®</w:t>
      </w:r>
      <w:r>
        <w:rPr>
          <w:rFonts w:ascii="Arial" w:cs="Arial" w:eastAsia="Arial" w:hAnsi="Arial"/>
          <w:sz w:val="16"/>
          <w:szCs w:val="16"/>
          <w:color w:val="010202"/>
        </w:rPr>
        <w:t>, under the abbreviated pathway.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i w:val="1"/>
          <w:iCs w:val="1"/>
          <w:color w:val="auto"/>
        </w:rPr>
        <w:t>Aranesp</w:t>
      </w:r>
      <w:r>
        <w:rPr>
          <w:rFonts w:ascii="Arial" w:cs="Arial" w:eastAsia="Arial" w:hAnsi="Arial"/>
          <w:sz w:val="25"/>
          <w:szCs w:val="25"/>
          <w:i w:val="1"/>
          <w:iCs w:val="1"/>
          <w:color w:val="auto"/>
          <w:vertAlign w:val="superscript"/>
        </w:rPr>
        <w:t>®</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73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73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189</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7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Aranesp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291</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283</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7360" w:type="dxa"/>
            <w:vAlign w:val="bottom"/>
            <w:tcBorders>
              <w:bottom w:val="single" w:sz="8" w:color="CCEEFF"/>
            </w:tcBorders>
            <w:shd w:val="clear" w:color="auto" w:fill="CCEEFF"/>
          </w:tcPr>
          <w:p>
            <w:pPr>
              <w:ind w:left="380"/>
              <w:spacing w:after="0" w:line="264" w:lineRule="exact"/>
              <w:rPr>
                <w:sz w:val="20"/>
                <w:szCs w:val="20"/>
                <w:color w:val="auto"/>
              </w:rPr>
            </w:pPr>
            <w:r>
              <w:rPr>
                <w:rFonts w:ascii="Arial" w:cs="Arial" w:eastAsia="Arial" w:hAnsi="Arial"/>
                <w:sz w:val="18"/>
                <w:szCs w:val="18"/>
                <w:color w:val="auto"/>
              </w:rPr>
              <w:t>Total Aranesp</w:t>
            </w:r>
            <w:r>
              <w:rPr>
                <w:rFonts w:ascii="Arial" w:cs="Arial" w:eastAsia="Arial" w:hAnsi="Arial"/>
                <w:sz w:val="25"/>
                <w:szCs w:val="25"/>
                <w:color w:val="auto"/>
                <w:vertAlign w:val="superscript"/>
              </w:rPr>
              <w:t>®</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480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460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increase in global Aranesp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sales for the three months ended March 31, 2015, was driven largely by unit demand in international markets.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Sensipar</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/Mimpara</w:t>
      </w:r>
      <w:r>
        <w:rPr>
          <w:rFonts w:ascii="Arial" w:cs="Arial" w:eastAsia="Arial" w:hAnsi="Arial"/>
          <w:sz w:val="25"/>
          <w:szCs w:val="25"/>
          <w:i w:val="1"/>
          <w:iCs w:val="1"/>
          <w:color w:val="auto"/>
          <w:vertAlign w:val="superscript"/>
        </w:rPr>
        <w:t>®</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by geographic region were as follows (dollar amounts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22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3"/>
        </w:trPr>
        <w:tc>
          <w:tcPr>
            <w:tcW w:w="7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
        </w:trPr>
        <w:tc>
          <w:tcPr>
            <w:tcW w:w="736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58"/>
        </w:trPr>
        <w:tc>
          <w:tcPr>
            <w:tcW w:w="736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Change</w:t>
            </w:r>
          </w:p>
        </w:tc>
      </w:tr>
      <w:tr>
        <w:trPr>
          <w:trHeight w:val="270"/>
        </w:trPr>
        <w:tc>
          <w:tcPr>
            <w:tcW w:w="7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241</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178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73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7360" w:type="dxa"/>
            <w:vAlign w:val="bottom"/>
            <w:tcBorders>
              <w:bottom w:val="single" w:sz="8" w:color="CCEEFF"/>
            </w:tcBorders>
            <w:shd w:val="clear" w:color="auto" w:fill="CCEEFF"/>
          </w:tcPr>
          <w:p>
            <w:pPr>
              <w:ind w:left="380"/>
              <w:spacing w:after="0" w:line="264" w:lineRule="exact"/>
              <w:rPr>
                <w:sz w:val="20"/>
                <w:szCs w:val="20"/>
                <w:color w:val="auto"/>
              </w:rPr>
            </w:pPr>
            <w:r>
              <w:rPr>
                <w:rFonts w:ascii="Arial" w:cs="Arial" w:eastAsia="Arial" w:hAnsi="Arial"/>
                <w:sz w:val="18"/>
                <w:szCs w:val="18"/>
                <w:color w:val="auto"/>
              </w:rPr>
              <w:t>Total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270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16" w:lineRule="auto"/>
        <w:rPr>
          <w:sz w:val="20"/>
          <w:szCs w:val="20"/>
          <w:color w:val="auto"/>
        </w:rPr>
      </w:pPr>
      <w:r>
        <w:rPr>
          <w:rFonts w:ascii="Arial" w:cs="Arial" w:eastAsia="Arial" w:hAnsi="Arial"/>
          <w:sz w:val="18"/>
          <w:szCs w:val="18"/>
          <w:color w:val="auto"/>
        </w:rPr>
        <w:t>The increase in global Sensipar</w:t>
      </w:r>
      <w:r>
        <w:rPr>
          <w:rFonts w:ascii="Arial" w:cs="Arial" w:eastAsia="Arial" w:hAnsi="Arial"/>
          <w:sz w:val="25"/>
          <w:szCs w:val="25"/>
          <w:color w:val="auto"/>
          <w:vertAlign w:val="superscript"/>
        </w:rPr>
        <w:t>®</w:t>
      </w:r>
      <w:r>
        <w:rPr>
          <w:rFonts w:ascii="Arial" w:cs="Arial" w:eastAsia="Arial" w:hAnsi="Arial"/>
          <w:sz w:val="18"/>
          <w:szCs w:val="18"/>
          <w:color w:val="auto"/>
        </w:rPr>
        <w:t>/Mimpara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sales for the three months ended March 31, 2015, was driven primarily by an increase in unit demand, favorable changes in U.S. wholesaler inventories and an increase in the U.S. average net sales price.</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products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product sales by geographic region were as follows (dollar amounts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18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900" w:type="dxa"/>
            <w:vAlign w:val="bottom"/>
          </w:tcPr>
          <w:p>
            <w:pPr>
              <w:spacing w:after="0"/>
              <w:rPr>
                <w:sz w:val="6"/>
                <w:szCs w:val="6"/>
                <w:color w:val="auto"/>
              </w:rPr>
            </w:pPr>
          </w:p>
        </w:tc>
        <w:tc>
          <w:tcPr>
            <w:tcW w:w="34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39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4240" w:type="dxa"/>
            <w:vAlign w:val="bottom"/>
            <w:gridSpan w:val="2"/>
            <w:shd w:val="clear" w:color="auto" w:fill="CCEEFF"/>
          </w:tcPr>
          <w:p>
            <w:pPr>
              <w:jc w:val="right"/>
              <w:ind w:right="6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Vectibix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3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Nplate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3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Nplate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3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3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Kyprolis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ROW</w:t>
            </w:r>
          </w:p>
        </w:tc>
        <w:tc>
          <w:tcPr>
            <w:tcW w:w="3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BLINCYTO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U.S.</w:t>
            </w:r>
          </w:p>
        </w:tc>
        <w:tc>
          <w:tcPr>
            <w:tcW w:w="3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 ROW</w:t>
            </w:r>
          </w:p>
        </w:tc>
        <w:tc>
          <w:tcPr>
            <w:tcW w:w="3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products</w:t>
            </w:r>
          </w:p>
        </w:tc>
        <w:tc>
          <w:tcPr>
            <w:tcW w:w="3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418</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322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8"/>
                <w:szCs w:val="18"/>
                <w:color w:val="auto"/>
              </w:rPr>
              <w:t>Total U.S. — other products</w:t>
            </w:r>
          </w:p>
        </w:tc>
        <w:tc>
          <w:tcPr>
            <w:tcW w:w="3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vMerge w:val="continue"/>
          </w:tcPr>
          <w:p>
            <w:pPr>
              <w:spacing w:after="0"/>
              <w:rPr>
                <w:sz w:val="20"/>
                <w:szCs w:val="20"/>
                <w:color w:val="auto"/>
              </w:rPr>
            </w:pPr>
          </w:p>
        </w:tc>
        <w:tc>
          <w:tcPr>
            <w:tcW w:w="424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1"/>
              <w:spacing w:after="0"/>
              <w:rPr>
                <w:sz w:val="20"/>
                <w:szCs w:val="20"/>
                <w:color w:val="auto"/>
              </w:rPr>
            </w:pPr>
            <w:r>
              <w:rPr>
                <w:rFonts w:ascii="Arial" w:cs="Arial" w:eastAsia="Arial" w:hAnsi="Arial"/>
                <w:sz w:val="18"/>
                <w:szCs w:val="18"/>
                <w:color w:val="auto"/>
                <w:w w:val="99"/>
              </w:rPr>
              <w:t>237</w:t>
            </w:r>
          </w:p>
        </w:tc>
        <w:tc>
          <w:tcPr>
            <w:tcW w:w="100" w:type="dxa"/>
            <w:vAlign w:val="bottom"/>
          </w:tcPr>
          <w:p>
            <w:pPr>
              <w:spacing w:after="0"/>
              <w:rPr>
                <w:sz w:val="20"/>
                <w:szCs w:val="20"/>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163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ROW — other products</w:t>
            </w:r>
          </w:p>
        </w:tc>
        <w:tc>
          <w:tcPr>
            <w:tcW w:w="3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7"/>
        </w:trPr>
        <w:tc>
          <w:tcPr>
            <w:tcW w:w="3900" w:type="dxa"/>
            <w:vAlign w:val="bottom"/>
          </w:tcPr>
          <w:p>
            <w:pPr>
              <w:ind w:left="380"/>
              <w:spacing w:after="0"/>
              <w:rPr>
                <w:sz w:val="20"/>
                <w:szCs w:val="20"/>
                <w:color w:val="auto"/>
              </w:rPr>
            </w:pPr>
            <w:r>
              <w:rPr>
                <w:rFonts w:ascii="Arial" w:cs="Arial" w:eastAsia="Arial" w:hAnsi="Arial"/>
                <w:sz w:val="18"/>
                <w:szCs w:val="18"/>
                <w:color w:val="auto"/>
              </w:rPr>
              <w:t>Total other products</w:t>
            </w:r>
          </w:p>
        </w:tc>
        <w:tc>
          <w:tcPr>
            <w:tcW w:w="34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418</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322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420" w:type="dxa"/>
            <w:vAlign w:val="bottom"/>
            <w:vMerge w:val="restart"/>
          </w:tcPr>
          <w:p>
            <w:pPr>
              <w:jc w:val="right"/>
              <w:ind w:right="1430"/>
              <w:spacing w:after="0"/>
              <w:rPr>
                <w:sz w:val="20"/>
                <w:szCs w:val="20"/>
                <w:color w:val="auto"/>
              </w:rPr>
            </w:pPr>
            <w:r>
              <w:rPr>
                <w:rFonts w:ascii="Arial" w:cs="Arial" w:eastAsia="Arial" w:hAnsi="Arial"/>
                <w:sz w:val="18"/>
                <w:szCs w:val="18"/>
                <w:color w:val="auto"/>
              </w:rPr>
              <w:t>26</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9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Operating expenses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Operating expenses were as follows (dollar amounts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Pr>
          <w:p>
            <w:pPr>
              <w:spacing w:after="0"/>
              <w:rPr>
                <w:sz w:val="16"/>
                <w:szCs w:val="16"/>
                <w:color w:val="auto"/>
              </w:rPr>
            </w:pPr>
          </w:p>
        </w:tc>
      </w:tr>
      <w:tr>
        <w:trPr>
          <w:trHeight w:val="276"/>
        </w:trPr>
        <w:tc>
          <w:tcPr>
            <w:tcW w:w="7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 of product sales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of 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of product sales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 of total revenues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 of product sales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of 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Change in excess of 100%</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Restructuring</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second half of 2014, we initiated a restructuring plan to invest in continuing innovation and the launch of our new pipeline molecules while improving our cost structure. As part of the plan, we stated that we would reduce our staff by 3,500 to 4,000 by the end of 2015, close our facilities in Washington state and Colorado and reduce the number of buildings at our headquarters in Thousand Oaks, California.</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 to estimate that these actions will result in pre-tax accounting charges in the range of $935 million to $1,035 million, of which $650 million has been incurred through March 31, 2015. During the three months ended March 31, 2015, we incurred $92 million of restructuring costs. We expect that substantially all remaining restructuring actions and related estimated costs will be incurred during the remainder of 2015 to support our ongoing transformation and process improvement efforts.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savings are not expected to be significant in 2015 due to investments in new product launches and external business development.</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Additional disclosure information required for our restructuring plan is incorporated herein by reference to Note 2, Restructuring, to the condensed consolidated financial statements.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Cost of sales decreased to 20.5% of total revenues for the three months ended March 31, 2015, driven primarily by a $99-million charge in the prior year related to the termination of the supply contract with Roche as a result of acquiring the licenses to filgrastim and pegfilgrastim effective January 1, 2014.</w:t>
      </w:r>
    </w:p>
    <w:p>
      <w:pPr>
        <w:spacing w:after="0" w:line="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Excluding the impact of the Puerto Rico excise tax, cost of sales would have been 18.7% and 22.1% of total revenues for the three months ended March 31, 2015, and 2014, respectively. See Note 3, Income taxes, to the condensed consolidated financial statements for further discussion of the Puerto Rico excise tax.</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Research and development</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decrease in R&amp;D expenses for the three months ended March 31, 2015, was driven by decreased costs associated with Discovery Research and Translational Sciences, marketed products support and later stage clinical programs support of $87 million, $24 million and $22 million, respectively. All categories of R&amp;D spend benefited from savings from transformation and process improvement efforts under our restructuring plan. In 2015, these savings are expected to be offset by investments in support of our launch products as well as reinvestment in Discovery Research and Translational Sciences.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increase in SG&amp;A expenses for the three months ended March 31, 2015 was due to increased expenses in preparation for new product launches, offset partially by savings from transformation and process improvement efforts under our restructuring plan.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i w:val="1"/>
          <w:iCs w:val="1"/>
          <w:color w:val="auto"/>
        </w:rPr>
        <w:t>Other</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operating expenses for the three months ended March 31, 2015, included certain charges related to our restructuring plan, primarily severance, of $57 million.</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operating expenses for the three months ended March 31, 2014, included certain charges related to our cost savings initiatives, primarily severance, of $15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expenses/income and income taxes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Non-operating expenses/income and income taxes were as follows (dollar amounts in millions):</w:t>
      </w:r>
    </w:p>
    <w:p>
      <w:pPr>
        <w:spacing w:after="0" w:line="36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2"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66675</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and other income, net</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99</w:t>
            </w:r>
          </w:p>
        </w:tc>
      </w:tr>
      <w:tr>
        <w:trPr>
          <w:trHeight w:val="27"/>
        </w:trPr>
        <w:tc>
          <w:tcPr>
            <w:tcW w:w="8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131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13.5%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expense, net</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decrease in interest expense, net for the three months ended March 31, 2015, was due primarily to a lower average outstanding debt balance in the current year period.</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and other income, net</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interest and other income, net for the three months ended March 31, 2015, was due primarily to higher interest income as a result of higher average cash balances substantially offset by net losses on investments recognized in the current year period.</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effective tax rate for the three months ended March 31, 2015 was 13.5% compared with 10.9% for the corresponding period of the prior year. The increase in our effective tax rate for the three months ended March 31, 2015, was due primarily to the unfavorable tax impact of changes in the jurisdictional mix of income and expenses, offset partially by a state tax audit settlement in the three months ended March 31, 2015.</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Excluding the impact of the Puerto Rico excise tax, our effective tax rate for the three months ended March 31, 2015, would have been 17.1% compared with 15.4% for the corresponding period of the prior year.</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Income taxes, to the condensed consolidated financial statements for further discussion.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Selected financial data was as follows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41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2014</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marketable securities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27,118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27,026</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68,952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69,009</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00" w:type="dxa"/>
            <w:vAlign w:val="bottom"/>
          </w:tcPr>
          <w:p>
            <w:pPr>
              <w:jc w:val="right"/>
              <w:ind w:right="99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29,841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30,215</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20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26,506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25,778</w:t>
            </w:r>
          </w:p>
        </w:tc>
      </w:tr>
      <w:tr>
        <w:trPr>
          <w:trHeight w:val="27"/>
        </w:trPr>
        <w:tc>
          <w:tcPr>
            <w:tcW w:w="7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intends to continue to return capital to stockholders through the payment of cash dividends and share repurchases, reflecting our confidence in the future cash flows of our business. The amount we spend, the number of shares repurchased and the timing of such repurchases will vary based on a number of factors, including the stock price, the availability of financing on acceptable terms, the amount and timing of dividend payments and blackout periods in which we are restricted from repurchasing shares; and the manner of purchases may include private block purchases, tender offers and market transactions. Whether and when we declare dividends and the size of any dividend could be affected by a number of factors. See our Annual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0" w:name="page31"/>
    <w:bookmarkEnd w:id="30"/>
    <w:p>
      <w:pPr>
        <w:jc w:val="both"/>
        <w:ind w:right="20"/>
        <w:spacing w:after="0" w:line="277" w:lineRule="auto"/>
        <w:rPr>
          <w:sz w:val="20"/>
          <w:szCs w:val="20"/>
          <w:color w:val="auto"/>
        </w:rPr>
      </w:pPr>
      <w:r>
        <w:rPr>
          <w:rFonts w:ascii="Arial" w:cs="Arial" w:eastAsia="Arial" w:hAnsi="Arial"/>
          <w:sz w:val="18"/>
          <w:szCs w:val="18"/>
          <w:color w:val="auto"/>
        </w:rPr>
        <w:t>Report on Form 10-K for the year ended December 31, 2014, Item 1A. Risk Factors—There can be no assurance that we will continue to declare cash dividends or that we will repurchase stock.</w:t>
      </w:r>
    </w:p>
    <w:p>
      <w:pPr>
        <w:spacing w:after="0" w:line="89"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In December 2014, the Board of Directors declared a quarterly cash dividend of $0.79 per share of common stock, which was paid on March 6, 2015. In March 2015, the Board of Directors declared a quarterly cash dividend of $0.79 per share of common stock, which will be paid on June 5, 2015.</w:t>
      </w:r>
    </w:p>
    <w:p>
      <w:pPr>
        <w:spacing w:after="0" w:line="4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also returns capital to stockholders through its stock repurchase program. Repurchase activity under the program was temporarily suspended from the second quarter of 2013 through the third quarter of 2014, and we reinitiated repurchase activity during the fourth quarter of 2014. During the first quarter of 2015, we repurchased $451 million of stock (cash settlement of stock repurchases totaled $464 million). As of March 31, 2015, $3.4 billion remained available under the Board of Directors-approved stock repurchase program.</w:t>
      </w:r>
    </w:p>
    <w:p>
      <w:pPr>
        <w:spacing w:after="0" w:line="10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believe that existing funds, cash generated from operations and existing sources of and access to financing are adequate to satisfy our needs for working capital; capital expenditure and debt service requirements;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With respect to our U.S. operations, we believe that existing funds intended for use in the United States; cash generated from our U.S. operations, including intercompany payments and receipts; and existing sources of and access to financing (collectively referred to as U.S. funds) are adequate to continue to meet our U.S. obligations (including our plans to pay dividends and repurchase stock with U.S. funds) for the foreseeable future. See our Annual Report on Form 10-K for the year ended December 31, 2014, Item 1A. Risk Factors—Global economic conditions may negatively affect us and may magnify certain risks that affect our business.</w:t>
      </w:r>
    </w:p>
    <w:p>
      <w:pPr>
        <w:spacing w:after="0" w:line="10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 significant portion of our operating cash flows is dependent on the timing of payments from our customers located in the United States and, to a lesser extent, our customers outside the United States, which include government-owned or -supported healthcare providers (government healthcare providers). Payments from these government healthcare providers are dependent in part on the economic stability and creditworthiness of their applicable country. Historically, some payments from a number of European government healthcare providers have extended beyond the contractual terms of sale, and regional economic uncertainty continues. In particular, credit and economic conditions in Southern Europe, particularly in Spain, Italy, Greece and Portugal, continue to adversely impact the timing of collections of our trade receivables in this region. As of March 31, 2015 and December 31, 2014, accounts receivable in these four countries totaled $258 million and $223 million, respectively. Of these receivables, $152 million and $124 million were past due as of March 31, 2015 and December 31, 2014. Although economic conditions in this region may continue to affect the average length of time it takes to collect payments, to date we have not incurred any significant losses related to these receivables; and the timing of payments in these countries has not had nor is it currently expected to have a material adverse impact on our overall operating cash flows. However, if government funding for healthcare were to become unavailable in these countries or if significant adverse adjustments to past payment practices were to occur, we might not be able to collect the entire balance of these receivables. We will continue working closely with these customers, monitoring the economic situation and taking appropriate actions as necessary.</w:t>
      </w:r>
    </w:p>
    <w:p>
      <w:pPr>
        <w:spacing w:after="0" w:line="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Of our total cash, cash equivalents and marketable securities balances totaling $27.1 billion as of March 31, 2015, approximately $24.6 billion was generated from operations in foreign tax jurisdictions and is intended to be invested indefinitely outside of the United States. Under current tax laws, if these funds were repatriated for use in our U.S. operations, we would be required to pay additional U.S. federal and state income taxes at the applicable marginal tax rates.</w:t>
      </w:r>
    </w:p>
    <w:p>
      <w:pPr>
        <w:spacing w:after="0" w:line="10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Certain of our financing arrangements contain non-financial covenants. In addition, our revolving credit agreement and Term Loan Credit Facility each includes a financial covenant with respect to the level of our borrowings in relation to our equity, as defined. We were in compliance with all applicable covenants under these arrangements as of March 31, 2015.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Cash flows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 activities were as follows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7"/>
        </w:trPr>
        <w:tc>
          <w:tcPr>
            <w:tcW w:w="7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provided by operating activities has been and is expected to continue to be our primary recurring source of funds. Cash provided by operating activities during the three months ended March 31, 2015, benefited from an improvement in our operating margin, offset partially by the timing of payments to vendors and receipts from customers, including the impact of $100 million received under a government-funded program in Spain during the prior year period.</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Investing</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investing activities during the three months ended March 31, 2015, was due primarily to net activity related to marketable securities of $731 million and capital expenditures of $118 million. Cash used in investing activities during the three months ended March 31, 2014, was due primarily to net activity related to marketable securities and restricted investments of $445 million, capital expenditures of $172 million and cash paid for acquisition of companies of $104 million. Capital expenditures during the three months ended March 31, 2015 and 2014 were associated primarily with manufacturing capacity expansions in various locations, as well as other site developments. We currently estimate 2015 spending on capital projects and equipment to be approximately $800 million.</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used in financing activities during the three months ended March 31, 2015, was due primarily to the payment of dividends of $599 million, repurchases of common stock of $464 million, and the settlement of an obligation incurred in the connection with the acquisition of Onyx of $225 million. Cash used in financing activities during the three months ended March 31, 2014, was due primarily to the payment of dividends of $460 million and the repayment of long-term debt of $125 million.</w:t>
      </w:r>
    </w:p>
    <w:p>
      <w:pPr>
        <w:spacing w:after="0" w:line="106" w:lineRule="exact"/>
        <w:rPr>
          <w:sz w:val="20"/>
          <w:szCs w:val="20"/>
          <w:color w:val="auto"/>
        </w:rPr>
      </w:pPr>
    </w:p>
    <w:p>
      <w:pPr>
        <w:ind w:right="580" w:firstLine="405"/>
        <w:spacing w:after="0" w:line="407" w:lineRule="auto"/>
        <w:rPr>
          <w:sz w:val="20"/>
          <w:szCs w:val="20"/>
          <w:color w:val="auto"/>
        </w:rPr>
      </w:pPr>
      <w:r>
        <w:rPr>
          <w:rFonts w:ascii="Arial" w:cs="Arial" w:eastAsia="Arial" w:hAnsi="Arial"/>
          <w:sz w:val="18"/>
          <w:szCs w:val="18"/>
          <w:color w:val="auto"/>
        </w:rPr>
        <w:t xml:space="preserve">See Note 8, Financing arrangements, and Note 9, Stockholders’ equity, to the condensed consolidated financial statements for further discussion. </w:t>
      </w:r>
      <w:r>
        <w:rPr>
          <w:rFonts w:ascii="Arial" w:cs="Arial" w:eastAsia="Arial" w:hAnsi="Arial"/>
          <w:sz w:val="18"/>
          <w:szCs w:val="18"/>
          <w:b w:val="1"/>
          <w:bCs w:val="1"/>
          <w:color w:val="auto"/>
        </w:rPr>
        <w:t>Critical accounting policies</w:t>
      </w:r>
    </w:p>
    <w:p>
      <w:pPr>
        <w:jc w:val="both"/>
        <w:ind w:firstLine="405"/>
        <w:spacing w:after="0" w:line="276" w:lineRule="auto"/>
        <w:rPr>
          <w:sz w:val="20"/>
          <w:szCs w:val="20"/>
          <w:color w:val="auto"/>
        </w:rPr>
      </w:pPr>
      <w:r>
        <w:rPr>
          <w:rFonts w:ascii="Arial" w:cs="Arial" w:eastAsia="Arial" w:hAnsi="Arial"/>
          <w:sz w:val="17"/>
          <w:szCs w:val="17"/>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Part II, Item 7, of our Annual Report on Form 10-K for the year ended December 31, 2014. There have been no material changes to our critical accounting policies during the three months ended March 31, 2015.</w:t>
      </w:r>
    </w:p>
    <w:p>
      <w:pPr>
        <w:spacing w:after="0" w:line="25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Information about our market risk is disclosed in Part II, Item 7A, of our Annual Report on Form 10-K for the fiscal year ended December 31, 2014, and is incorporated herein by reference. There have been no material changes during the three months ended March 31, 2015, to the information provided in Part II, Item 7A, of our Annual Report on Form 10-K for the fiscal year ended December 31, 2014.</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68" w:right="239" w:bottom="1440" w:gutter="0" w:footer="0" w:header="0"/>
        </w:sectPr>
      </w:pPr>
    </w:p>
    <w:bookmarkStart w:id="32" w:name="page33"/>
    <w:bookmarkEnd w:id="32"/>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maintain “disclosure controls and procedures,” as such term is defined under Exchange Act Rule 13a-15(e), that are designed to ensure that information required to be disclosed in Amgen’s Exchange Act reports is recorded, processed, summarized and reported within the time periods specified in the SEC’s rules and forms, and that such information is accumulated and communicated to Amgen’s management, including its Chief Executive Officer and Chief Financial Officer, as appropriate, to allow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have carried out an evaluation under the supervision and with the participation of our management, including Amgen’s Chief Executive Officer and Chief Financial Officer, of the effectiveness of the design and operation of Amgen’s disclosure controls and procedures. Based upon their evaluation and subject to the foregoing, the Chief Executive Officer and Chief Financial Officer concluded that our disclosure controls and procedures were effective as of March 31, 2015.</w:t>
      </w:r>
    </w:p>
    <w:p>
      <w:pPr>
        <w:spacing w:after="0" w:line="88"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Management determined that, as of March 31, 2015,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See Note 12, Contingencies and commitments, to the condensed consolidated financial statements included in our Quarterly Reports on Form 10-Q for the period ended March 31, 2015, for discussions that are limited to certain recent developments concerning our legal proceedings. Those discussions should be read in conjunction with Note 18, Contingencies and commitments, to our consolidated financial statements in Part IV of our Annual Report on Form 10-K for the year ended December 31, 2014.</w:t>
      </w:r>
    </w:p>
    <w:p>
      <w:pPr>
        <w:spacing w:after="0" w:line="2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they involve certain risks, uncertainties and assumptions that are difficult to predict. You should carefully consider the risks and uncertainties facing our business. We have described in our Annual Report on Form 10-K for the fiscal year ended December 31, 2014, the primary risks related to our business, and we periodically update those risks for material developments. Those risks are not the only ones facing us.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Below, we are providing, in supplemental form, the material changes to our risk factors that occurred during the past quarter. Our risk factors disclosed in Part 1, Item 1A, of our Annual Report, on Form 10-K for the fiscal year ended December 31, 2014, provide additional disclosure and context for these supplemental risks and are incorporated herein by reference.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current products and products in development cannot be sold without regulatory approval.</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business is subject to extensive regulation by numerous state and federal governmental authorities in the United States, including the FDA, and by foreign regulatory authorities, including the EMA. We are required in the United States and in foreign countries to obtain approval from regulatory authorities before we can manufacture, market and sell our products. The approval of our product candidates will depend on the assessment by such regulatory authorities of the benefit-risk profile reflected by the totality of the efficacy and safety information available for our product candidates. Decisions by regulatory authorities regarding labeling, ingredients and other matters could adversely affect the approval and availability of our products. For example, we are currently investigating brodalumab as a treatment for a variety of inflammatory diseases. On March 23, 2015, we presented data from three phase 3 clinical trials evaluating brodalumab in patients with moderate-to-severe plaque psoriasis. In connection with that presentation, we noted that we have seen suicidal ideation and completed suicides in our brodalumab program but that we believe the evidence to date does not suggest a causal association between IL-17 inhibition and suicidal ideation and behavior. Full data have been provided to regulatory authorities. We will be discussing these data with regulators, and such data will be an important focus in their analysis of the risk-benefit profile during the regulatory review of our approval applications we plan to file for brodalumab. While we believe that brodalumab has a favorable benefit-risk profile, regulatory authorities will make the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26"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approval determination and there can be no assurance that brodalumab or any of our late-stage pipeline products will receive regulatory approval.</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expect to face increasing competition from biosimilars.</w:t>
      </w:r>
    </w:p>
    <w:p>
      <w:pPr>
        <w:spacing w:after="0" w:line="117" w:lineRule="exact"/>
        <w:rPr>
          <w:sz w:val="20"/>
          <w:szCs w:val="20"/>
          <w:color w:val="auto"/>
        </w:rPr>
      </w:pPr>
    </w:p>
    <w:p>
      <w:pPr>
        <w:jc w:val="both"/>
        <w:ind w:firstLine="405"/>
        <w:spacing w:after="0" w:line="227" w:lineRule="auto"/>
        <w:rPr>
          <w:sz w:val="20"/>
          <w:szCs w:val="20"/>
          <w:color w:val="auto"/>
        </w:rPr>
      </w:pPr>
      <w:r>
        <w:rPr>
          <w:rFonts w:ascii="Arial" w:cs="Arial" w:eastAsia="Arial" w:hAnsi="Arial"/>
          <w:sz w:val="18"/>
          <w:szCs w:val="18"/>
          <w:color w:val="auto"/>
        </w:rPr>
        <w:t>On March 6, 2015, Sandoz, a Novartis company, announced that the FDA approved its biosimilar filgrastim Zarxio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for all indications included in the reference product’s (NEUPOGEN</w:t>
      </w:r>
      <w:r>
        <w:rPr>
          <w:rFonts w:ascii="Arial" w:cs="Arial" w:eastAsia="Arial" w:hAnsi="Arial"/>
          <w:sz w:val="25"/>
          <w:szCs w:val="25"/>
          <w:color w:val="auto"/>
          <w:vertAlign w:val="superscript"/>
        </w:rPr>
        <w:t>®</w:t>
      </w:r>
      <w:r>
        <w:rPr>
          <w:rFonts w:ascii="Arial" w:cs="Arial" w:eastAsia="Arial" w:hAnsi="Arial"/>
          <w:sz w:val="18"/>
          <w:szCs w:val="18"/>
          <w:color w:val="auto"/>
        </w:rPr>
        <w:t>) label.</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We are increasingly subject to fluctuations in foreign currency exchange rates.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continue to expand internationally and derive an increasing percentage of our revenues from markets outside the United States. As a result, we are increasingly subject to fluctuations in foreign currency exchange rates relative to the U.S. dollar. While we have a program in place that is designed to reduce our exposure to foreign currency exchange rate fluctuations through foreign currency hedging arrangements, our hedging efforts do not completely offset the effect of these fluctuations on our revenues and earnings.</w:t>
      </w: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three months ended March 31, 2015, we had one outstanding stock repurchase program. Our repurchase activity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value that may</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shares</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 paid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as part of publicly announced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5"/>
              </w:rPr>
              <w:t>under the program</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2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1,100,300</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156.14</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1,100,300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3,674,954,081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February 1 - February 28</w:t>
            </w:r>
          </w:p>
        </w:tc>
        <w:tc>
          <w:tcPr>
            <w:tcW w:w="2080" w:type="dxa"/>
            <w:vAlign w:val="bottom"/>
          </w:tcPr>
          <w:p>
            <w:pPr>
              <w:jc w:val="right"/>
              <w:ind w:right="38"/>
              <w:spacing w:after="0"/>
              <w:rPr>
                <w:sz w:val="20"/>
                <w:szCs w:val="20"/>
                <w:color w:val="auto"/>
              </w:rPr>
            </w:pPr>
            <w:r>
              <w:rPr>
                <w:rFonts w:ascii="Arial" w:cs="Arial" w:eastAsia="Arial" w:hAnsi="Arial"/>
                <w:sz w:val="18"/>
                <w:szCs w:val="18"/>
                <w:color w:val="auto"/>
              </w:rPr>
              <w:t>1,272,500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tcPr>
          <w:p>
            <w:pPr>
              <w:jc w:val="right"/>
              <w:ind w:right="18"/>
              <w:spacing w:after="0"/>
              <w:rPr>
                <w:sz w:val="20"/>
                <w:szCs w:val="20"/>
                <w:color w:val="auto"/>
              </w:rPr>
            </w:pPr>
            <w:r>
              <w:rPr>
                <w:rFonts w:ascii="Arial" w:cs="Arial" w:eastAsia="Arial" w:hAnsi="Arial"/>
                <w:sz w:val="18"/>
                <w:szCs w:val="18"/>
                <w:color w:val="auto"/>
              </w:rPr>
              <w:t>152.58</w:t>
            </w:r>
          </w:p>
        </w:tc>
        <w:tc>
          <w:tcPr>
            <w:tcW w:w="120" w:type="dxa"/>
            <w:vAlign w:val="bottom"/>
          </w:tcPr>
          <w:p>
            <w:pPr>
              <w:spacing w:after="0"/>
              <w:rPr>
                <w:sz w:val="21"/>
                <w:szCs w:val="21"/>
                <w:color w:val="auto"/>
              </w:rPr>
            </w:pPr>
          </w:p>
        </w:tc>
        <w:tc>
          <w:tcPr>
            <w:tcW w:w="2040" w:type="dxa"/>
            <w:vAlign w:val="bottom"/>
          </w:tcPr>
          <w:p>
            <w:pPr>
              <w:jc w:val="right"/>
              <w:ind w:right="39"/>
              <w:spacing w:after="0"/>
              <w:rPr>
                <w:sz w:val="20"/>
                <w:szCs w:val="20"/>
                <w:color w:val="auto"/>
              </w:rPr>
            </w:pPr>
            <w:r>
              <w:rPr>
                <w:rFonts w:ascii="Arial" w:cs="Arial" w:eastAsia="Arial" w:hAnsi="Arial"/>
                <w:sz w:val="18"/>
                <w:szCs w:val="18"/>
                <w:color w:val="auto"/>
              </w:rPr>
              <w:t>1,272,500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3,480,800,595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20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542,100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156.74</w:t>
            </w:r>
          </w:p>
        </w:tc>
        <w:tc>
          <w:tcPr>
            <w:tcW w:w="1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542,100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3,395,829,600</w:t>
            </w: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20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2,914,900</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8"/>
              <w:spacing w:after="0"/>
              <w:rPr>
                <w:sz w:val="20"/>
                <w:szCs w:val="20"/>
                <w:color w:val="auto"/>
              </w:rPr>
            </w:pPr>
            <w:r>
              <w:rPr>
                <w:rFonts w:ascii="Arial" w:cs="Arial" w:eastAsia="Arial" w:hAnsi="Arial"/>
                <w:sz w:val="18"/>
                <w:szCs w:val="18"/>
                <w:color w:val="auto"/>
              </w:rPr>
              <w:t>154.70</w:t>
            </w:r>
          </w:p>
        </w:tc>
        <w:tc>
          <w:tcPr>
            <w:tcW w:w="1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2,914,900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 In October 2014, our Board of Directors authorized an increase that resulted in a total of $4.0 billion available under the stock repurchase program.</w:t>
      </w:r>
    </w:p>
    <w:p>
      <w:pPr>
        <w:spacing w:after="0" w:line="32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Reference is made to the Index to Exhibits included herein.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25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Amgen Inc.</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00" w:val="left"/>
          <w:tab w:leader="none" w:pos="5280" w:val="left"/>
          <w:tab w:leader="none" w:pos="7960" w:val="left"/>
          <w:tab w:leader="none" w:pos="83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April 27,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2"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David W. Meline</w:t>
      </w:r>
    </w:p>
    <w:p>
      <w:pPr>
        <w:spacing w:after="0" w:line="109"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64" w:right="2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3660"/>
              <w:spacing w:after="0"/>
              <w:rPr>
                <w:sz w:val="20"/>
                <w:szCs w:val="20"/>
                <w:color w:val="auto"/>
              </w:rPr>
            </w:pPr>
            <w:r>
              <w:rPr>
                <w:rFonts w:ascii="Arial" w:cs="Arial" w:eastAsia="Arial" w:hAnsi="Arial"/>
                <w:sz w:val="18"/>
                <w:szCs w:val="18"/>
                <w:b w:val="1"/>
                <w:bCs w:val="1"/>
                <w:color w:val="auto"/>
              </w:rPr>
              <w:t>AMGEN INC.</w:t>
            </w:r>
          </w:p>
        </w:tc>
      </w:tr>
      <w:tr>
        <w:trPr>
          <w:trHeight w:val="432"/>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534"/>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Restated Certificate of Incorporation of Amgen Inc. (As Restated March 6, 2013.)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2013 on May 3,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Amended and Restated Bylaws of Amgen Inc. (As Amended and Restated March 6, 2013). (Filed as an exhibit to Form 8-K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First Amendment to the Amended and Restated Bylaws of Amgen Inc. (As Amended and Restated March 6, 2013). (Filed as an exhibit</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to Form 8-K on October 16,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Form of stock certificate for the common stock, par value $.0001 of the Company.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1997 on May 13, 1997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Indenture, dated January 1, 1992. (Filed as an exhibit to Form S-3 Registration Statement filed on December 19, 1991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Agreement of Resignation, Appointment and Acceptance dated February 15, 2008. (Filed as an exhibit to Form 10-K for the year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December 31, 2007 on February 28, 2008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First Supplemental Indenture, dated February 26, 1997. (Filed as an exhibit to Form 8-K on March 14, 1997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405"/>
        </w:trPr>
        <w:tc>
          <w:tcPr>
            <w:tcW w:w="1260" w:type="dxa"/>
            <w:vAlign w:val="bottom"/>
          </w:tcPr>
          <w:p>
            <w:pPr>
              <w:ind w:left="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8-1/8% Debentures due April 1, 2097. (Filed as an exhibit to Form 8-K on April 8, 1997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Officer's Certificate of Amgen Inc., dated January 1, 1992, as supplemented by the First Supplemental Indenture, dated February 26,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1997, establishing a series of securities entitled “8 1/8% Debentures due April 1, 2097.” (Filed as an exhibit to Form 8-K on April 8,</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1997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Indenture, dated August 4, 2003. (Filed as an exhibit to Form S-3 Registration Statement on August 4, 2003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Corporate Commercial Paper - Master Note between and among Amgen Inc., as Issuer, Cede &amp; Co., as Nominee of The Depository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Trust Company, and Citibank, N.A., as Paying Agent. (Filed as an exhibit to Form 10-Q for the quarter ended March 31, 1998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May 13, 1998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May 30, 2007, including forms of the Company's Senior Floating Rate Notes due 2008, 5.85%</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Senior Notes due 2017 and 6.375% Senior Notes due 2037. (Filed as an exhibit to Form 8-K on May 30, 2007 and incorporated herein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Certificate of Amgen Inc., dated May 23, 2008, including forms of the Company's 6.15% Senior Notes due 2018 and 6.90%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Senior Notes due 2038. (Filed as exhibit to Form 8-K on May 23,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January 16, 2009, including forms of the Company's 5.70% Senior Notes due 2019 and 6.40%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Senior Notes due 2039. (Filed as exhibit to Form 8-K on January 16, 2009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Officers' Certificate of Amgen Inc., dated March 12, 2010, including forms of the Company's 4.50% Senior Notes due 2020 and 5.75%</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Senior Notes due 2040. (Filed as exhibit to Form 8-K on March 15, 2010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Officers' Certificate of Amgen Inc., dated September 16, 2010, including forms of the Company's 3.45% Senior Notes due 2020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4.95% Senior Notes due 2041. (Filed as an exhibit to Form 8-K on September 17, 2010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June 30, 2011, including forms of the Company's 2.30% Senior Notes due 2016, 4.10% Senior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Notes due 2021 and 5.65% Senior Notes due 2042. (Filed as an exhibit to Form 8-K on June 30, 2011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November 10, 2011, including forms of the Company's 1.875% Senior Notes due 2014, 2.50%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Senior Notes due 2016, 3.875% Senior Notes due 2021 and 5.15% Senior Notes due 2041. (Filed as an exhibit to Form 8-K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November 10, 2011 and incorporated herein by reference.)</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64"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Officers' Certificate of Amgen Inc., dated December 5, 2011, including forms of the Company's 4.375% Senior Notes due 2018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5.50% Senior Notes due 2026. (Filed as an exhibit to Form 8-K on December 5, 2011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Officers' Certificate of Amgen Inc., dated May 15, 2012, including forms of the Company's 2.125% Senior Notes due 2017, 3.625%</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Senior Notes due 2022 and 5.375% Senior Notes due 2043. (Filed as an exhibit to Form 8-K on May 15, 2012 and incorporated herein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Officers' Certificate of Amgen Inc., dated September 13, 2012, including forms of the Company's 2.125% Senior Notes due 2019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4.000% Senior Notes due 2029. (Filed as an exhibit to Form 8-K on September 13, 2012 and incorporated herein by reference.)</w:t>
            </w:r>
          </w:p>
        </w:tc>
      </w:tr>
      <w:tr>
        <w:trPr>
          <w:trHeight w:val="418"/>
        </w:trPr>
        <w:tc>
          <w:tcPr>
            <w:tcW w:w="1260" w:type="dxa"/>
            <w:vAlign w:val="bottom"/>
          </w:tcPr>
          <w:p>
            <w:pPr>
              <w:ind w:left="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Indenture, dated May 22, 2014, between Amgen Inc. and The Bank of New York Mellon Trust Company, N.A., as Trustee.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8-K on May 22, 2014 and incorporated herein by reference.)</w:t>
            </w:r>
          </w:p>
        </w:tc>
      </w:tr>
      <w:tr>
        <w:trPr>
          <w:trHeight w:val="418"/>
        </w:trPr>
        <w:tc>
          <w:tcPr>
            <w:tcW w:w="1260" w:type="dxa"/>
            <w:vAlign w:val="bottom"/>
          </w:tcPr>
          <w:p>
            <w:pPr>
              <w:ind w:left="4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Officers' Certificate of Amgen Inc., dated May 22, 2014, including forms of the Company's Senior Floating Rate Notes due 2017, Senior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Floating Rate Notes due 2019, 1.250% Senior Notes due 2017, 2.200% Senior Notes due 2019 and 3.625% Senior Notes due 2024.</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(Filed as an exhibit to Form 8-K on May 22, 2014 and incorporated herein by reference.)</w:t>
            </w:r>
          </w:p>
        </w:tc>
      </w:tr>
      <w:tr>
        <w:trPr>
          <w:trHeight w:val="418"/>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Amended and Restated 2009 Equity Incentive Plan. (Filed as Appendix C to the Definitive Proxy Statement on Schedule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14A on April 8, 2013 and incorporated herein by reference.)</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First Amendment to Amgen Inc. Amended and Restated 2009 Equity Incentive Plan, effective March 4, 2015.</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Form of Stock Option Agreement for the Amgen Inc. Amended and Restated 2009 Equity Incentive Plan. (As Amended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2013.) (Filed as an exhibit to Form 10-Q for the quarter 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Form of Restricted Stock Unit Agreement for the Amgen Inc. Amended and Restated 2009 Equity Incentive Plan. (As Amended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4, 2015.)</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2009 Performance Award Program. (As Amended on December 13, 2013.) (Filed as an exhibit to Form 10-K for the year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December 31, 2013 on February 24, 2014 and incorporated herein by reference.)</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Form of Performance Unit Agreement for the Amgen Inc. 2009 Performance Award Program. (As Amended on March 4, 2015).</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2009 Director Equity Incentive Program. (As Amended on March 6, 2013.) (Filed as an exhibit to Form 10-Q for the quarter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Form of Grant of Non-Qualified Stock Option Agreement for the Amgen Inc. 2009 Director Equity Incentive Program.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8-K on May 8, 2009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Form of Restricted Stock Unit Agreement for the Amgen Inc. 2009 Director Equity Incentive Program. (As Amended on March 6,</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2013.) (Filed as an exhibit to Form 10-Q for the quarter ended March 31, 2013 on May 3, 2013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Supplemental Retirement Plan. (As Amended and Restated effective October 16, 2013.) (Filed as an exhibit to Form 10-K</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 the year ended December 31, 2013 on February 24,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Amended and Restated Amgen Change of Control Severance Plan. (As Amended and Restated effective December 9, 2010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subsequently amended effective March 2, 2011.) (Filed as an exhibit to Form 10-Q for the quarter ended March 31, 2011 on May 10,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2011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Executive Incentive Plan. (As Amended and Restated effective January 1, 2009.) (Filed as an exhibit to Form 10-Q for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quarter ended September 30, 2008 on November 7, 2008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First Amendment to the Amgen Inc. Executive Incentive Plan, effective December 13, 2012. (Filed as an exhibit to Form 10-K for the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year ended December 31, 2012 on February 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Amgen Inc. Executive Nonqualified Retirement Plan. (As Amended and Restated effective January 1, 2009.)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September 30, 2008 on November 7, 2008 and 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589" w:right="2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First Amendment to the Amgen Inc. Executive Nonqualified Retirement Plan, effective July 21, 2010. (Filed as an exhibit to Form 10-Q</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 the quarter ended June 30, 2010 on August 9, 2010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Amgen Nonqualified Deferred Compensation Plan. (As Amended and Restated effective October 16, 2013.) (Filed as an exhibit to Form</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10-K for the year ended December 31, 2013 on February 24, 2014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Agreement between Amgen Inc. and Mr. Anthony C. Hooper, dated October 12, 2011. (Filed as an exhibit to Form 10-K for the year</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ended December 31, 2011 on February 29,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Agreement between Amgen Inc. and David W. Meline, effective July 21, 2014. (Filed as an exhibit to Form 10-Q for the quarter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September 30, 2014 on October 29,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Shareholders' Agreement, dated May 11, 1984, among Amgen, Kirin Brewery Company, Limited and Kirin-Amgen, Inc.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No. 1 dated March 19, 1985, Amendment No. 2 dated July 29, 1985 (effective July 1, 1985), and Amendment No. 3,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December 19, 1985, to the Shareholders' Agreement dated May 11, 1984. (Filed as an exhibit to Form 10-Q for the quarter ended June</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30, 2000 on August 1, 2000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4 dated October 16, 1986 (effective July 1, 1986), Amendment No. 5 dated December 6, 1986 (effective July 1, 1986),</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Amendment No. 6 dated June 1, 1987, Amendment No. 7 dated July 17, 1987 (effective April 1, 1987), Amendment No. 8 dated May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28, 1993 (effective November 13, 1990), Amendment No. 9 dated December 9, 1994 (effective June 14, 1994), Amendment No. 10</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effective March 1, 1996, and Amendment No. 11 effective March 20, 2000 to the Shareholders' Agreement, dated May 11, 1984. (Filed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as exhibits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Amendment No. 12 to the Shareholders' Agreement, dated January 31, 2001. (Filed as an exhibit to Form 10-Q for the quarter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June 30, 2005 on August 8, 2005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89"/>
              </w:rPr>
              <w:t>Amendment No. 13 to the Shareholders' Agreement, dated June 28, 2007 (portions of the exhibit have been omitted pursuant to a request</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for confidential treatment). (Filed as an exhibit to Form 10-Q for the quarter ended June 30, 2007 on August 9, 2007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Amendment No. 14 to the Shareholders' Agreement, dated March 26, 2014. (Filed as an exhibit to Form 10-Q for the quarter ended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March 31, 2014 on April 30, 2014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Assignment and License Agreement, dated October 16, 1986 (effective July 1, 1986), between Amgen and Kirin-Amgen, Inc. (Filed as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an exhibit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G-CSF United States License Agreement, dated June 1, 1987 (effective July 1, 1986), Amendment No. 1, dated October 20, 1988,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Amendment No. 2, dated October 17, 1991 (effective November 13, 1990), between Kirin-Amgen, Inc. and Amgen Inc. (Filed as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exhibits to Form 10-K for the year ended December 31, 2000 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G-CSF European License Agreement, dated December 30, 1986, between Kirin-Amgen and Amgen, Amendment No. 1 to Kirin-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Amgen, Inc. / Amgen G-CSF European License Agreement, dated June 1, 1987, Amendment No. 2 to Kirin-Amgen, Inc. / Amgen G-</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CSF European License Agreement, dated March 15, 1998, Amendment No. 3 to Kirin-Amgen, Inc. / Amgen G-CSF European License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Agreement, dated October 20, 1988, and Amendment No. 4 to Kirin-Amgen, Inc. / Amgen G-CSF European License Agreement, dated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December 29, 1989, between Kirin-Amgen, Inc. and Amgen Inc. (Filed as exhibits to Form 10-K for the year ended December 31, 2000</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on March 7, 2001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Amended and Restated Promotion Agreement, dated December 16, 2001, by and among Immunex Corporation, American Home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Products Corporation and Amgen Inc. (portions of the exhibit have been omitted pursuant to a request for confidential treatment). (Filed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as an exhibit to Amendment No. 1 to Form S-4 Registration Statement on March 22, 2002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Description of Amendment No. 1 to Amended and Restated Promotion Agreement, effective July 8, 2003, among Wyeth, Amgen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and Immunex Corporation (portions of the exhibit have been omitted pursuant to a request for confidential treatment).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10-K for the year ended December 31, 2003 on March 11, 2004 and incorporated herein by reference.)</w:t>
            </w:r>
          </w:p>
        </w:tc>
      </w:tr>
      <w:tr>
        <w:trPr>
          <w:trHeight w:val="743"/>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36</w:t>
            </w:r>
          </w:p>
        </w:tc>
      </w:tr>
    </w:tbl>
    <w:p>
      <w:pPr>
        <w:sectPr>
          <w:pgSz w:w="11900" w:h="16838" w:orient="portrait"/>
          <w:cols w:equalWidth="0" w:num="1">
            <w:col w:w="11420"/>
          </w:cols>
          <w:pgMar w:left="240" w:top="589"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Description of Amendment No. 2 to Amended and Restated Promotion Agreement, effective April 20, 2004, by and among Wyeth,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Amgen Inc. and Immunex Corporation. (Filed as an exhibit to Amendment No. 1 to Form S-4 Registration Statement on June 29, 2004</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No. 3 to Amended and Restated Promotion Agreement, effective January 1, 2005, by and among Wyeth, Amgen Inc.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Immunex Corporation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10-Q for the quarter ended March 31, 2005 on May 4, 2005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Amended and Restated Credit Agreement, dated July 30, 2014, among Amgen Inc., the Banks therein named, Citibank, N.A., as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administrative agent, and JPMorgan Chase Bank, N.A., as syndication agent (Filed as an exhibit to Form 8-K on July 30, 2014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Collaboration and License Agreement between Amgen Inc. and Celltech R&amp;D Limited dated May 10, 2002 (portions of the exhibit have</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been omitted pursuant to a request for confidential treatment) and Amendment No. 1, effective June 9, 2003, to Collaboration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License Agreement between Amgen Inc. and Celltech R&amp;D Limited (portions of the exhibit have been omitted pursuant to a request for</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confidential treatment). (Filed as an exhibit to Form 10-K/A for the year ended December 31, 2012 on July 31, 2013 and incorporated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4"/>
              </w:rPr>
              <w:t>Sourcing and Supply Agreement, dated November 15, 2011, by and between Amgen USA Inc, a wholly owned subsidiary of Amgen</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Inc., and DaVita Inc. (portions of the exhibit have been omitted pursuant to a request for confidential treatment). (Filed as an exhibit to</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Form 10-K for the year ended December 31, 2011 on February 29,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Amendment Number 1 to Sourcing and Supply Agreement, effective January 1, 2013, by and between Amgen USA Inc.,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owned subsidiary of Amgen Inc., and DaVita Healthcare Partners Inc. f/k/a DaVita Inc. (portions of the exhibit have been omitted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pursuant to a request for confidential treatment). (Filed as an exhibit to Form 10-K for the year ended December 31, 2012 on February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27,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Collaboration Agreement dated March 30, 2012 by and between Amgen Inc. and AstraZeneca Collaboration Ventures, LLC, a wholly</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owned subsidiary of AstraZeneca Pharmaceuticals LP (portions of the exhibit have been omitted pursuant to a request for confidential</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treatment). (Filed as an exhibit to Form 10-Q for the quarter ended March 31, 2012 on May 8, 2012 and incorporated herein by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Amendment No. 1 to Collaboration Agreement, dated October 1, 2014, by and among Amgen Inc., AstraZeneca Collaboration Ventures,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LLC and AstraZeneca Pharmaceuticals LP (portions of the exhibit have been omitted pursuant to a request for confidential treatment).</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(Filed as an exhibit to Form 10-K for the year ended December 31, 2014 on February 19, 2015 and incorporated herein by reference.)</w:t>
            </w:r>
          </w:p>
        </w:tc>
      </w:tr>
      <w:tr>
        <w:trPr>
          <w:trHeight w:val="377"/>
        </w:trPr>
        <w:tc>
          <w:tcPr>
            <w:tcW w:w="1260" w:type="dxa"/>
            <w:vAlign w:val="bottom"/>
          </w:tcPr>
          <w:p>
            <w:pPr>
              <w:ind w:left="4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Collaboration Agreement, dated April 22, 1994, by and between Bayer Corporation (formerly Miles, Inc.) and Onyx Pharmaceuticals,</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Inc. (Filed as an exhibit to Form 10-Q for the quarter ended March 31, 2011 by Onyx Pharmaceuticals, Inc. on May 10, 2011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Amendment to Collaboration Agreement, dated April 24, 1996,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(Filed as an exhibit to Form 10-Q for the quarter ended March 31, 2006 by Onyx Pharmaceuticals, Inc. on May 10, 2006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Amendment to Collaboration Agreement, dated February 1, 1999, by and between Bayer Corporation and Onyx Pharmaceuticals, Inc.</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9"/>
              </w:rPr>
              <w:t>(Filed as an exhibit to Form 10-Q for the quarter ended March 31, 2006 by Onyx Pharmaceuticals, Inc. on May 10, 2006 and</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United States Co-Promotion Agreement, dated March 6, 2006, by and between Bayer Pharmaceuticals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Pharmaceuticals, Inc. (Filed as an exhibit to Form 10-Q for the quarter ended March 31, 2006 by Onyx Pharmaceuticals, Inc. on May</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 2006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Settlement Agreement and Release, dated October 11, 2011, by and between Bayer Corporation, Bayer AG, Bayer HealthCare LLC and</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Bayer Pharma AG and Onyx Pharmaceuticals, Inc. (Filed as an exhibit to Form 10-K for the year ended December 31, 2011 by Onyx</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Pharmaceuticals, Inc. on February 27,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Fourth  Amendment  to  Collaboration  Agreement,  dated  October  11,  2011,  by  and  between  Bayer  Corporation  and  Onyx</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Pharmaceuticals, Inc. (Filed as an exhibit to Form 10-K for the year ended December 31, 2011 by Onyx Pharmaceuticals, Inc.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February 27, 2012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Commitment Letter, dated August 24, 2013, among Amgen Inc., Bank of America, N.A., Merrill Lynch, Pierce, Fenner &amp; Smith</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3"/>
              </w:rPr>
              <w:t>Incorporated, JPMorgan Chase Bank, N.A., J.P. Morgan Securities LLC and Barclays Bank PLC. (Filed as an exhibit to Form 8-K 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August 26, 2013 and incorporated herein by reference.)</w:t>
            </w:r>
          </w:p>
        </w:tc>
      </w:tr>
      <w:tr>
        <w:trPr>
          <w:trHeight w:val="75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589"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22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19"/>
                <w:szCs w:val="19"/>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Master Repurchase Agreement, dated August 24, 2013, between Amgen Inc. and Bank of America, N.A. (Filed as an exhibit to Form 8-</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K on August 26,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Master Repurchase Agreement, dated October 28, 2013, between Amgen Inc. and SMBC Repo Pass-Thru Trust, 2013-1. (Filed as an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exhibit to Form 10-Q for the quarter ended September 30, 2013 on October 29,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Master Repurchase Agreement, dated October 29, 2013, between Amgen Inc. and HSBC Bank USA, N.A. (Filed as an exhibit to Form</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10-Q for the quarter ended September 30, 2013 on October 29, 2013 and incorporated herein by reference.)</w:t>
            </w:r>
          </w:p>
        </w:tc>
      </w:tr>
      <w:tr>
        <w:trPr>
          <w:trHeight w:val="391"/>
        </w:trPr>
        <w:tc>
          <w:tcPr>
            <w:tcW w:w="1260" w:type="dxa"/>
            <w:vAlign w:val="bottom"/>
          </w:tcPr>
          <w:p>
            <w:pPr>
              <w:ind w:left="40"/>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Term Loan Facility Credit Agreement, dated September 20, 2013, among Amgen Inc., the Banks therein named, Bank of America, N.A.,</w:t>
            </w:r>
          </w:p>
        </w:tc>
      </w:tr>
      <w:tr>
        <w:trPr>
          <w:trHeight w:val="216"/>
        </w:trPr>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as Administrative Agent, and Barclays Bank PLC and JPMorgan Chase Bank, N.A., as Syndication Agents. (Filed as an exhibit to Form</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8-K on September 20, 2013 and incorporated herein by reference.)</w:t>
            </w:r>
          </w:p>
        </w:tc>
      </w:tr>
      <w:tr>
        <w:trPr>
          <w:trHeight w:val="405"/>
        </w:trPr>
        <w:tc>
          <w:tcPr>
            <w:tcW w:w="1260" w:type="dxa"/>
            <w:vAlign w:val="bottom"/>
          </w:tcPr>
          <w:p>
            <w:pPr>
              <w:ind w:left="4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Rule 13a-14(a) Certifications.</w:t>
            </w:r>
          </w:p>
        </w:tc>
      </w:tr>
      <w:tr>
        <w:trPr>
          <w:trHeight w:val="405"/>
        </w:trPr>
        <w:tc>
          <w:tcPr>
            <w:tcW w:w="1260" w:type="dxa"/>
            <w:vAlign w:val="bottom"/>
          </w:tcPr>
          <w:p>
            <w:pPr>
              <w:ind w:left="4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 filed herewith)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furnished herewith and not “filed” for purposes of Section 18 of the Securities Exchange Act of 1934, as amended)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10.2</w:t>
      </w:r>
    </w:p>
    <w:p>
      <w:pPr>
        <w:spacing w:after="0" w:line="257"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First Amendment to the Amgen Inc. Amended and Restated</w:t>
      </w:r>
    </w:p>
    <w:p>
      <w:pPr>
        <w:spacing w:after="0" w:line="28"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2009 Equity Incentive Plan</w:t>
      </w:r>
    </w:p>
    <w:p>
      <w:pPr>
        <w:spacing w:after="0" w:line="202"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The Amgen Inc. Amended and Restated Equity Incentive Plan (the “Plan”) is hereby amended, effective as of March 4, 2015, as follows:</w:t>
      </w:r>
    </w:p>
    <w:p>
      <w:pPr>
        <w:spacing w:after="0" w:line="215" w:lineRule="exact"/>
        <w:rPr>
          <w:sz w:val="20"/>
          <w:szCs w:val="20"/>
          <w:color w:val="auto"/>
        </w:rPr>
      </w:pPr>
    </w:p>
    <w:p>
      <w:pPr>
        <w:ind w:left="340" w:right="120" w:hanging="332"/>
        <w:spacing w:after="0" w:line="251" w:lineRule="auto"/>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Article I shall be revised by replacing references to “the Board, Employees, and Consultants” in such Article I with “the Board and Employees”.</w:t>
      </w:r>
    </w:p>
    <w:p>
      <w:pPr>
        <w:spacing w:after="0" w:line="2" w:lineRule="exact"/>
        <w:rPr>
          <w:rFonts w:ascii="Arial" w:cs="Arial" w:eastAsia="Arial" w:hAnsi="Arial"/>
          <w:sz w:val="22"/>
          <w:szCs w:val="22"/>
          <w:color w:val="auto"/>
        </w:rPr>
      </w:pPr>
    </w:p>
    <w:p>
      <w:pPr>
        <w:ind w:left="340" w:right="680" w:hanging="332"/>
        <w:spacing w:after="0" w:line="243" w:lineRule="auto"/>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Section 2.14 (“</w:t>
      </w:r>
      <w:r>
        <w:rPr>
          <w:rFonts w:ascii="Arial" w:cs="Arial" w:eastAsia="Arial" w:hAnsi="Arial"/>
          <w:sz w:val="22"/>
          <w:szCs w:val="22"/>
          <w:u w:val="single" w:color="auto"/>
          <w:color w:val="auto"/>
        </w:rPr>
        <w:t>Consultant</w:t>
      </w:r>
      <w:r>
        <w:rPr>
          <w:rFonts w:ascii="Arial" w:cs="Arial" w:eastAsia="Arial" w:hAnsi="Arial"/>
          <w:sz w:val="22"/>
          <w:szCs w:val="22"/>
          <w:color w:val="auto"/>
        </w:rPr>
        <w:t>”) shall be deleted in its entirety and Sections 2.15 through and including Section 2.18 shall be renumbered to reflect such deletion.</w:t>
      </w:r>
    </w:p>
    <w:p>
      <w:pPr>
        <w:ind w:left="340" w:hanging="332"/>
        <w:spacing w:after="0"/>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following new Section 2.19 shall be added:</w:t>
      </w:r>
    </w:p>
    <w:p>
      <w:pPr>
        <w:spacing w:after="0" w:line="242" w:lineRule="exact"/>
        <w:rPr>
          <w:sz w:val="20"/>
          <w:szCs w:val="20"/>
          <w:color w:val="auto"/>
        </w:rPr>
      </w:pPr>
    </w:p>
    <w:p>
      <w:pPr>
        <w:ind w:left="1300" w:right="140" w:hanging="647"/>
        <w:spacing w:after="0" w:line="312" w:lineRule="auto"/>
        <w:tabs>
          <w:tab w:leader="none" w:pos="128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shall mean an Employee described in subsection (a) of this Section who is not excluded under subsection (b). An individual’s status as an Eligible Employee shall be determined by the Company or the related Affiliate, if applicable, based on how the Company or the related Affiliate, if applicable, treats the individual.</w:t>
      </w:r>
    </w:p>
    <w:p>
      <w:pPr>
        <w:spacing w:after="0" w:line="174" w:lineRule="exact"/>
        <w:rPr>
          <w:sz w:val="20"/>
          <w:szCs w:val="20"/>
          <w:color w:val="auto"/>
        </w:rPr>
      </w:pPr>
    </w:p>
    <w:p>
      <w:pPr>
        <w:ind w:left="1960" w:right="20" w:hanging="655"/>
        <w:spacing w:after="0" w:line="302" w:lineRule="auto"/>
        <w:tabs>
          <w:tab w:leader="none" w:pos="19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Included Employees. Unless excluded under (b) below, an individual regarded by the Company or the related Affiliate, if applicable, as a regular Employee working twenty (20) or more hours per week or an Employee on an authorized leave of absence, as determined by the Company or the related Affiliate, as applicable, who customarily worked twenty (20) or more hours per week before going on leave.</w:t>
      </w:r>
    </w:p>
    <w:p>
      <w:pPr>
        <w:spacing w:after="0" w:line="183" w:lineRule="exact"/>
        <w:rPr>
          <w:rFonts w:ascii="Arial" w:cs="Arial" w:eastAsia="Arial" w:hAnsi="Arial"/>
          <w:sz w:val="19"/>
          <w:szCs w:val="19"/>
          <w:color w:val="auto"/>
        </w:rPr>
      </w:pPr>
    </w:p>
    <w:p>
      <w:pPr>
        <w:ind w:left="1960" w:right="60" w:hanging="655"/>
        <w:spacing w:after="0" w:line="263" w:lineRule="auto"/>
        <w:tabs>
          <w:tab w:leader="none" w:pos="19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Excluded Employees. An Employee shall not be an Eligible Employee for any period in which the Company or the related Affiliate, if applicable, regards the Employee as:</w:t>
      </w:r>
    </w:p>
    <w:p>
      <w:pPr>
        <w:spacing w:after="0" w:line="215" w:lineRule="exact"/>
        <w:rPr>
          <w:rFonts w:ascii="Arial" w:cs="Arial" w:eastAsia="Arial" w:hAnsi="Arial"/>
          <w:sz w:val="22"/>
          <w:szCs w:val="22"/>
          <w:color w:val="auto"/>
        </w:rPr>
      </w:pPr>
    </w:p>
    <w:p>
      <w:pPr>
        <w:ind w:left="2600" w:right="700" w:hanging="647"/>
        <w:spacing w:after="0" w:line="251" w:lineRule="auto"/>
        <w:tabs>
          <w:tab w:leader="none" w:pos="26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not on the payroll of the Company or Affiliate, if applicable, even though such person may be deemed, for any reason, to be an Employee;</w:t>
      </w:r>
    </w:p>
    <w:p>
      <w:pPr>
        <w:spacing w:after="0" w:line="2" w:lineRule="exact"/>
        <w:rPr>
          <w:rFonts w:ascii="Arial" w:cs="Arial" w:eastAsia="Arial" w:hAnsi="Arial"/>
          <w:sz w:val="22"/>
          <w:szCs w:val="22"/>
          <w:color w:val="auto"/>
        </w:rPr>
      </w:pPr>
    </w:p>
    <w:p>
      <w:pPr>
        <w:ind w:left="2600" w:right="80" w:hanging="647"/>
        <w:spacing w:after="0" w:line="243" w:lineRule="auto"/>
        <w:tabs>
          <w:tab w:leader="none" w:pos="26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a “leased employee” within the meaning of Section 414(n) of the Code with respect to the Employer; or</w:t>
      </w:r>
    </w:p>
    <w:p>
      <w:pPr>
        <w:ind w:left="2600" w:right="600" w:hanging="647"/>
        <w:spacing w:after="0" w:line="270" w:lineRule="auto"/>
        <w:tabs>
          <w:tab w:leader="none" w:pos="2600" w:val="left"/>
        </w:tabs>
        <w:numPr>
          <w:ilvl w:val="1"/>
          <w:numId w:val="13"/>
        </w:numPr>
        <w:rPr>
          <w:rFonts w:ascii="Arial" w:cs="Arial" w:eastAsia="Arial" w:hAnsi="Arial"/>
          <w:sz w:val="21"/>
          <w:szCs w:val="21"/>
          <w:color w:val="auto"/>
        </w:rPr>
      </w:pPr>
      <w:r>
        <w:rPr>
          <w:rFonts w:ascii="Arial" w:cs="Arial" w:eastAsia="Arial" w:hAnsi="Arial"/>
          <w:sz w:val="21"/>
          <w:szCs w:val="21"/>
          <w:color w:val="auto"/>
        </w:rPr>
        <w:t>a “temporary employee,” “independent contractor,” or “consultant,” regardless of how long the person actually works for the Company or the related Affiliate, if applicable.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4.  The definition “</w:t>
      </w:r>
      <w:r>
        <w:rPr>
          <w:rFonts w:ascii="Arial" w:cs="Arial" w:eastAsia="Arial" w:hAnsi="Arial"/>
          <w:sz w:val="22"/>
          <w:szCs w:val="22"/>
          <w:u w:val="single" w:color="auto"/>
          <w:color w:val="auto"/>
        </w:rPr>
        <w:t>Eligible Individual</w:t>
      </w:r>
      <w:r>
        <w:rPr>
          <w:rFonts w:ascii="Arial" w:cs="Arial" w:eastAsia="Arial" w:hAnsi="Arial"/>
          <w:sz w:val="22"/>
          <w:szCs w:val="22"/>
          <w:color w:val="auto"/>
        </w:rPr>
        <w:t>” shall deleted in its entirety and replaced with the following:</w:t>
      </w:r>
    </w:p>
    <w:p>
      <w:pPr>
        <w:spacing w:after="0" w:line="260" w:lineRule="exact"/>
        <w:rPr>
          <w:sz w:val="20"/>
          <w:szCs w:val="20"/>
          <w:color w:val="auto"/>
        </w:rPr>
      </w:pPr>
    </w:p>
    <w:p>
      <w:pPr>
        <w:ind w:left="660" w:right="3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Individual</w:t>
      </w:r>
      <w:r>
        <w:rPr>
          <w:rFonts w:ascii="Arial" w:cs="Arial" w:eastAsia="Arial" w:hAnsi="Arial"/>
          <w:sz w:val="22"/>
          <w:szCs w:val="22"/>
          <w:color w:val="auto"/>
        </w:rPr>
        <w:t>” shall mean any person who is an Eligible Employee or a Non-Employee Director, as determined by the Committee.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5.  The definition “</w:t>
      </w:r>
      <w:r>
        <w:rPr>
          <w:rFonts w:ascii="Arial" w:cs="Arial" w:eastAsia="Arial" w:hAnsi="Arial"/>
          <w:sz w:val="22"/>
          <w:szCs w:val="22"/>
          <w:u w:val="single" w:color="auto"/>
          <w:color w:val="auto"/>
        </w:rPr>
        <w:t>Employee</w:t>
      </w:r>
      <w:r>
        <w:rPr>
          <w:rFonts w:ascii="Arial" w:cs="Arial" w:eastAsia="Arial" w:hAnsi="Arial"/>
          <w:sz w:val="22"/>
          <w:szCs w:val="22"/>
          <w:color w:val="auto"/>
        </w:rPr>
        <w:t>” shall deleted in its entirety and replaced with the following:</w:t>
      </w:r>
    </w:p>
    <w:p>
      <w:pPr>
        <w:spacing w:after="0" w:line="260" w:lineRule="exact"/>
        <w:rPr>
          <w:sz w:val="20"/>
          <w:szCs w:val="20"/>
          <w:color w:val="auto"/>
        </w:rPr>
      </w:pPr>
    </w:p>
    <w:p>
      <w:pPr>
        <w:ind w:left="660" w:right="120"/>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w:t>
      </w:r>
      <w:r>
        <w:rPr>
          <w:rFonts w:ascii="Arial" w:cs="Arial" w:eastAsia="Arial" w:hAnsi="Arial"/>
          <w:sz w:val="19"/>
          <w:szCs w:val="19"/>
          <w:color w:val="auto"/>
        </w:rPr>
        <w:t>” shall mean an individual regarded by the Company or any Affiliate as its employee, as evidenced by the Company’s, or such subsidiary corporation’s withholding of any income tax (including federal state and local taxes), social insurance, payroll tax, payment on account or other tax-related obligations from such person’s wages or other cash compensation. If, during any period, the Company or any Affiliate has not regarded an individual as an Employee and, for that reason, has not withheld income tax (including federal state and local taxes), social insurance, payroll tax, payment on account or other tax-related obligations with respect to that individual,</w:t>
      </w:r>
    </w:p>
    <w:p>
      <w:pPr>
        <w:sectPr>
          <w:pgSz w:w="11900" w:h="16838" w:orient="portrait"/>
          <w:cols w:equalWidth="0" w:num="1">
            <w:col w:w="11420"/>
          </w:cols>
          <w:pgMar w:left="240" w:top="121" w:right="239" w:bottom="1440" w:gutter="0" w:footer="0" w:header="0"/>
        </w:sectPr>
      </w:pPr>
    </w:p>
    <w:bookmarkStart w:id="41" w:name="page42"/>
    <w:bookmarkEnd w:id="41"/>
    <w:p>
      <w:pPr>
        <w:ind w:left="660" w:right="340"/>
        <w:spacing w:after="0" w:line="263" w:lineRule="auto"/>
        <w:rPr>
          <w:sz w:val="20"/>
          <w:szCs w:val="20"/>
          <w:color w:val="auto"/>
        </w:rPr>
      </w:pPr>
      <w:r>
        <w:rPr>
          <w:rFonts w:ascii="Arial" w:cs="Arial" w:eastAsia="Arial" w:hAnsi="Arial"/>
          <w:sz w:val="22"/>
          <w:szCs w:val="22"/>
          <w:color w:val="auto"/>
        </w:rPr>
        <w:t>then that individual shall not be an Eligible Employee for that period, even in the event that the individual is determined, retroactively, to have been an Employee during all or any portion of that period.</w:t>
      </w:r>
    </w:p>
    <w:p>
      <w:pPr>
        <w:spacing w:after="0" w:line="215" w:lineRule="exact"/>
        <w:rPr>
          <w:sz w:val="20"/>
          <w:szCs w:val="20"/>
          <w:color w:val="auto"/>
        </w:rPr>
      </w:pPr>
    </w:p>
    <w:p>
      <w:pPr>
        <w:ind w:left="340" w:right="80" w:hanging="332"/>
        <w:spacing w:after="0" w:line="251" w:lineRule="auto"/>
        <w:tabs>
          <w:tab w:leader="none" w:pos="3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Section 2.31 shall be revised by deleting the words “Non-Employee Directors and Consultants” and replacing them with “Non-Employee Directors”.</w:t>
      </w:r>
    </w:p>
    <w:p>
      <w:pPr>
        <w:spacing w:after="0" w:line="2" w:lineRule="exact"/>
        <w:rPr>
          <w:rFonts w:ascii="Arial" w:cs="Arial" w:eastAsia="Arial" w:hAnsi="Arial"/>
          <w:sz w:val="22"/>
          <w:szCs w:val="22"/>
          <w:color w:val="auto"/>
        </w:rPr>
      </w:pPr>
    </w:p>
    <w:p>
      <w:pPr>
        <w:ind w:left="340" w:hanging="332"/>
        <w:spacing w:after="0"/>
        <w:tabs>
          <w:tab w:leader="none" w:pos="340" w:val="left"/>
        </w:tabs>
        <w:numPr>
          <w:ilvl w:val="0"/>
          <w:numId w:val="14"/>
        </w:numPr>
        <w:rPr>
          <w:rFonts w:ascii="Arial" w:cs="Arial" w:eastAsia="Arial" w:hAnsi="Arial"/>
          <w:sz w:val="21"/>
          <w:szCs w:val="21"/>
          <w:color w:val="auto"/>
        </w:rPr>
      </w:pPr>
      <w:r>
        <w:rPr>
          <w:rFonts w:ascii="Arial" w:cs="Arial" w:eastAsia="Arial" w:hAnsi="Arial"/>
          <w:sz w:val="21"/>
          <w:szCs w:val="21"/>
          <w:color w:val="auto"/>
        </w:rPr>
        <w:t>Sub-section (a) of Section 2.52 (“</w:t>
      </w:r>
      <w:r>
        <w:rPr>
          <w:rFonts w:ascii="Arial" w:cs="Arial" w:eastAsia="Arial" w:hAnsi="Arial"/>
          <w:sz w:val="21"/>
          <w:szCs w:val="21"/>
          <w:u w:val="single" w:color="auto"/>
          <w:color w:val="auto"/>
        </w:rPr>
        <w:t>Termination of Service</w:t>
      </w:r>
      <w:r>
        <w:rPr>
          <w:rFonts w:ascii="Arial" w:cs="Arial" w:eastAsia="Arial" w:hAnsi="Arial"/>
          <w:sz w:val="21"/>
          <w:szCs w:val="21"/>
          <w:color w:val="auto"/>
        </w:rPr>
        <w:t>”) shall deleted in its entirety and replaced with “(a) Reserved”</w:t>
      </w:r>
    </w:p>
    <w:p>
      <w:pPr>
        <w:spacing w:after="0" w:line="15" w:lineRule="exact"/>
        <w:rPr>
          <w:rFonts w:ascii="Arial" w:cs="Arial" w:eastAsia="Arial" w:hAnsi="Arial"/>
          <w:sz w:val="21"/>
          <w:szCs w:val="21"/>
          <w:color w:val="auto"/>
        </w:rPr>
      </w:pPr>
    </w:p>
    <w:p>
      <w:pPr>
        <w:ind w:left="340" w:right="680" w:hanging="332"/>
        <w:spacing w:after="0" w:line="243" w:lineRule="auto"/>
        <w:tabs>
          <w:tab w:leader="none" w:pos="3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Section 4.5 (</w:t>
      </w:r>
      <w:r>
        <w:rPr>
          <w:rFonts w:ascii="Arial" w:cs="Arial" w:eastAsia="Arial" w:hAnsi="Arial"/>
          <w:sz w:val="22"/>
          <w:szCs w:val="22"/>
          <w:u w:val="single" w:color="auto"/>
          <w:color w:val="auto"/>
        </w:rPr>
        <w:t>At-Will Employment</w:t>
      </w:r>
      <w:r>
        <w:rPr>
          <w:rFonts w:ascii="Arial" w:cs="Arial" w:eastAsia="Arial" w:hAnsi="Arial"/>
          <w:sz w:val="22"/>
          <w:szCs w:val="22"/>
          <w:color w:val="auto"/>
        </w:rPr>
        <w:t>) shall revised by deleting the words “Director or Consultant” and replacing them with “Director”.</w:t>
      </w:r>
    </w:p>
    <w:p>
      <w:pPr>
        <w:ind w:left="340" w:right="280" w:hanging="332"/>
        <w:spacing w:after="0" w:line="243" w:lineRule="auto"/>
        <w:tabs>
          <w:tab w:leader="none" w:pos="3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Section 4.6 (</w:t>
      </w:r>
      <w:r>
        <w:rPr>
          <w:rFonts w:ascii="Arial" w:cs="Arial" w:eastAsia="Arial" w:hAnsi="Arial"/>
          <w:sz w:val="22"/>
          <w:szCs w:val="22"/>
          <w:u w:val="single" w:color="auto"/>
          <w:color w:val="auto"/>
        </w:rPr>
        <w:t>Foreign Holders</w:t>
      </w:r>
      <w:r>
        <w:rPr>
          <w:rFonts w:ascii="Arial" w:cs="Arial" w:eastAsia="Arial" w:hAnsi="Arial"/>
          <w:sz w:val="22"/>
          <w:szCs w:val="22"/>
          <w:color w:val="auto"/>
        </w:rPr>
        <w:t>) shall revised by deleting the words “Employees, Non-Employee Directors or Consultants” and replacing them with “Employees or Non-Employee Directors”.</w:t>
      </w:r>
    </w:p>
    <w:p>
      <w:pPr>
        <w:ind w:left="340" w:right="40" w:hanging="332"/>
        <w:spacing w:after="0" w:line="281" w:lineRule="auto"/>
        <w:tabs>
          <w:tab w:leader="none" w:pos="3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Section 9.8 (</w:t>
      </w:r>
      <w:r>
        <w:rPr>
          <w:rFonts w:ascii="Arial" w:cs="Arial" w:eastAsia="Arial" w:hAnsi="Arial"/>
          <w:sz w:val="19"/>
          <w:szCs w:val="19"/>
          <w:u w:val="single" w:color="auto"/>
          <w:color w:val="auto"/>
        </w:rPr>
        <w:t>Exercise upon Termination of Service</w:t>
      </w:r>
      <w:r>
        <w:rPr>
          <w:rFonts w:ascii="Arial" w:cs="Arial" w:eastAsia="Arial" w:hAnsi="Arial"/>
          <w:sz w:val="19"/>
          <w:szCs w:val="19"/>
          <w:color w:val="auto"/>
        </w:rPr>
        <w:t>) shall revised by deleting the words “Employee, Director or Consultant” and replacing them with “Employee, Director or Consultant” and replacing them with “Employee or Director”.</w:t>
      </w:r>
    </w:p>
    <w:p>
      <w:pPr>
        <w:spacing w:after="0" w:line="1" w:lineRule="exact"/>
        <w:rPr>
          <w:rFonts w:ascii="Arial" w:cs="Arial" w:eastAsia="Arial" w:hAnsi="Arial"/>
          <w:sz w:val="19"/>
          <w:szCs w:val="19"/>
          <w:color w:val="auto"/>
        </w:rPr>
      </w:pPr>
    </w:p>
    <w:p>
      <w:pPr>
        <w:ind w:left="340" w:right="440" w:hanging="332"/>
        <w:spacing w:after="0" w:line="246" w:lineRule="auto"/>
        <w:tabs>
          <w:tab w:leader="none" w:pos="3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Section 13.6 (</w:t>
      </w:r>
      <w:r>
        <w:rPr>
          <w:rFonts w:ascii="Arial" w:cs="Arial" w:eastAsia="Arial" w:hAnsi="Arial"/>
          <w:sz w:val="22"/>
          <w:szCs w:val="22"/>
          <w:u w:val="single" w:color="auto"/>
          <w:color w:val="auto"/>
        </w:rPr>
        <w:t>Effect of Plan upon Other Compensation Plans</w:t>
      </w:r>
      <w:r>
        <w:rPr>
          <w:rFonts w:ascii="Arial" w:cs="Arial" w:eastAsia="Arial" w:hAnsi="Arial"/>
          <w:sz w:val="22"/>
          <w:szCs w:val="22"/>
          <w:color w:val="auto"/>
        </w:rPr>
        <w:t>) shall revised by deleting the words “Employees, Directors or Consultants” and replacing them with “Employees or Directors”.</w:t>
      </w:r>
    </w:p>
    <w:p>
      <w:pPr>
        <w:spacing w:after="0" w:line="200" w:lineRule="exact"/>
        <w:rPr>
          <w:sz w:val="20"/>
          <w:szCs w:val="20"/>
          <w:color w:val="auto"/>
        </w:rPr>
      </w:pPr>
    </w:p>
    <w:p>
      <w:pPr>
        <w:spacing w:after="0" w:line="290"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I hereby certify that the foregoing First Amendment to the Amgen Inc. Amended and Restated 2009 Equity Incentive Plan was duly adopted by the Compensation and Management Development Committee of the Board of Directors of Amgen Inc. on March 4, 2015.</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Executed this 10th day of March, 2015.</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tabs>
          <w:tab w:leader="none" w:pos="43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J. Scott</w:t>
      </w:r>
    </w:p>
    <w:p>
      <w:pPr>
        <w:spacing w:after="0" w:line="22" w:lineRule="exact"/>
        <w:rPr>
          <w:sz w:val="20"/>
          <w:szCs w:val="20"/>
          <w:color w:val="auto"/>
        </w:rPr>
      </w:pPr>
    </w:p>
    <w:p>
      <w:pPr>
        <w:ind w:left="4540"/>
        <w:spacing w:after="0"/>
        <w:tabs>
          <w:tab w:leader="none" w:pos="53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J. Scott</w:t>
      </w:r>
    </w:p>
    <w:p>
      <w:pPr>
        <w:spacing w:after="0" w:line="4" w:lineRule="exact"/>
        <w:rPr>
          <w:sz w:val="20"/>
          <w:szCs w:val="20"/>
          <w:color w:val="auto"/>
        </w:rPr>
      </w:pPr>
    </w:p>
    <w:p>
      <w:pPr>
        <w:ind w:left="454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General</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Counsel and Secretary</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10.4</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Award Notice</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The information set forth in this Award Notice will be contained on the related pages on Merrill Lynch Benefits Website (or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 xml:space="preserve">website of any successor company to Merrill Lynch Bank &amp; Trust Co., FSB). This Award Notice shall be replaced by the equivalent pages on such website. References to Award Notice in this Agreement shall then refer to the equivalent pages on such website </w:t>
      </w:r>
      <w:r>
        <w:rPr>
          <w:rFonts w:ascii="Arial" w:cs="Arial" w:eastAsia="Arial" w:hAnsi="Arial"/>
          <w:sz w:val="22"/>
          <w:szCs w:val="22"/>
          <w:b w:val="1"/>
          <w:bCs w:val="1"/>
          <w:color w:val="auto"/>
        </w:rPr>
        <w: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notice of Award (the “</w:t>
      </w:r>
      <w:r>
        <w:rPr>
          <w:rFonts w:ascii="Arial" w:cs="Arial" w:eastAsia="Arial" w:hAnsi="Arial"/>
          <w:sz w:val="22"/>
          <w:szCs w:val="22"/>
          <w:u w:val="single" w:color="auto"/>
          <w:color w:val="auto"/>
        </w:rPr>
        <w:t>Award Notice</w:t>
      </w:r>
      <w:r>
        <w:rPr>
          <w:rFonts w:ascii="Arial" w:cs="Arial" w:eastAsia="Arial" w:hAnsi="Arial"/>
          <w:sz w:val="22"/>
          <w:szCs w:val="22"/>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120" w:type="dxa"/>
            <w:vAlign w:val="bottom"/>
          </w:tcPr>
          <w:p>
            <w:pPr>
              <w:spacing w:after="0"/>
              <w:rPr>
                <w:sz w:val="20"/>
                <w:szCs w:val="20"/>
                <w:color w:val="auto"/>
              </w:rPr>
            </w:pPr>
            <w:r>
              <w:rPr>
                <w:rFonts w:ascii="Arial" w:cs="Arial" w:eastAsia="Arial" w:hAnsi="Arial"/>
                <w:sz w:val="22"/>
                <w:szCs w:val="22"/>
                <w:color w:val="auto"/>
              </w:rPr>
              <w:t>Employee:</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22"/>
                <w:szCs w:val="22"/>
                <w:color w:val="auto"/>
              </w:rPr>
              <w:t>Employee ID:</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22"/>
                <w:szCs w:val="22"/>
                <w:color w:val="auto"/>
              </w:rPr>
              <w:t>Address:</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22"/>
                <w:szCs w:val="22"/>
                <w:color w:val="auto"/>
              </w:rPr>
              <w:t>Award Type:</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22"/>
                <w:szCs w:val="22"/>
                <w:color w:val="auto"/>
              </w:rPr>
              <w:t>Grant ID:</w:t>
            </w:r>
          </w:p>
        </w:tc>
        <w:tc>
          <w:tcPr>
            <w:tcW w:w="9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22"/>
                <w:szCs w:val="22"/>
                <w:color w:val="auto"/>
              </w:rPr>
              <w:t>Plan:</w:t>
            </w:r>
          </w:p>
        </w:tc>
        <w:tc>
          <w:tcPr>
            <w:tcW w:w="9300" w:type="dxa"/>
            <w:vAlign w:val="bottom"/>
          </w:tcPr>
          <w:p>
            <w:pPr>
              <w:ind w:left="480"/>
              <w:spacing w:after="0"/>
              <w:rPr>
                <w:sz w:val="20"/>
                <w:szCs w:val="20"/>
                <w:color w:val="auto"/>
              </w:rPr>
            </w:pPr>
            <w:r>
              <w:rPr>
                <w:rFonts w:ascii="Arial" w:cs="Arial" w:eastAsia="Arial" w:hAnsi="Arial"/>
                <w:sz w:val="22"/>
                <w:szCs w:val="22"/>
                <w:color w:val="auto"/>
                <w:w w:val="92"/>
              </w:rPr>
              <w:t>Amgen Inc. Amended and Restated 2009 Equity Incentive Plan, as amended and/or restated from</w:t>
            </w:r>
          </w:p>
        </w:tc>
        <w:tc>
          <w:tcPr>
            <w:tcW w:w="0" w:type="dxa"/>
            <w:vAlign w:val="bottom"/>
          </w:tcPr>
          <w:p>
            <w:pPr>
              <w:spacing w:after="0"/>
              <w:rPr>
                <w:sz w:val="1"/>
                <w:szCs w:val="1"/>
                <w:color w:val="auto"/>
              </w:rPr>
            </w:pPr>
          </w:p>
        </w:tc>
      </w:tr>
      <w:tr>
        <w:trPr>
          <w:trHeight w:val="275"/>
        </w:trPr>
        <w:tc>
          <w:tcPr>
            <w:tcW w:w="2120" w:type="dxa"/>
            <w:vAlign w:val="bottom"/>
            <w:vMerge w:val="restart"/>
          </w:tcPr>
          <w:p>
            <w:pPr>
              <w:spacing w:after="0"/>
              <w:rPr>
                <w:sz w:val="20"/>
                <w:szCs w:val="20"/>
                <w:color w:val="auto"/>
              </w:rPr>
            </w:pPr>
            <w:r>
              <w:rPr>
                <w:rFonts w:ascii="Arial" w:cs="Arial" w:eastAsia="Arial" w:hAnsi="Arial"/>
                <w:sz w:val="22"/>
                <w:szCs w:val="22"/>
                <w:color w:val="auto"/>
              </w:rPr>
              <w:t>Grant Date:</w:t>
            </w:r>
          </w:p>
        </w:tc>
        <w:tc>
          <w:tcPr>
            <w:tcW w:w="9300" w:type="dxa"/>
            <w:vAlign w:val="bottom"/>
          </w:tcPr>
          <w:p>
            <w:pPr>
              <w:ind w:left="480"/>
              <w:spacing w:after="0"/>
              <w:rPr>
                <w:sz w:val="20"/>
                <w:szCs w:val="20"/>
                <w:color w:val="auto"/>
              </w:rPr>
            </w:pPr>
            <w:r>
              <w:rPr>
                <w:rFonts w:ascii="Arial" w:cs="Arial" w:eastAsia="Arial" w:hAnsi="Arial"/>
                <w:sz w:val="22"/>
                <w:szCs w:val="22"/>
                <w:color w:val="auto"/>
              </w:rPr>
              <w:t>time to time</w:t>
            </w:r>
          </w:p>
        </w:tc>
        <w:tc>
          <w:tcPr>
            <w:tcW w:w="0" w:type="dxa"/>
            <w:vAlign w:val="bottom"/>
          </w:tcPr>
          <w:p>
            <w:pPr>
              <w:spacing w:after="0"/>
              <w:rPr>
                <w:sz w:val="1"/>
                <w:szCs w:val="1"/>
                <w:color w:val="auto"/>
              </w:rPr>
            </w:pPr>
          </w:p>
        </w:tc>
      </w:tr>
      <w:tr>
        <w:trPr>
          <w:trHeight w:val="252"/>
        </w:trPr>
        <w:tc>
          <w:tcPr>
            <w:tcW w:w="2120" w:type="dxa"/>
            <w:vAlign w:val="bottom"/>
            <w:vMerge w:val="continue"/>
          </w:tcPr>
          <w:p>
            <w:pPr>
              <w:spacing w:after="0"/>
              <w:rPr>
                <w:sz w:val="21"/>
                <w:szCs w:val="21"/>
                <w:color w:val="auto"/>
              </w:rPr>
            </w:pPr>
          </w:p>
        </w:tc>
        <w:tc>
          <w:tcPr>
            <w:tcW w:w="9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22"/>
                <w:szCs w:val="22"/>
                <w:color w:val="auto"/>
              </w:rPr>
              <w:t>Grant Price:</w:t>
            </w:r>
          </w:p>
        </w:tc>
        <w:tc>
          <w:tcPr>
            <w:tcW w:w="9300" w:type="dxa"/>
            <w:vAlign w:val="bottom"/>
          </w:tcPr>
          <w:p>
            <w:pPr>
              <w:ind w:left="480"/>
              <w:spacing w:after="0"/>
              <w:rPr>
                <w:sz w:val="20"/>
                <w:szCs w:val="20"/>
                <w:color w:val="auto"/>
              </w:rPr>
            </w:pPr>
            <w:r>
              <w:rPr>
                <w:rFonts w:ascii="Arial" w:cs="Arial" w:eastAsia="Arial" w:hAnsi="Arial"/>
                <w:sz w:val="22"/>
                <w:szCs w:val="22"/>
                <w:color w:val="auto"/>
              </w:rPr>
              <w:t>$________</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22"/>
                <w:szCs w:val="22"/>
                <w:color w:val="auto"/>
              </w:rPr>
              <w:t>Number of Shares:</w:t>
            </w:r>
          </w:p>
        </w:tc>
        <w:tc>
          <w:tcPr>
            <w:tcW w:w="9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22"/>
                <w:szCs w:val="22"/>
                <w:color w:val="auto"/>
              </w:rPr>
              <w:t>Number of Units</w:t>
            </w:r>
          </w:p>
        </w:tc>
        <w:tc>
          <w:tcPr>
            <w:tcW w:w="9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22"/>
                <w:szCs w:val="22"/>
                <w:color w:val="auto"/>
              </w:rPr>
              <w:t>Vesting Date:</w:t>
            </w:r>
          </w:p>
        </w:tc>
        <w:tc>
          <w:tcPr>
            <w:tcW w:w="9300" w:type="dxa"/>
            <w:vAlign w:val="bottom"/>
          </w:tcPr>
          <w:p>
            <w:pPr>
              <w:ind w:left="480"/>
              <w:spacing w:after="0"/>
              <w:rPr>
                <w:sz w:val="20"/>
                <w:szCs w:val="20"/>
                <w:color w:val="auto"/>
              </w:rPr>
            </w:pPr>
            <w:r>
              <w:rPr>
                <w:rFonts w:ascii="Arial" w:cs="Arial" w:eastAsia="Arial" w:hAnsi="Arial"/>
                <w:sz w:val="22"/>
                <w:szCs w:val="22"/>
                <w:color w:val="auto"/>
              </w:rPr>
              <w:t>Means the vesting date indicated in the Vesting Schedule</w:t>
            </w: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22"/>
                <w:szCs w:val="22"/>
                <w:color w:val="auto"/>
              </w:rPr>
              <w:t>Vesting Schedule:</w:t>
            </w:r>
          </w:p>
        </w:tc>
        <w:tc>
          <w:tcPr>
            <w:tcW w:w="9300" w:type="dxa"/>
            <w:vAlign w:val="bottom"/>
          </w:tcPr>
          <w:p>
            <w:pPr>
              <w:ind w:left="480"/>
              <w:spacing w:after="0"/>
              <w:rPr>
                <w:sz w:val="20"/>
                <w:szCs w:val="20"/>
                <w:color w:val="auto"/>
              </w:rPr>
            </w:pPr>
            <w:r>
              <w:rPr>
                <w:rFonts w:ascii="Arial" w:cs="Arial" w:eastAsia="Arial" w:hAnsi="Arial"/>
                <w:sz w:val="22"/>
                <w:szCs w:val="22"/>
                <w:color w:val="auto"/>
              </w:rPr>
              <w:t>Means the schedule of vesting set forth under Vesting Details</w:t>
            </w:r>
          </w:p>
        </w:tc>
        <w:tc>
          <w:tcPr>
            <w:tcW w:w="0" w:type="dxa"/>
            <w:vAlign w:val="bottom"/>
          </w:tcPr>
          <w:p>
            <w:pPr>
              <w:spacing w:after="0"/>
              <w:rPr>
                <w:sz w:val="1"/>
                <w:szCs w:val="1"/>
                <w:color w:val="auto"/>
              </w:rPr>
            </w:pPr>
          </w:p>
        </w:tc>
      </w:tr>
      <w:tr>
        <w:trPr>
          <w:trHeight w:val="275"/>
        </w:trPr>
        <w:tc>
          <w:tcPr>
            <w:tcW w:w="2120" w:type="dxa"/>
            <w:vAlign w:val="bottom"/>
          </w:tcPr>
          <w:p>
            <w:pPr>
              <w:spacing w:after="0"/>
              <w:rPr>
                <w:sz w:val="20"/>
                <w:szCs w:val="20"/>
                <w:color w:val="auto"/>
              </w:rPr>
            </w:pPr>
            <w:r>
              <w:rPr>
                <w:rFonts w:ascii="Arial" w:cs="Arial" w:eastAsia="Arial" w:hAnsi="Arial"/>
                <w:sz w:val="22"/>
                <w:szCs w:val="22"/>
                <w:color w:val="auto"/>
              </w:rPr>
              <w:t>Vesting Details:</w:t>
            </w:r>
          </w:p>
        </w:tc>
        <w:tc>
          <w:tcPr>
            <w:tcW w:w="9300" w:type="dxa"/>
            <w:vAlign w:val="bottom"/>
          </w:tcPr>
          <w:p>
            <w:pPr>
              <w:ind w:left="480"/>
              <w:spacing w:after="0"/>
              <w:rPr>
                <w:sz w:val="20"/>
                <w:szCs w:val="20"/>
                <w:color w:val="auto"/>
              </w:rPr>
            </w:pPr>
            <w:r>
              <w:rPr>
                <w:rFonts w:ascii="Arial" w:cs="Arial" w:eastAsia="Arial" w:hAnsi="Arial"/>
                <w:sz w:val="22"/>
                <w:szCs w:val="22"/>
                <w:color w:val="auto"/>
                <w:w w:val="90"/>
              </w:rPr>
              <w:t>Means the presentation (tabular or otherwise) of the Vesting Date and the quantity of Shares vesting</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IMPORTANT NOTICE REGARDING ACCEPTANCE OF THE AWARD</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i w:val="1"/>
          <w:iCs w:val="1"/>
          <w:color w:val="auto"/>
        </w:rPr>
        <w:t>RESIDENTS OF THE U.S. AND PUERTO RICO</w:t>
      </w:r>
      <w:r>
        <w:rPr>
          <w:rFonts w:ascii="Arial" w:cs="Arial" w:eastAsia="Arial" w:hAnsi="Arial"/>
          <w:sz w:val="21"/>
          <w:szCs w:val="21"/>
          <w:color w:val="auto"/>
        </w:rPr>
        <w:t>: Please read this Award Notice, the Plan and the Agreement (collectively,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Grant Documents</w:t>
      </w:r>
      <w:r>
        <w:rPr>
          <w:rFonts w:ascii="Arial" w:cs="Arial" w:eastAsia="Arial" w:hAnsi="Arial"/>
          <w:sz w:val="21"/>
          <w:szCs w:val="21"/>
          <w:color w:val="auto"/>
        </w:rPr>
        <w:t xml:space="preserve">”) carefully. If you, as a resident of the U.S. or Puerto Rico,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wish to receive this Award and/or you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immediately following the day on which this Award Notice is made available to you. Your failure to notify the Company of your rejection of the Award within this specified period will constitute your acceptance of the Award and your agreement with all terms and conditions of the Award, as set forth in the Grant Documents.</w:t>
      </w:r>
    </w:p>
    <w:p>
      <w:pPr>
        <w:spacing w:after="0" w:line="235" w:lineRule="auto"/>
        <w:rPr>
          <w:sz w:val="20"/>
          <w:szCs w:val="20"/>
          <w:color w:val="auto"/>
        </w:rPr>
      </w:pPr>
      <w:r>
        <w:rPr>
          <w:rFonts w:ascii="Arial" w:cs="Arial" w:eastAsia="Arial" w:hAnsi="Arial"/>
          <w:sz w:val="22"/>
          <w:szCs w:val="22"/>
          <w:color w:val="auto"/>
        </w:rPr>
        <w:t>_________________________</w:t>
      </w: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22"/>
          <w:szCs w:val="22"/>
          <w:i w:val="1"/>
          <w:iCs w:val="1"/>
          <w:color w:val="auto"/>
        </w:rPr>
        <w:t>This provision is only for use on the form of grant used for the U.S. and Puerto Rico.</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THE SPECIFIC TERMS OF YOUR GRANT OF RESTRICTED STOCK UNITS ARE FOUND IN THE PAGES RELATING TO THE GRANT OF RESTRICTED STOCK UNITS FOUND ON MERRILL LYNCH BENEFITS WEBSITE (OR THE WEBSITE OF ANY SUCCESSOR COMPANY TO MERRILL LYNCH BANK &amp; TRUST CO., FSB) (THE “</w:t>
      </w: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WHICH ACCOMPANIES THIS DOCUMENT. THE TERMS OF THE AWARD NOTICE ARE INCORPORATED INTO THIS RESTRICTED STOCK UNIT AGREEMENT.</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On the Grant Date specified in the Award Notice, Amgen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to you, the grantee named in the Award Notice, under the Amgen Inc. Amended and Restated 2009 Equity Incentive Plan, as amended and/or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the Number of Units with respect to the number of shares of the $0.0001 par value common stock of the Company (the “</w:t>
      </w:r>
      <w:r>
        <w:rPr>
          <w:rFonts w:ascii="Arial" w:cs="Arial" w:eastAsia="Arial" w:hAnsi="Arial"/>
          <w:sz w:val="19"/>
          <w:szCs w:val="19"/>
          <w:u w:val="single" w:color="auto"/>
          <w:color w:val="auto"/>
        </w:rPr>
        <w:t>Shares</w:t>
      </w:r>
      <w:r>
        <w:rPr>
          <w:rFonts w:ascii="Arial" w:cs="Arial" w:eastAsia="Arial" w:hAnsi="Arial"/>
          <w:sz w:val="19"/>
          <w:szCs w:val="19"/>
          <w:color w:val="auto"/>
        </w:rPr>
        <w:t xml:space="preserve">”) specified in the Award Notice, on the terms and conditions set forth in this Restricted Stock Unit Agreement, any special terms and conditions for your country set forth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the Award Notice (together, the “</w:t>
      </w:r>
      <w:r>
        <w:rPr>
          <w:rFonts w:ascii="Arial" w:cs="Arial" w:eastAsia="Arial" w:hAnsi="Arial"/>
          <w:sz w:val="19"/>
          <w:szCs w:val="19"/>
          <w:u w:val="single" w:color="auto"/>
          <w:color w:val="auto"/>
        </w:rPr>
        <w:t>Agreement</w:t>
      </w:r>
      <w:r>
        <w:rPr>
          <w:rFonts w:ascii="Arial" w:cs="Arial" w:eastAsia="Arial" w:hAnsi="Arial"/>
          <w:sz w:val="19"/>
          <w:szCs w:val="19"/>
          <w:color w:val="auto"/>
        </w:rPr>
        <w:t>”). The Units shall constitute Restricted Stock Units under Section 9.5 of the Plan, which is incorporated herein by reference. Capitalized terms not defined herein shall have the meanings assigned to such terms in the Plan.</w:t>
      </w:r>
    </w:p>
    <w:p>
      <w:pPr>
        <w:spacing w:after="0" w:line="192" w:lineRule="exact"/>
        <w:rPr>
          <w:sz w:val="20"/>
          <w:szCs w:val="20"/>
          <w:color w:val="auto"/>
        </w:rPr>
      </w:pPr>
    </w:p>
    <w:p>
      <w:pPr>
        <w:ind w:left="1440" w:hanging="784"/>
        <w:spacing w:after="0"/>
        <w:tabs>
          <w:tab w:leader="none" w:pos="144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Vesting Schedule and Termination of Units</w:t>
      </w:r>
      <w:r>
        <w:rPr>
          <w:rFonts w:ascii="Arial" w:cs="Arial" w:eastAsia="Arial" w:hAnsi="Arial"/>
          <w:sz w:val="22"/>
          <w:szCs w:val="22"/>
          <w:color w:val="auto"/>
        </w:rPr>
        <w:t>.</w:t>
      </w:r>
    </w:p>
    <w:p>
      <w:pPr>
        <w:spacing w:after="0" w:line="260" w:lineRule="exact"/>
        <w:rPr>
          <w:sz w:val="20"/>
          <w:szCs w:val="20"/>
          <w:color w:val="auto"/>
        </w:rPr>
      </w:pPr>
    </w:p>
    <w:p>
      <w:pPr>
        <w:jc w:val="both"/>
        <w:ind w:left="980" w:hanging="324"/>
        <w:spacing w:after="0" w:line="257" w:lineRule="auto"/>
        <w:tabs>
          <w:tab w:leader="none" w:pos="98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General. </w:t>
      </w:r>
      <w:r>
        <w:rPr>
          <w:rFonts w:ascii="Arial" w:cs="Arial" w:eastAsia="Arial" w:hAnsi="Arial"/>
          <w:sz w:val="20"/>
          <w:szCs w:val="20"/>
          <w:color w:val="auto"/>
        </w:rPr>
        <w:t>Subject to the terms and conditions of this Agreement, on each Vesting Date, the Number of Units indicated on</w:t>
      </w:r>
      <w:r>
        <w:rPr>
          <w:rFonts w:ascii="Arial" w:cs="Arial" w:eastAsia="Arial" w:hAnsi="Arial"/>
          <w:sz w:val="20"/>
          <w:szCs w:val="20"/>
          <w:i w:val="1"/>
          <w:iCs w:val="1"/>
          <w:color w:val="auto"/>
        </w:rPr>
        <w:t xml:space="preserve"> </w:t>
      </w:r>
      <w:r>
        <w:rPr>
          <w:rFonts w:ascii="Arial" w:cs="Arial" w:eastAsia="Arial" w:hAnsi="Arial"/>
          <w:sz w:val="20"/>
          <w:szCs w:val="20"/>
          <w:color w:val="auto"/>
        </w:rPr>
        <w:t>the Vesting Schedule shall vest, provided that you have remained continuously and actively employed with the Company or an Affiliate (as defined in the Plan) through each applicable Vesting Date, unless (i) [your employment has terminated due to your Voluntary Termination (as defined in paragraph (d) of this Section I below) ]*</w:t>
      </w:r>
      <w:r>
        <w:rPr>
          <w:rFonts w:ascii="Arial" w:cs="Arial" w:eastAsia="Arial" w:hAnsi="Arial"/>
          <w:sz w:val="26"/>
          <w:szCs w:val="26"/>
          <w:color w:val="auto"/>
          <w:vertAlign w:val="superscript"/>
        </w:rPr>
        <w:t>2</w:t>
      </w:r>
      <w:r>
        <w:rPr>
          <w:rFonts w:ascii="Arial" w:cs="Arial" w:eastAsia="Arial" w:hAnsi="Arial"/>
          <w:sz w:val="20"/>
          <w:szCs w:val="20"/>
          <w:color w:val="auto"/>
        </w:rPr>
        <w:t>, [(ii)] you experience a Qualified Termination (as defined below), or (iii)[(ii)] as otherwise determined by the Company in the exercise of its discretion as provided in paragraph (f) of this Section I. The Units represent an unfunded, unsecured promise by the Company to deliver Shares. Only whole Shares shall be issued upon vesting of the Units, and the Company shall be under no obligation to issue any fractional Shares to you. If your employment with the Company or an Affiliate is terminated for any reason or for no reason, including if your active employment is terminated by the Company or an Affiliate without Cause (as defined below), or in the event of any other termination of your active employment caused directly or indirectly by the Company or an Affiliate, except as otherwise provided in paragraphs (b), (c), [(d), ]*</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(e) or (f) of this Section I below, your unvested Units shall automatically expire and terminate on the date of termination of your active employment. Notwithstanding anything herein to the contrary, the Vesting Schedule</w:t>
      </w:r>
    </w:p>
    <w:p>
      <w:pPr>
        <w:spacing w:after="0" w:line="4" w:lineRule="exact"/>
        <w:rPr>
          <w:sz w:val="20"/>
          <w:szCs w:val="20"/>
          <w:color w:val="auto"/>
        </w:rPr>
      </w:pPr>
    </w:p>
    <w:p>
      <w:pPr>
        <w:jc w:val="both"/>
        <w:ind w:left="980"/>
        <w:spacing w:after="0" w:line="255" w:lineRule="auto"/>
        <w:rPr>
          <w:sz w:val="20"/>
          <w:szCs w:val="20"/>
          <w:color w:val="auto"/>
        </w:rPr>
      </w:pPr>
      <w:r>
        <w:rPr>
          <w:rFonts w:ascii="Arial" w:cs="Arial" w:eastAsia="Arial" w:hAnsi="Arial"/>
          <w:sz w:val="21"/>
          <w:szCs w:val="21"/>
          <w:color w:val="auto"/>
        </w:rPr>
        <w:t>may be accelerated (by notice in writing) by the Company in its sole discretion at any time during the term of the Units. In addition, if not prohibited by local law, vesting may be suspended by the Company in its sole discretion during a leave of absence as provided from time to time according to Company policies and practices.</w:t>
      </w:r>
    </w:p>
    <w:p>
      <w:pPr>
        <w:spacing w:after="0" w:line="227" w:lineRule="auto"/>
        <w:rPr>
          <w:sz w:val="20"/>
          <w:szCs w:val="20"/>
          <w:color w:val="auto"/>
        </w:rPr>
      </w:pPr>
      <w:r>
        <w:rPr>
          <w:rFonts w:ascii="Arial" w:cs="Arial" w:eastAsia="Arial" w:hAnsi="Arial"/>
          <w:sz w:val="22"/>
          <w:szCs w:val="22"/>
          <w:color w:val="auto"/>
        </w:rPr>
        <w:t>_____________________________</w:t>
      </w:r>
    </w:p>
    <w:p>
      <w:pPr>
        <w:spacing w:after="0" w:line="1" w:lineRule="exact"/>
        <w:rPr>
          <w:sz w:val="20"/>
          <w:szCs w:val="20"/>
          <w:color w:val="auto"/>
        </w:rPr>
      </w:pPr>
    </w:p>
    <w:p>
      <w:pPr>
        <w:jc w:val="both"/>
        <w:ind w:firstLine="8"/>
        <w:spacing w:after="0" w:line="245" w:lineRule="auto"/>
        <w:tabs>
          <w:tab w:leader="none" w:pos="141" w:val="left"/>
        </w:tabs>
        <w:numPr>
          <w:ilvl w:val="0"/>
          <w:numId w:val="17"/>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w:t>
      </w:r>
    </w:p>
    <w:p>
      <w:pPr>
        <w:spacing w:after="0" w:line="1" w:lineRule="exact"/>
        <w:rPr>
          <w:rFonts w:ascii="Arial" w:cs="Arial" w:eastAsia="Arial" w:hAnsi="Arial"/>
          <w:sz w:val="26"/>
          <w:szCs w:val="26"/>
          <w:i w:val="1"/>
          <w:iCs w:val="1"/>
          <w:color w:val="auto"/>
          <w:vertAlign w:val="superscript"/>
        </w:rPr>
      </w:pPr>
    </w:p>
    <w:p>
      <w:pPr>
        <w:spacing w:after="0"/>
        <w:rPr>
          <w:rFonts w:ascii="Arial" w:cs="Arial" w:eastAsia="Arial" w:hAnsi="Arial"/>
          <w:sz w:val="26"/>
          <w:szCs w:val="26"/>
          <w:i w:val="1"/>
          <w:iCs w:val="1"/>
          <w:color w:val="auto"/>
          <w:vertAlign w:val="superscript"/>
        </w:rPr>
      </w:pPr>
      <w:r>
        <w:rPr>
          <w:rFonts w:ascii="Arial" w:cs="Arial" w:eastAsia="Arial" w:hAnsi="Arial"/>
          <w:sz w:val="22"/>
          <w:szCs w:val="22"/>
          <w:i w:val="1"/>
          <w:iCs w:val="1"/>
          <w:color w:val="auto"/>
        </w:rPr>
        <w:t>(*) shall be omitted from the agreements evidencing such grants.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44" w:name="page45"/>
    <w:bookmarkEnd w:id="44"/>
    <w:p>
      <w:pPr>
        <w:jc w:val="both"/>
        <w:ind w:left="980" w:hanging="324"/>
        <w:spacing w:after="0" w:line="290" w:lineRule="auto"/>
        <w:tabs>
          <w:tab w:leader="none" w:pos="980"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 xml:space="preserve">Permanent and Total Disability. </w:t>
      </w:r>
      <w:r>
        <w:rPr>
          <w:rFonts w:ascii="Arial" w:cs="Arial" w:eastAsia="Arial" w:hAnsi="Arial"/>
          <w:sz w:val="19"/>
          <w:szCs w:val="19"/>
          <w:color w:val="auto"/>
        </w:rPr>
        <w:t>Notwithstanding the provisions in paragraph (a) above, if your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Affiliate terminates due to your Permanent and Total Disability (as defined below), then the vesting of Units granted under this Agreement shall be accelerated, subject to your execution of a general release and waiver in a form provided by the Company, to vest as of the day immediately preceding such termination of your employment with respect to all Units granted hereunder, except that if the Units were granted in the calendar year in which such termination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197" w:lineRule="exact"/>
        <w:rPr>
          <w:rFonts w:ascii="Arial" w:cs="Arial" w:eastAsia="Arial" w:hAnsi="Arial"/>
          <w:sz w:val="19"/>
          <w:szCs w:val="19"/>
          <w:color w:val="auto"/>
        </w:rPr>
      </w:pPr>
    </w:p>
    <w:p>
      <w:pPr>
        <w:jc w:val="both"/>
        <w:ind w:left="980" w:hanging="324"/>
        <w:spacing w:after="0" w:line="260" w:lineRule="auto"/>
        <w:tabs>
          <w:tab w:leader="none" w:pos="980" w:val="left"/>
        </w:tabs>
        <w:numPr>
          <w:ilvl w:val="0"/>
          <w:numId w:val="18"/>
        </w:numPr>
        <w:rPr>
          <w:rFonts w:ascii="Arial" w:cs="Arial" w:eastAsia="Arial" w:hAnsi="Arial"/>
          <w:sz w:val="21"/>
          <w:szCs w:val="21"/>
          <w:color w:val="auto"/>
        </w:rPr>
      </w:pPr>
      <w:r>
        <w:rPr>
          <w:rFonts w:ascii="Arial" w:cs="Arial" w:eastAsia="Arial" w:hAnsi="Arial"/>
          <w:sz w:val="21"/>
          <w:szCs w:val="21"/>
          <w:i w:val="1"/>
          <w:iCs w:val="1"/>
          <w:color w:val="auto"/>
        </w:rPr>
        <w:t>Death</w:t>
      </w:r>
      <w:r>
        <w:rPr>
          <w:rFonts w:ascii="Arial" w:cs="Arial" w:eastAsia="Arial" w:hAnsi="Arial"/>
          <w:sz w:val="21"/>
          <w:szCs w:val="21"/>
          <w:color w:val="auto"/>
        </w:rPr>
        <w:t>. Notwithstanding the provisions in paragraph (a) above, if your employment with the Company or an Affiliate</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terminates due to your death, then the vesting of Units granted under this Agreement shall be accelerated to vest as of the day immediately preceding your death with respect to all Units granted hereunder, except that if the Units were granted in the calendar year in which your death occurs the Units shall be accelerated to vest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w:t>
      </w:r>
    </w:p>
    <w:p>
      <w:pPr>
        <w:spacing w:after="0" w:line="221" w:lineRule="exact"/>
        <w:rPr>
          <w:rFonts w:ascii="Arial" w:cs="Arial" w:eastAsia="Arial" w:hAnsi="Arial"/>
          <w:sz w:val="21"/>
          <w:szCs w:val="21"/>
          <w:color w:val="auto"/>
        </w:rPr>
      </w:pPr>
    </w:p>
    <w:p>
      <w:pPr>
        <w:jc w:val="both"/>
        <w:ind w:left="980" w:hanging="324"/>
        <w:spacing w:after="0" w:line="281" w:lineRule="auto"/>
        <w:tabs>
          <w:tab w:leader="none" w:pos="980"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[Retirement</w:t>
      </w:r>
      <w:r>
        <w:rPr>
          <w:rFonts w:ascii="Arial" w:cs="Arial" w:eastAsia="Arial" w:hAnsi="Arial"/>
          <w:sz w:val="19"/>
          <w:szCs w:val="19"/>
          <w:color w:val="auto"/>
        </w:rPr>
        <w:t>. Notwithstanding the provisions in paragraph (a) above, if you terminate your employment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 Affiliate due to your voluntary termination (and such voluntary termination is not the result of Permanent and Total Disability (as defined below)) after you are at least sixty-five (65) years of age, or after you are at least fifty-five (55) years of age and have been an employee of the Company and/or an Affiliate for at least ten (10) years in the aggregate as determined by the Company in its sole discretion according to Company policies and practices as in effect from time to time (“Voluntary Termination”), then the Units will vest pursuant to the Vesting Schedule without regard to the termination of employment prior to the Vesting Date, subject to your execution of a general release and waiver in a form provided by the Company, with respect to all Units granted hereunder; provided, however, that if the Units were granted in the calendar year in which the Voluntary Termination occurs, the Units will vest pursuant to the Vesting Schedule provided in the Award Notice only with respect to a number of Units equal to the number of Units subject to this Agreement multiplied by a fraction, the numerator of which is the number of complete months you remained continuously and actively employed during such calendar year, and the denominator of which is twelve (12); notwithstanding the definition of Voluntary Termination set forth above, if the Company receives an opinion of counsel that there has been a legal judgment and/or legal development in your jurisdiction that would likely result in the favorable treatment upon Voluntary Termination described above being deemed unlawful and/or discriminatory, then the</w:t>
      </w:r>
    </w:p>
    <w:p>
      <w:pPr>
        <w:ind w:left="980"/>
        <w:spacing w:after="0" w:line="213" w:lineRule="auto"/>
        <w:rPr>
          <w:sz w:val="20"/>
          <w:szCs w:val="20"/>
          <w:color w:val="auto"/>
        </w:rPr>
      </w:pPr>
      <w:r>
        <w:rPr>
          <w:rFonts w:ascii="Arial" w:cs="Arial" w:eastAsia="Arial" w:hAnsi="Arial"/>
          <w:sz w:val="22"/>
          <w:szCs w:val="22"/>
          <w:color w:val="auto"/>
        </w:rPr>
        <w:t>Committee will not apply the favorable treatment described above.][Reserved]*</w:t>
      </w:r>
      <w:r>
        <w:rPr>
          <w:rFonts w:ascii="Arial" w:cs="Arial" w:eastAsia="Arial" w:hAnsi="Arial"/>
          <w:sz w:val="28"/>
          <w:szCs w:val="28"/>
          <w:color w:val="auto"/>
          <w:vertAlign w:val="superscript"/>
        </w:rPr>
        <w:t>3</w:t>
      </w:r>
    </w:p>
    <w:p>
      <w:pPr>
        <w:spacing w:after="0" w:line="228" w:lineRule="auto"/>
        <w:rPr>
          <w:sz w:val="20"/>
          <w:szCs w:val="20"/>
          <w:color w:val="auto"/>
        </w:rPr>
      </w:pPr>
      <w:r>
        <w:rPr>
          <w:rFonts w:ascii="Arial" w:cs="Arial" w:eastAsia="Arial" w:hAnsi="Arial"/>
          <w:sz w:val="22"/>
          <w:szCs w:val="22"/>
          <w:color w:val="auto"/>
        </w:rPr>
        <w:t>_____________________________</w:t>
      </w:r>
    </w:p>
    <w:p>
      <w:pPr>
        <w:jc w:val="both"/>
        <w:ind w:firstLine="8"/>
        <w:spacing w:after="0" w:line="245" w:lineRule="auto"/>
        <w:tabs>
          <w:tab w:leader="none" w:pos="141" w:val="left"/>
        </w:tabs>
        <w:numPr>
          <w:ilvl w:val="0"/>
          <w:numId w:val="19"/>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w:t>
      </w:r>
    </w:p>
    <w:p>
      <w:pPr>
        <w:spacing w:after="0" w:line="1" w:lineRule="exact"/>
        <w:rPr>
          <w:rFonts w:ascii="Arial" w:cs="Arial" w:eastAsia="Arial" w:hAnsi="Arial"/>
          <w:sz w:val="26"/>
          <w:szCs w:val="26"/>
          <w:i w:val="1"/>
          <w:iCs w:val="1"/>
          <w:color w:val="auto"/>
          <w:vertAlign w:val="superscript"/>
        </w:rPr>
      </w:pPr>
    </w:p>
    <w:p>
      <w:pPr>
        <w:spacing w:after="0"/>
        <w:rPr>
          <w:rFonts w:ascii="Arial" w:cs="Arial" w:eastAsia="Arial" w:hAnsi="Arial"/>
          <w:sz w:val="26"/>
          <w:szCs w:val="26"/>
          <w:i w:val="1"/>
          <w:iCs w:val="1"/>
          <w:color w:val="auto"/>
          <w:vertAlign w:val="superscript"/>
        </w:rPr>
      </w:pPr>
      <w:r>
        <w:rPr>
          <w:rFonts w:ascii="Arial" w:cs="Arial" w:eastAsia="Arial" w:hAnsi="Arial"/>
          <w:sz w:val="22"/>
          <w:szCs w:val="22"/>
          <w:i w:val="1"/>
          <w:iCs w:val="1"/>
          <w:color w:val="auto"/>
        </w:rPr>
        <w:t>(*) shall be omitted from the agreements evidencing such grants.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45" w:name="page46"/>
    <w:bookmarkEnd w:id="45"/>
    <w:p>
      <w:pPr>
        <w:jc w:val="both"/>
        <w:ind w:left="980" w:hanging="324"/>
        <w:spacing w:after="0" w:line="312" w:lineRule="auto"/>
        <w:tabs>
          <w:tab w:leader="none" w:pos="980"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Qualified Termination after a Change of Control</w:t>
      </w:r>
      <w:r>
        <w:rPr>
          <w:rFonts w:ascii="Arial" w:cs="Arial" w:eastAsia="Arial" w:hAnsi="Arial"/>
          <w:sz w:val="19"/>
          <w:szCs w:val="19"/>
          <w:color w:val="auto"/>
        </w:rPr>
        <w:t>. Notwithstanding the provisions in paragraph (a) above, in the event of</w:t>
      </w:r>
      <w:r>
        <w:rPr>
          <w:rFonts w:ascii="Arial" w:cs="Arial" w:eastAsia="Arial" w:hAnsi="Arial"/>
          <w:sz w:val="19"/>
          <w:szCs w:val="19"/>
          <w:i w:val="1"/>
          <w:iCs w:val="1"/>
          <w:color w:val="auto"/>
        </w:rPr>
        <w:t xml:space="preserve"> </w:t>
      </w:r>
      <w:r>
        <w:rPr>
          <w:rFonts w:ascii="Arial" w:cs="Arial" w:eastAsia="Arial" w:hAnsi="Arial"/>
          <w:sz w:val="19"/>
          <w:szCs w:val="19"/>
          <w:color w:val="auto"/>
        </w:rPr>
        <w:t>a Qualified Termination (as defined below), then, to the extent permitted by applicable law, the vesting of Units granted under this Agreement shall be accelerated to vest as of the day immediately prior to the Qualified Termination.</w:t>
      </w:r>
    </w:p>
    <w:p>
      <w:pPr>
        <w:spacing w:after="0" w:line="174" w:lineRule="exact"/>
        <w:rPr>
          <w:rFonts w:ascii="Arial" w:cs="Arial" w:eastAsia="Arial" w:hAnsi="Arial"/>
          <w:sz w:val="19"/>
          <w:szCs w:val="19"/>
          <w:color w:val="auto"/>
        </w:rPr>
      </w:pPr>
    </w:p>
    <w:p>
      <w:pPr>
        <w:jc w:val="both"/>
        <w:ind w:left="980" w:hanging="324"/>
        <w:spacing w:after="0" w:line="250" w:lineRule="auto"/>
        <w:tabs>
          <w:tab w:leader="none" w:pos="980" w:val="left"/>
        </w:tabs>
        <w:numPr>
          <w:ilvl w:val="0"/>
          <w:numId w:val="20"/>
        </w:numPr>
        <w:rPr>
          <w:rFonts w:ascii="Arial" w:cs="Arial" w:eastAsia="Arial" w:hAnsi="Arial"/>
          <w:sz w:val="22"/>
          <w:szCs w:val="22"/>
          <w:color w:val="auto"/>
        </w:rPr>
      </w:pPr>
      <w:r>
        <w:rPr>
          <w:rFonts w:ascii="Arial" w:cs="Arial" w:eastAsia="Arial" w:hAnsi="Arial"/>
          <w:sz w:val="22"/>
          <w:szCs w:val="22"/>
          <w:i w:val="1"/>
          <w:iCs w:val="1"/>
          <w:color w:val="auto"/>
        </w:rPr>
        <w:t>Continued Vesting</w:t>
      </w:r>
      <w:r>
        <w:rPr>
          <w:rFonts w:ascii="Arial" w:cs="Arial" w:eastAsia="Arial" w:hAnsi="Arial"/>
          <w:sz w:val="22"/>
          <w:szCs w:val="22"/>
          <w:color w:val="auto"/>
        </w:rPr>
        <w:t>. Notwithstanding the provisions in paragraph (a) above, the Company may in its sole discretion at</w:t>
      </w:r>
      <w:r>
        <w:rPr>
          <w:rFonts w:ascii="Arial" w:cs="Arial" w:eastAsia="Arial" w:hAnsi="Arial"/>
          <w:sz w:val="22"/>
          <w:szCs w:val="22"/>
          <w:i w:val="1"/>
          <w:iCs w:val="1"/>
          <w:color w:val="auto"/>
        </w:rPr>
        <w:t xml:space="preserve"> </w:t>
      </w:r>
      <w:r>
        <w:rPr>
          <w:rFonts w:ascii="Arial" w:cs="Arial" w:eastAsia="Arial" w:hAnsi="Arial"/>
          <w:sz w:val="22"/>
          <w:szCs w:val="22"/>
          <w:color w:val="auto"/>
        </w:rPr>
        <w:t>any time during the term of this Agreement, in writing, otherwise provide that the Units will vest pursuant to the Vesting Schedule without regard to the termination of employment prior to the Vesting Date, subject to any terms and conditions that the Company may determine.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purposes of this Agreement:</w:t>
      </w:r>
    </w:p>
    <w:p>
      <w:pPr>
        <w:spacing w:after="0" w:line="260" w:lineRule="exact"/>
        <w:rPr>
          <w:sz w:val="20"/>
          <w:szCs w:val="20"/>
          <w:color w:val="auto"/>
        </w:rPr>
      </w:pPr>
    </w:p>
    <w:p>
      <w:pPr>
        <w:jc w:val="both"/>
        <w:ind w:firstLine="656"/>
        <w:spacing w:after="0" w:line="259" w:lineRule="auto"/>
        <w:tabs>
          <w:tab w:leader="none" w:pos="906" w:val="left"/>
        </w:tabs>
        <w:numPr>
          <w:ilvl w:val="0"/>
          <w:numId w:val="2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of your active employment</w:t>
      </w:r>
      <w:r>
        <w:rPr>
          <w:rFonts w:ascii="Arial" w:cs="Arial" w:eastAsia="Arial" w:hAnsi="Arial"/>
          <w:sz w:val="21"/>
          <w:szCs w:val="21"/>
          <w:color w:val="auto"/>
        </w:rPr>
        <w:t>” shall mean the last date that you are either an active employee of the Company or an Affiliate or actively engaged as a Director of the Company or an Affiliate; in the event of termination of your employment (whether or not later found to be invalid or in breach of employment laws in the jurisdiction where you are working or the terms of your employment agreement, if any), your right to receive Units and vest under the Plan, if any, will terminate effective as of the date that you are no longer actively providing services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any period of “garden leave” or similar period mandated under employment laws in the jurisdiction where you are employed or the terms of your employment agreement, if any). The Company shall have exclusive discretion to determine when you are no longer actively providing services for purposes of the Units (including whether you may still be considered to be providing services while on a leave of absence);</w:t>
      </w:r>
    </w:p>
    <w:p>
      <w:pPr>
        <w:spacing w:after="0" w:line="220" w:lineRule="exact"/>
        <w:rPr>
          <w:rFonts w:ascii="Arial" w:cs="Arial" w:eastAsia="Arial" w:hAnsi="Arial"/>
          <w:sz w:val="21"/>
          <w:szCs w:val="21"/>
          <w:color w:val="auto"/>
        </w:rPr>
      </w:pPr>
    </w:p>
    <w:p>
      <w:pPr>
        <w:jc w:val="both"/>
        <w:ind w:firstLine="656"/>
        <w:spacing w:after="0" w:line="297" w:lineRule="auto"/>
        <w:tabs>
          <w:tab w:leader="none" w:pos="1007" w:val="left"/>
        </w:tabs>
        <w:numPr>
          <w:ilvl w:val="0"/>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shall mean (i) your conviction of a felony (or similar crime under applicable law, as determined by the Company), or (ii) your engaging in conduct that constitutes willful gross neglect or willful gross misconduct in carrying out your duties, resulting, in either case, in material economic harm to the Company or any Affiliate, unless you believed in good faith that such conduct was in, or not contrary to, the best interests of the Company or any Affiliate. For purposes of clause (ii) above, no act, or failure to act, on your part shall be deemed “willful” unless done, or omitted to be done, by you not in good faith;</w:t>
      </w:r>
    </w:p>
    <w:p>
      <w:pPr>
        <w:spacing w:after="0" w:line="187" w:lineRule="exact"/>
        <w:rPr>
          <w:rFonts w:ascii="Arial" w:cs="Arial" w:eastAsia="Arial" w:hAnsi="Arial"/>
          <w:sz w:val="19"/>
          <w:szCs w:val="19"/>
          <w:color w:val="auto"/>
        </w:rPr>
      </w:pPr>
    </w:p>
    <w:p>
      <w:pPr>
        <w:jc w:val="both"/>
        <w:ind w:firstLine="656"/>
        <w:spacing w:after="0" w:line="248" w:lineRule="auto"/>
        <w:tabs>
          <w:tab w:leader="none" w:pos="1026" w:val="left"/>
        </w:tabs>
        <w:numPr>
          <w:ilvl w:val="0"/>
          <w:numId w:val="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Permanent and Total Disability</w:t>
      </w:r>
      <w:r>
        <w:rPr>
          <w:rFonts w:ascii="Arial" w:cs="Arial" w:eastAsia="Arial" w:hAnsi="Arial"/>
          <w:sz w:val="22"/>
          <w:szCs w:val="22"/>
          <w:color w:val="auto"/>
        </w:rPr>
        <w:t>” shall have the meaning ascribed to such term under Section 22(e)(3) of the Code and with such permanent and total disability being certified prior to termination of your employment by (i) the U.S. Social Security Administration, (ii) the comparable governmental authority applicable to an Affiliate, (iii) such other body having the relevant decision-making power applicable to an Affiliate, or (iv) an independent medical advisor appointed by the Company in its sole discretion, as applicable, in any such case;</w:t>
      </w:r>
    </w:p>
    <w:p>
      <w:pPr>
        <w:spacing w:after="0" w:line="232" w:lineRule="exact"/>
        <w:rPr>
          <w:rFonts w:ascii="Arial" w:cs="Arial" w:eastAsia="Arial" w:hAnsi="Arial"/>
          <w:sz w:val="22"/>
          <w:szCs w:val="22"/>
          <w:color w:val="auto"/>
        </w:rPr>
      </w:pPr>
    </w:p>
    <w:p>
      <w:pPr>
        <w:ind w:left="1020" w:hanging="364"/>
        <w:spacing w:after="0"/>
        <w:tabs>
          <w:tab w:leader="none" w:pos="10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Termination</w:t>
      </w:r>
      <w:r>
        <w:rPr>
          <w:rFonts w:ascii="Arial" w:cs="Arial" w:eastAsia="Arial" w:hAnsi="Arial"/>
          <w:sz w:val="22"/>
          <w:szCs w:val="22"/>
          <w:color w:val="auto"/>
        </w:rPr>
        <w:t>” shall mean</w:t>
      </w:r>
    </w:p>
    <w:p>
      <w:pPr>
        <w:spacing w:after="0" w:line="260"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1"/>
          <w:numId w:val="21"/>
        </w:numPr>
        <w:rPr>
          <w:rFonts w:ascii="Arial" w:cs="Arial" w:eastAsia="Arial" w:hAnsi="Arial"/>
          <w:sz w:val="22"/>
          <w:szCs w:val="22"/>
          <w:color w:val="auto"/>
        </w:rPr>
      </w:pPr>
      <w:r>
        <w:rPr>
          <w:rFonts w:ascii="Arial" w:cs="Arial" w:eastAsia="Arial" w:hAnsi="Arial"/>
          <w:sz w:val="22"/>
          <w:szCs w:val="22"/>
          <w:color w:val="auto"/>
        </w:rPr>
        <w:t>if you are an employee who participates in the Change of Control Plan (as defined below), your termination of employment within two (2) years following a Change of Control (i) by the Company other than for Cause, Disability (as defined below), or as a result of your death or (ii) by you for Good Reason (as defined in the Change of Control Plan); or</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31" w:right="239" w:bottom="1440" w:gutter="0" w:footer="0" w:header="0"/>
        </w:sectPr>
      </w:pPr>
    </w:p>
    <w:bookmarkStart w:id="46" w:name="page47"/>
    <w:bookmarkEnd w:id="46"/>
    <w:p>
      <w:pPr>
        <w:jc w:val="both"/>
        <w:ind w:left="1960" w:hanging="655"/>
        <w:spacing w:after="0" w:line="312" w:lineRule="auto"/>
        <w:tabs>
          <w:tab w:leader="none" w:pos="1960" w:val="left"/>
        </w:tabs>
        <w:numPr>
          <w:ilvl w:val="2"/>
          <w:numId w:val="22"/>
        </w:numPr>
        <w:rPr>
          <w:rFonts w:ascii="Arial" w:cs="Arial" w:eastAsia="Arial" w:hAnsi="Arial"/>
          <w:sz w:val="19"/>
          <w:szCs w:val="19"/>
          <w:color w:val="auto"/>
        </w:rPr>
      </w:pPr>
      <w:r>
        <w:rPr>
          <w:rFonts w:ascii="Arial" w:cs="Arial" w:eastAsia="Arial" w:hAnsi="Arial"/>
          <w:sz w:val="19"/>
          <w:szCs w:val="19"/>
          <w:color w:val="auto"/>
        </w:rPr>
        <w:t>if you are an employee who does not participate in the Change of Control Plan or the Change of Control Plan is no longer in effect, your termination of employment within two (2) years following a Change of Control by the Company other than for Cause, Disability (as defined below), or as a result of your death;</w:t>
      </w:r>
    </w:p>
    <w:p>
      <w:pPr>
        <w:spacing w:after="0" w:line="174" w:lineRule="exact"/>
        <w:rPr>
          <w:rFonts w:ascii="Arial" w:cs="Arial" w:eastAsia="Arial" w:hAnsi="Arial"/>
          <w:sz w:val="19"/>
          <w:szCs w:val="19"/>
          <w:color w:val="auto"/>
        </w:rPr>
      </w:pPr>
    </w:p>
    <w:p>
      <w:pPr>
        <w:ind w:left="960" w:hanging="304"/>
        <w:spacing w:after="0"/>
        <w:tabs>
          <w:tab w:leader="none" w:pos="960"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mean the occurrence of any of the following:</w:t>
      </w:r>
    </w:p>
    <w:p>
      <w:pPr>
        <w:spacing w:after="0" w:line="219" w:lineRule="exact"/>
        <w:rPr>
          <w:rFonts w:ascii="Arial" w:cs="Arial" w:eastAsia="Arial" w:hAnsi="Arial"/>
          <w:sz w:val="22"/>
          <w:szCs w:val="22"/>
          <w:color w:val="auto"/>
        </w:rPr>
      </w:pPr>
    </w:p>
    <w:p>
      <w:pPr>
        <w:jc w:val="both"/>
        <w:ind w:firstLine="980"/>
        <w:spacing w:after="0" w:line="247" w:lineRule="auto"/>
        <w:tabs>
          <w:tab w:leader="none" w:pos="1607"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acquisition (other than from the Company) by any person, entity or “group,” within the meaning of Section 13(d)(3) or 14(d)(2) of the Exchange Act (excluding, for this purpose, the Company or any of its Affiliates, or any employee benefit plan of the Company or any of its Affiliates which acquires beneficial ownership of voting securities of the Company),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or</w:t>
      </w:r>
    </w:p>
    <w:p>
      <w:pPr>
        <w:spacing w:after="0" w:line="193" w:lineRule="exact"/>
        <w:rPr>
          <w:rFonts w:ascii="Arial" w:cs="Arial" w:eastAsia="Arial" w:hAnsi="Arial"/>
          <w:sz w:val="22"/>
          <w:szCs w:val="22"/>
          <w:color w:val="auto"/>
        </w:rPr>
      </w:pPr>
    </w:p>
    <w:p>
      <w:pPr>
        <w:jc w:val="both"/>
        <w:ind w:firstLine="980"/>
        <w:spacing w:after="0" w:line="260" w:lineRule="auto"/>
        <w:tabs>
          <w:tab w:leader="none" w:pos="1363" w:val="left"/>
        </w:tabs>
        <w:numPr>
          <w:ilvl w:val="1"/>
          <w:numId w:val="23"/>
        </w:numPr>
        <w:rPr>
          <w:rFonts w:ascii="Arial" w:cs="Arial" w:eastAsia="Arial" w:hAnsi="Arial"/>
          <w:sz w:val="21"/>
          <w:szCs w:val="21"/>
          <w:color w:val="auto"/>
        </w:rPr>
      </w:pPr>
      <w:r>
        <w:rPr>
          <w:rFonts w:ascii="Arial" w:cs="Arial" w:eastAsia="Arial" w:hAnsi="Arial"/>
          <w:sz w:val="21"/>
          <w:szCs w:val="21"/>
          <w:color w:val="auto"/>
        </w:rPr>
        <w:t>individuals who, as of April 2, 1991, constitute the Board (the “Incumbent Board”) cease for any reason to constitute at least a majority of the Board, provided that any person becoming a director subsequent to April 2, 1991,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contest relating to the election of the Directors of the Company, as such terms are used in Rule 14a-11 of Regulation 14A promulgated under the Exchange Act) shall be, for purposes of the Plan, considered as though such person were a member of the Incumbent Board; or</w:t>
      </w:r>
    </w:p>
    <w:p>
      <w:pPr>
        <w:spacing w:after="0" w:line="181" w:lineRule="exact"/>
        <w:rPr>
          <w:rFonts w:ascii="Arial" w:cs="Arial" w:eastAsia="Arial" w:hAnsi="Arial"/>
          <w:sz w:val="21"/>
          <w:szCs w:val="21"/>
          <w:color w:val="auto"/>
        </w:rPr>
      </w:pPr>
    </w:p>
    <w:p>
      <w:pPr>
        <w:jc w:val="both"/>
        <w:ind w:firstLine="980"/>
        <w:spacing w:after="0" w:line="297" w:lineRule="auto"/>
        <w:tabs>
          <w:tab w:leader="none" w:pos="1666"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consummation by the Company of a reorganization, merger, consolidation, (in each case, with respect to which persons who were the stockholders of the Company immediately prior to such reorganization, merger or consolidation do not, immediately thereafter, own more than fifty percent (50%) of the combined voting power entitled to vote generally in the election of directors of the reorganized, merged or consolidated company’s then-outstanding voting securities) or a liquidation or dissolution of the Company or of the sale of all or substantially all of the assets of the Company.</w:t>
      </w:r>
    </w:p>
    <w:p>
      <w:pPr>
        <w:spacing w:after="0" w:line="1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anything herein or in the Agreement to the contrary, if a Change of Control constitutes a payment event with respect to any Unit that is subject to United States income tax and which provides for a deferral of compensation that is subject to Section 409A of the Code, the transaction or event described in subsection (A), (B), (C) or (D) above must also constitute a “change in control event,” as defined in U.S. Treasury Regulation § 1.409A-3(i)(5), in order to constitute a Change of Control for purposes of payment of such Unit.</w:t>
      </w:r>
    </w:p>
    <w:p>
      <w:pPr>
        <w:spacing w:after="0" w:line="233" w:lineRule="exact"/>
        <w:rPr>
          <w:sz w:val="20"/>
          <w:szCs w:val="20"/>
          <w:color w:val="auto"/>
        </w:rPr>
      </w:pPr>
    </w:p>
    <w:p>
      <w:pPr>
        <w:jc w:val="both"/>
        <w:ind w:firstLine="656"/>
        <w:spacing w:after="0" w:line="248" w:lineRule="auto"/>
        <w:tabs>
          <w:tab w:leader="none" w:pos="1190"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 Plan</w:t>
      </w:r>
      <w:r>
        <w:rPr>
          <w:rFonts w:ascii="Arial" w:cs="Arial" w:eastAsia="Arial" w:hAnsi="Arial"/>
          <w:sz w:val="22"/>
          <w:szCs w:val="22"/>
          <w:color w:val="auto"/>
        </w:rPr>
        <w:t>” shall mean the Company’s change of control and severance plan, including the Amgen Inc. Change of Control Severance Plan, as amended and restated, effective as of December 9, 2010 (and any subsequent amendments thereto), or equivalent plan governing the provision of benefits to eligible employees upon the occurrence of a Change of Control (including resulting from a termination of employment that occurs within a specified time period following a Change of Control), as in effect immediately prior to a Change of Control; and</w:t>
      </w:r>
    </w:p>
    <w:p>
      <w:pPr>
        <w:spacing w:after="0" w:line="192" w:lineRule="exact"/>
        <w:rPr>
          <w:rFonts w:ascii="Arial" w:cs="Arial" w:eastAsia="Arial" w:hAnsi="Arial"/>
          <w:sz w:val="22"/>
          <w:szCs w:val="22"/>
          <w:color w:val="auto"/>
        </w:rPr>
      </w:pPr>
    </w:p>
    <w:p>
      <w:pPr>
        <w:ind w:firstLine="656"/>
        <w:spacing w:after="0" w:line="263" w:lineRule="auto"/>
        <w:tabs>
          <w:tab w:leader="none" w:pos="123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shall be determined in accordance with the Company’s long-term disability plan as in effect immediately prior to a Change of Control.</w:t>
      </w:r>
    </w:p>
    <w:p>
      <w:pPr>
        <w:spacing w:after="0" w:line="175" w:lineRule="exact"/>
        <w:rPr>
          <w:sz w:val="20"/>
          <w:szCs w:val="20"/>
          <w:color w:val="auto"/>
        </w:rPr>
      </w:pPr>
    </w:p>
    <w:p>
      <w:pPr>
        <w:ind w:firstLine="656"/>
        <w:spacing w:after="0" w:line="263" w:lineRule="auto"/>
        <w:tabs>
          <w:tab w:leader="none" w:pos="1494"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Subject to satisfaction of tax or similar obligations as provided for in Section III, any vested Units shall be paid by the Company in Shares (on a one-to-one basis) on, or as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47" w:name="page48"/>
    <w:bookmarkEnd w:id="47"/>
    <w:p>
      <w:pPr>
        <w:jc w:val="both"/>
        <w:spacing w:after="0" w:line="250" w:lineRule="auto"/>
        <w:rPr>
          <w:sz w:val="20"/>
          <w:szCs w:val="20"/>
          <w:color w:val="auto"/>
        </w:rPr>
      </w:pPr>
      <w:r>
        <w:rPr>
          <w:rFonts w:ascii="Arial" w:cs="Arial" w:eastAsia="Arial" w:hAnsi="Arial"/>
          <w:sz w:val="21"/>
          <w:szCs w:val="21"/>
          <w:color w:val="auto"/>
        </w:rPr>
        <w:t>soon as practicable after, and in any event within 90 days after the applicable Vesting Date, which for purposes of this Section II, includes the date of any accelerated vesting, if any (the “</w:t>
      </w:r>
      <w:r>
        <w:rPr>
          <w:rFonts w:ascii="Arial" w:cs="Arial" w:eastAsia="Arial" w:hAnsi="Arial"/>
          <w:sz w:val="21"/>
          <w:szCs w:val="21"/>
          <w:u w:val="single" w:color="auto"/>
          <w:color w:val="auto"/>
        </w:rPr>
        <w:t>Settlement Period</w:t>
      </w:r>
      <w:r>
        <w:rPr>
          <w:rFonts w:ascii="Arial" w:cs="Arial" w:eastAsia="Arial" w:hAnsi="Arial"/>
          <w:sz w:val="21"/>
          <w:szCs w:val="21"/>
          <w:color w:val="auto"/>
        </w:rPr>
        <w:t>”). [(For the avoidance of doubt, in the event that any Units continue to vest following a Voluntary Termination in accordance with Section 1(d) above, the Vesting Date(s) for purposes of payments pursuant to this Section II shall be the regularly scheduled Vesting Dates following such termination.]*</w:t>
      </w:r>
      <w:r>
        <w:rPr>
          <w:rFonts w:ascii="Arial" w:cs="Arial" w:eastAsia="Arial" w:hAnsi="Arial"/>
          <w:sz w:val="27"/>
          <w:szCs w:val="27"/>
          <w:color w:val="auto"/>
          <w:vertAlign w:val="superscript"/>
        </w:rPr>
        <w:t>4</w:t>
      </w:r>
      <w:r>
        <w:rPr>
          <w:rFonts w:ascii="Arial" w:cs="Arial" w:eastAsia="Arial" w:hAnsi="Arial"/>
          <w:sz w:val="21"/>
          <w:szCs w:val="21"/>
          <w:color w:val="auto"/>
        </w:rPr>
        <w:t xml:space="preserve"> Notwithstanding anything to the contrary in the foregoing, in the event that (i) the vesting and settlement of Units is conditioned on your execution and delivery of a release and (ii) the Settlement Period commences in one calendar year and ends in the next calendar year, the Units will be paid in the second calendar year. Shares issued in respect of a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235" w:lineRule="exact"/>
        <w:rPr>
          <w:sz w:val="20"/>
          <w:szCs w:val="20"/>
          <w:color w:val="auto"/>
        </w:rPr>
      </w:pPr>
    </w:p>
    <w:p>
      <w:pPr>
        <w:jc w:val="both"/>
        <w:ind w:firstLine="656"/>
        <w:spacing w:after="0" w:line="284" w:lineRule="auto"/>
        <w:tabs>
          <w:tab w:leader="none" w:pos="1566"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Tax Withholding; Issuance of Certificates</w:t>
      </w:r>
      <w:r>
        <w:rPr>
          <w:rFonts w:ascii="Arial" w:cs="Arial" w:eastAsia="Arial" w:hAnsi="Arial"/>
          <w:sz w:val="19"/>
          <w:szCs w:val="19"/>
          <w:color w:val="auto"/>
        </w:rPr>
        <w:t>. Regardless of any action the Company or your actual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takes with respect to any or all income tax (including federal, state and local taxes), social insurance, payroll tax, fringe benefit tax, payment on account or other tax-related items related to your participation in the Plan and legally applicable to you (“</w:t>
      </w:r>
      <w:r>
        <w:rPr>
          <w:rFonts w:ascii="Arial" w:cs="Arial" w:eastAsia="Arial" w:hAnsi="Arial"/>
          <w:sz w:val="19"/>
          <w:szCs w:val="19"/>
          <w:u w:val="single" w:color="auto"/>
          <w:color w:val="auto"/>
        </w:rPr>
        <w:t>Tax Obligations”)</w:t>
      </w:r>
      <w:r>
        <w:rPr>
          <w:rFonts w:ascii="Arial" w:cs="Arial" w:eastAsia="Arial" w:hAnsi="Arial"/>
          <w:sz w:val="19"/>
          <w:szCs w:val="19"/>
          <w:color w:val="auto"/>
        </w:rPr>
        <w:t>, you acknowledge that the ultimate liability for all Tax Obligations is and remains your responsibility and may exceed the amount actually withheld by the Company and/or your Employer. You further acknowledge that the Company and/or your Employer (i) make no representations or undertakings regarding the treatment of any Tax Obligations in connection with any aspect of the Units, including the grant of the Units, the vesting of Units, the conversion of the Units into Shares or the receipt of an equivalent cash payment, the subsequent sale of any Shares acquired at vesting and the receipt of any dividends, and</w:t>
      </w:r>
    </w:p>
    <w:p>
      <w:pPr>
        <w:spacing w:after="0" w:line="2" w:lineRule="exact"/>
        <w:rPr>
          <w:rFonts w:ascii="Arial" w:cs="Arial" w:eastAsia="Arial" w:hAnsi="Arial"/>
          <w:sz w:val="19"/>
          <w:szCs w:val="19"/>
          <w:color w:val="auto"/>
        </w:rPr>
      </w:pPr>
    </w:p>
    <w:p>
      <w:pPr>
        <w:jc w:val="both"/>
        <w:ind w:firstLine="8"/>
        <w:spacing w:after="0" w:line="244" w:lineRule="auto"/>
        <w:tabs>
          <w:tab w:leader="none" w:pos="319" w:val="left"/>
        </w:tabs>
        <w:numPr>
          <w:ilvl w:val="0"/>
          <w:numId w:val="27"/>
        </w:numPr>
        <w:rPr>
          <w:rFonts w:ascii="Arial" w:cs="Arial" w:eastAsia="Arial" w:hAnsi="Arial"/>
          <w:sz w:val="22"/>
          <w:szCs w:val="22"/>
          <w:color w:val="auto"/>
        </w:rPr>
      </w:pPr>
      <w:r>
        <w:rPr>
          <w:rFonts w:ascii="Arial" w:cs="Arial" w:eastAsia="Arial" w:hAnsi="Arial"/>
          <w:sz w:val="22"/>
          <w:szCs w:val="22"/>
          <w:color w:val="auto"/>
        </w:rPr>
        <w:t>do not commit to and are under no obligation to structure the terms of the grant or any aspect of the Units to reduce or eliminate your liability for Tax Obligations or achieve any particular tax result. Furthermore, if you become subject to tax in more than one jurisdiction between the Grant Date and the date of any relevant taxable event, you acknowledge that the Company and/or your Employer (or former employer, as applicable) may be required to withhold or account for Tax Obligations in more than one jurisdiction.</w:t>
      </w:r>
    </w:p>
    <w:p>
      <w:pPr>
        <w:spacing w:after="0" w:line="2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and/or your Employer or their respective agents, at their discretion, to satisfy all applicable Tax Obligations by one or a combination of the following:</w:t>
      </w:r>
    </w:p>
    <w:p>
      <w:pPr>
        <w:spacing w:after="0" w:line="188"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withholding from your wages or other cash compensation paid to you by the Company and/or your Employer; or</w:t>
      </w:r>
    </w:p>
    <w:p>
      <w:pPr>
        <w:spacing w:after="0" w:line="267" w:lineRule="exact"/>
        <w:rPr>
          <w:rFonts w:ascii="Arial" w:cs="Arial" w:eastAsia="Arial" w:hAnsi="Arial"/>
          <w:sz w:val="19"/>
          <w:szCs w:val="19"/>
          <w:color w:val="auto"/>
        </w:rPr>
      </w:pPr>
    </w:p>
    <w:p>
      <w:pPr>
        <w:ind w:firstLine="656"/>
        <w:spacing w:after="0" w:line="301" w:lineRule="auto"/>
        <w:tabs>
          <w:tab w:leader="none" w:pos="1202" w:val="left"/>
        </w:tabs>
        <w:numPr>
          <w:ilvl w:val="0"/>
          <w:numId w:val="28"/>
        </w:numPr>
        <w:rPr>
          <w:rFonts w:ascii="Arial" w:cs="Arial" w:eastAsia="Arial" w:hAnsi="Arial"/>
          <w:sz w:val="21"/>
          <w:szCs w:val="21"/>
          <w:color w:val="auto"/>
        </w:rPr>
      </w:pPr>
      <w:r>
        <w:rPr>
          <w:rFonts w:ascii="Arial" w:cs="Arial" w:eastAsia="Arial" w:hAnsi="Arial"/>
          <w:sz w:val="21"/>
          <w:szCs w:val="21"/>
          <w:color w:val="auto"/>
        </w:rPr>
        <w:t>withholding from proceeds of the sale of Shares acquired upon vesting or payment of the Units either through a voluntary sale or through a mandatory sale arranged by the Company (on your behalf pursuant to this authorization); or</w:t>
      </w:r>
    </w:p>
    <w:p>
      <w:pPr>
        <w:spacing w:after="0" w:line="137" w:lineRule="exact"/>
        <w:rPr>
          <w:rFonts w:ascii="Arial" w:cs="Arial" w:eastAsia="Arial" w:hAnsi="Arial"/>
          <w:sz w:val="21"/>
          <w:szCs w:val="21"/>
          <w:color w:val="auto"/>
        </w:rPr>
      </w:pPr>
    </w:p>
    <w:p>
      <w:pPr>
        <w:ind w:firstLine="656"/>
        <w:spacing w:after="0" w:line="276" w:lineRule="auto"/>
        <w:tabs>
          <w:tab w:leader="none" w:pos="1217" w:val="left"/>
        </w:tabs>
        <w:numPr>
          <w:ilvl w:val="0"/>
          <w:numId w:val="28"/>
        </w:numPr>
        <w:rPr>
          <w:rFonts w:ascii="Arial" w:cs="Arial" w:eastAsia="Arial" w:hAnsi="Arial"/>
          <w:sz w:val="22"/>
          <w:szCs w:val="22"/>
          <w:color w:val="auto"/>
        </w:rPr>
      </w:pPr>
      <w:r>
        <w:rPr>
          <w:rFonts w:ascii="Arial" w:cs="Arial" w:eastAsia="Arial" w:hAnsi="Arial"/>
          <w:sz w:val="22"/>
          <w:szCs w:val="22"/>
          <w:color w:val="auto"/>
        </w:rPr>
        <w:t>withholding in Shares to be issued upon vesting or payment of the Units, provided that the Company and your Employer shall only withhold an amount of Shares with a fair market value equal to the Tax Obligations.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w:t>
      </w:r>
    </w:p>
    <w:p>
      <w:pPr>
        <w:spacing w:after="0" w:line="5" w:lineRule="exact"/>
        <w:rPr>
          <w:sz w:val="20"/>
          <w:szCs w:val="20"/>
          <w:color w:val="auto"/>
        </w:rPr>
      </w:pPr>
    </w:p>
    <w:p>
      <w:pPr>
        <w:jc w:val="both"/>
        <w:ind w:firstLine="8"/>
        <w:spacing w:after="0" w:line="245" w:lineRule="auto"/>
        <w:tabs>
          <w:tab w:leader="none" w:pos="141" w:val="left"/>
        </w:tabs>
        <w:numPr>
          <w:ilvl w:val="0"/>
          <w:numId w:val="29"/>
        </w:numPr>
        <w:rPr>
          <w:rFonts w:ascii="Arial" w:cs="Arial" w:eastAsia="Arial" w:hAnsi="Arial"/>
          <w:sz w:val="26"/>
          <w:szCs w:val="26"/>
          <w:i w:val="1"/>
          <w:iCs w:val="1"/>
          <w:color w:val="auto"/>
          <w:vertAlign w:val="superscript"/>
        </w:rPr>
      </w:pPr>
      <w:r>
        <w:rPr>
          <w:rFonts w:ascii="Arial" w:cs="Arial" w:eastAsia="Arial" w:hAnsi="Arial"/>
          <w:sz w:val="19"/>
          <w:szCs w:val="19"/>
          <w:i w:val="1"/>
          <w:iCs w:val="1"/>
          <w:color w:val="auto"/>
        </w:rPr>
        <w:t>Paragraph (d) of Section I of this Agreement is not applicable to awards identified by the Administrator as new hire, retention, special or promotion grants and the provisions of such paragraph shall be reserved and references thereto identified by an asterisk</w:t>
      </w:r>
    </w:p>
    <w:p>
      <w:pPr>
        <w:spacing w:after="0" w:line="1" w:lineRule="exact"/>
        <w:rPr>
          <w:rFonts w:ascii="Arial" w:cs="Arial" w:eastAsia="Arial" w:hAnsi="Arial"/>
          <w:sz w:val="26"/>
          <w:szCs w:val="26"/>
          <w:i w:val="1"/>
          <w:iCs w:val="1"/>
          <w:color w:val="auto"/>
          <w:vertAlign w:val="superscript"/>
        </w:rPr>
      </w:pPr>
    </w:p>
    <w:p>
      <w:pPr>
        <w:spacing w:after="0"/>
        <w:rPr>
          <w:rFonts w:ascii="Arial" w:cs="Arial" w:eastAsia="Arial" w:hAnsi="Arial"/>
          <w:sz w:val="26"/>
          <w:szCs w:val="26"/>
          <w:i w:val="1"/>
          <w:iCs w:val="1"/>
          <w:color w:val="auto"/>
          <w:vertAlign w:val="superscript"/>
        </w:rPr>
      </w:pPr>
      <w:r>
        <w:rPr>
          <w:rFonts w:ascii="Arial" w:cs="Arial" w:eastAsia="Arial" w:hAnsi="Arial"/>
          <w:sz w:val="22"/>
          <w:szCs w:val="22"/>
          <w:i w:val="1"/>
          <w:iCs w:val="1"/>
          <w:color w:val="auto"/>
        </w:rPr>
        <w:t>(*) shall be omitted from the agreements evidencing such grants.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48" w:name="page49"/>
    <w:bookmarkEnd w:id="48"/>
    <w:p>
      <w:pPr>
        <w:jc w:val="both"/>
        <w:ind w:firstLine="648"/>
        <w:spacing w:after="0" w:line="294" w:lineRule="auto"/>
        <w:rPr>
          <w:sz w:val="20"/>
          <w:szCs w:val="20"/>
          <w:color w:val="auto"/>
        </w:rPr>
      </w:pPr>
      <w:r>
        <w:rPr>
          <w:rFonts w:ascii="Arial" w:cs="Arial" w:eastAsia="Arial" w:hAnsi="Arial"/>
          <w:sz w:val="19"/>
          <w:szCs w:val="19"/>
          <w:color w:val="auto"/>
        </w:rPr>
        <w:t>To avoid adverse accounting treatment, the Company may withhold or account for Tax Obligations not to exceed the applicable minimum statutory withholding rates or other applicable withholding rates. If the Tax Obligations are satisfied by withholding in Shares, for tax purposes, you are deemed to have been issued the full number of Shares subject to the vested Units, notwithstanding that a number of the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9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Finally, you shall pay to the Company or your Employer any amount of Tax Obligations that the Company or your Employer may be required to withhold or account for as a result of your participation in the Plan that cannot be satisfied by the means previously described. You agree to take any further actions and execute any additional documents as may be necessary to effectuate the provisions of this Section III. Notwithstanding Section II above, the Company may refuse to issue or deliver the Shares or the proceeds of the sale of Shares if you fail to comply with your obligations in connection with the Tax Obligations.</w:t>
      </w:r>
    </w:p>
    <w:p>
      <w:pPr>
        <w:spacing w:after="0" w:line="188" w:lineRule="exact"/>
        <w:rPr>
          <w:sz w:val="20"/>
          <w:szCs w:val="20"/>
          <w:color w:val="auto"/>
        </w:rPr>
      </w:pPr>
    </w:p>
    <w:p>
      <w:pPr>
        <w:ind w:left="660"/>
        <w:spacing w:after="0"/>
        <w:tabs>
          <w:tab w:leader="none" w:pos="154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u w:val="single" w:color="auto"/>
          <w:color w:val="auto"/>
        </w:rPr>
        <w:t>Dividend Equivalents</w:t>
      </w:r>
    </w:p>
    <w:p>
      <w:pPr>
        <w:spacing w:after="0" w:line="260" w:lineRule="exact"/>
        <w:rPr>
          <w:sz w:val="20"/>
          <w:szCs w:val="20"/>
          <w:color w:val="auto"/>
        </w:rPr>
      </w:pPr>
    </w:p>
    <w:p>
      <w:pPr>
        <w:jc w:val="both"/>
        <w:ind w:firstLine="1953"/>
        <w:spacing w:after="0" w:line="287" w:lineRule="auto"/>
        <w:tabs>
          <w:tab w:leader="none" w:pos="2414"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Crediting and Payment of Dividend Equivalents</w:t>
      </w:r>
      <w:r>
        <w:rPr>
          <w:rFonts w:ascii="Arial" w:cs="Arial" w:eastAsia="Arial" w:hAnsi="Arial"/>
          <w:sz w:val="19"/>
          <w:szCs w:val="19"/>
          <w:color w:val="auto"/>
        </w:rPr>
        <w:t>. Subject to this Section IV, Dividend Equivalents shall be credited on each Unit granted to you under this Agreement in the manner set forth in the remainder of this Section IV. If the Company declares one or more dividends or distributions (each, a “</w:t>
      </w:r>
      <w:r>
        <w:rPr>
          <w:rFonts w:ascii="Arial" w:cs="Arial" w:eastAsia="Arial" w:hAnsi="Arial"/>
          <w:sz w:val="19"/>
          <w:szCs w:val="19"/>
          <w:u w:val="single" w:color="auto"/>
          <w:color w:val="auto"/>
        </w:rPr>
        <w:t>Dividend</w:t>
      </w:r>
      <w:r>
        <w:rPr>
          <w:rFonts w:ascii="Arial" w:cs="Arial" w:eastAsia="Arial" w:hAnsi="Arial"/>
          <w:sz w:val="19"/>
          <w:szCs w:val="19"/>
          <w:color w:val="auto"/>
        </w:rPr>
        <w:t>”) on its Common Stock with a record date which occurs during the period commencing on the Grant Date through and including the day immediately preceding the day the shares of Common Stock subject to the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of Common Stock equal to the number of your Units as of the record date for such Dividend, unless the Units have been forfeited between the record date and payment date for such Dividend. Any such Dividend Equivalents shall be credited and deemed reinvested in the Common Stock as of the Dividend payment date. Dividend Equivalents shall be payable in full shares of Common Stock, unless the Administrator determines, at any time prior to payment and in its discretion, that they shall be payable in cash. Dividend Equivalents payable with respect to fractional shares of Common Stock shall be paid in cash.</w:t>
      </w:r>
    </w:p>
    <w:p>
      <w:pPr>
        <w:spacing w:after="0" w:line="200" w:lineRule="exact"/>
        <w:rPr>
          <w:rFonts w:ascii="Arial" w:cs="Arial" w:eastAsia="Arial" w:hAnsi="Arial"/>
          <w:sz w:val="19"/>
          <w:szCs w:val="19"/>
          <w:color w:val="auto"/>
        </w:rPr>
      </w:pPr>
    </w:p>
    <w:p>
      <w:pPr>
        <w:jc w:val="both"/>
        <w:ind w:firstLine="1953"/>
        <w:spacing w:after="0" w:line="248" w:lineRule="auto"/>
        <w:tabs>
          <w:tab w:leader="none" w:pos="2521" w:val="left"/>
        </w:tabs>
        <w:numPr>
          <w:ilvl w:val="1"/>
          <w:numId w:val="30"/>
        </w:numPr>
        <w:rPr>
          <w:rFonts w:ascii="Arial" w:cs="Arial" w:eastAsia="Arial" w:hAnsi="Arial"/>
          <w:sz w:val="22"/>
          <w:szCs w:val="22"/>
          <w:color w:val="auto"/>
        </w:rPr>
      </w:pPr>
      <w:r>
        <w:rPr>
          <w:rFonts w:ascii="Arial" w:cs="Arial" w:eastAsia="Arial" w:hAnsi="Arial"/>
          <w:sz w:val="22"/>
          <w:szCs w:val="22"/>
          <w:u w:val="single" w:color="auto"/>
          <w:color w:val="auto"/>
        </w:rPr>
        <w:t>Treatment of Dividend Equivalents.</w:t>
      </w:r>
      <w:r>
        <w:rPr>
          <w:rFonts w:ascii="Arial" w:cs="Arial" w:eastAsia="Arial" w:hAnsi="Arial"/>
          <w:sz w:val="22"/>
          <w:szCs w:val="22"/>
          <w:color w:val="auto"/>
        </w:rPr>
        <w:t xml:space="preserve"> Except as otherwise expressly provided in this Section IV, any Dividend Equivalents credited to you shall be subject to all of the provisions of this Agreement which apply to the Units with respect to which they have been credited and shall be payable, if at all, at the time and to the extent that the underlying Unit becomes payable. Dividend Equivalents shall not be payable on any Units that do not vest, or are forfeited, pursuant to the terms of this Agreement.</w:t>
      </w:r>
    </w:p>
    <w:p>
      <w:pPr>
        <w:spacing w:after="0" w:line="232" w:lineRule="exact"/>
        <w:rPr>
          <w:rFonts w:ascii="Arial" w:cs="Arial" w:eastAsia="Arial" w:hAnsi="Arial"/>
          <w:sz w:val="22"/>
          <w:szCs w:val="22"/>
          <w:color w:val="auto"/>
        </w:rPr>
      </w:pPr>
    </w:p>
    <w:p>
      <w:pPr>
        <w:jc w:val="both"/>
        <w:ind w:left="80" w:firstLine="657"/>
        <w:spacing w:after="0" w:line="263" w:lineRule="auto"/>
        <w:tabs>
          <w:tab w:leader="none" w:pos="1478"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xml:space="preserve">. No benefit payable under, or interest in, this Agreement or in the Shares that are scheduled to be issued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nothing in this Section V shall prevent transfer (i) by will or (ii) by applicable laws of descent and distribution.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VI. Notices. Any notices provided for in this Agreement or the Plan shall be given in writing or electronically and shall be deemed effectively given upon receipt or, in the case of notices delivered by the Company to you, five (5) days after deposit in the United States mail or equivalent foreign postal service, postage prepaid, addressed to you at such address as is currently maintained in the Company’s records or at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22"/>
          <w:szCs w:val="22"/>
          <w:color w:val="auto"/>
        </w:rPr>
        <w:t>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VII. </w:t>
      </w:r>
      <w:r>
        <w:rPr>
          <w:rFonts w:ascii="Arial" w:cs="Arial" w:eastAsia="Arial" w:hAnsi="Arial"/>
          <w:sz w:val="22"/>
          <w:szCs w:val="22"/>
          <w:u w:val="single" w:color="auto"/>
          <w:color w:val="auto"/>
        </w:rPr>
        <w:t>Plan</w:t>
      </w:r>
      <w:r>
        <w:rPr>
          <w:rFonts w:ascii="Arial" w:cs="Arial" w:eastAsia="Arial" w:hAnsi="Arial"/>
          <w:sz w:val="22"/>
          <w:szCs w:val="22"/>
          <w:color w:val="auto"/>
        </w:rPr>
        <w:t>. This Agreement is subject to all the provisions of the Plan, which provisions are hereby made a part of this Agreement, including without limitation the provisions of Section 9.5 of the Plan relating to Restricted Stock Units, and is further subject to all interpretations, amendments, rules and regulations which may from time to time be promulgated and adopted pursuant to the Plan. In the event of any conflict between the provisions of this Agreement and those of the Plan, the provisions of the Plan shall control.</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VIII. </w:t>
      </w:r>
      <w:r>
        <w:rPr>
          <w:rFonts w:ascii="Arial" w:cs="Arial" w:eastAsia="Arial" w:hAnsi="Arial"/>
          <w:sz w:val="22"/>
          <w:szCs w:val="22"/>
          <w:u w:val="single" w:color="auto"/>
          <w:color w:val="auto"/>
        </w:rPr>
        <w:t>Governing Law</w:t>
      </w:r>
      <w:r>
        <w:rPr>
          <w:rFonts w:ascii="Arial" w:cs="Arial" w:eastAsia="Arial" w:hAnsi="Arial"/>
          <w:sz w:val="22"/>
          <w:szCs w:val="22"/>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IX. </w:t>
      </w:r>
      <w:r>
        <w:rPr>
          <w:rFonts w:ascii="Arial" w:cs="Arial" w:eastAsia="Arial" w:hAnsi="Arial"/>
          <w:sz w:val="19"/>
          <w:szCs w:val="19"/>
          <w:u w:val="single" w:color="auto"/>
          <w:color w:val="auto"/>
        </w:rPr>
        <w:t>Code Section 409A.</w:t>
      </w:r>
      <w:r>
        <w:rPr>
          <w:rFonts w:ascii="Arial" w:cs="Arial" w:eastAsia="Arial" w:hAnsi="Arial"/>
          <w:sz w:val="19"/>
          <w:szCs w:val="19"/>
          <w:color w:val="auto"/>
        </w:rPr>
        <w:t xml:space="preserve"> The time and form of payment of the Units is intended to comply with the requirements of Code Section 409A and this Agreement shall be interpreted in accordance with Code Section 409A and U.S. Department of Treasury regulations and other interpretive guidance issued thereunder, including without limitation any such regulations or other guidance that may be issued after the Grant Date. Accordingly, no acceleration or deferral of any payment shall be permitted if it would cause the payment of the Units to violate Code Section 409A. In addition, notwithstanding any provision herein to the contrary, in the event that following the Grant Date, the Committee (as defined in the Plan) determines that it may be necessary or appropriate to do so, the Committee may adopt such amendments to the Plan and/or this Agreement or adopt other policies and procedures (including amendments, policies and procedures with retroactive effect), or take any other actions, that the Committee determines are necessary or appropriate to (a) exempt the Plan and/or the Units from the application of Code Section 409A and/or preserve the intended tax treatment of the benefits provided with respect to this Award, or (b) comply with the requirements of Code Section 409A;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paragraph shall not create an obligation on the part of the Committee to adopt any such amendment, policy or procedure or take any such other action. For purposes of Code Section 409A, the right to receive payment of Units at each Vesting Date shall be treated as a right to receive separate and distinct payments.</w:t>
      </w:r>
    </w:p>
    <w:p>
      <w:pPr>
        <w:spacing w:after="0" w:line="208" w:lineRule="exact"/>
        <w:rPr>
          <w:sz w:val="20"/>
          <w:szCs w:val="20"/>
          <w:color w:val="auto"/>
        </w:rPr>
      </w:pPr>
    </w:p>
    <w:p>
      <w:pPr>
        <w:jc w:val="both"/>
        <w:ind w:firstLine="656"/>
        <w:spacing w:after="0" w:line="290" w:lineRule="auto"/>
        <w:tabs>
          <w:tab w:leader="none" w:pos="1507"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By electing to accept this Agreement, you acknowledge receipt of this Agreement and hereby confirm your understanding that the terms set forth in this Agreement constitute, subject to the terms of the Plan, which terms shall control in the event of any conflict between the Plan and this Agreement, the entire agreement and understanding of the parties with respect to the matters contained herein and supersede any and all prior agreements, arrangements and understandings, both oral and written, between the parties concerning the subject matter of this Agreement.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XI.</w:t>
      </w:r>
      <w:r>
        <w:rPr>
          <w:sz w:val="20"/>
          <w:szCs w:val="20"/>
          <w:color w:val="auto"/>
        </w:rPr>
        <w:tab/>
      </w:r>
      <w:r>
        <w:rPr>
          <w:rFonts w:ascii="Arial" w:cs="Arial" w:eastAsia="Arial" w:hAnsi="Arial"/>
          <w:sz w:val="22"/>
          <w:szCs w:val="22"/>
          <w:u w:val="single" w:color="auto"/>
          <w:color w:val="auto"/>
        </w:rPr>
        <w:t>Acknowledgment of Nature of Plan and Units</w:t>
      </w:r>
      <w:r>
        <w:rPr>
          <w:rFonts w:ascii="Arial" w:cs="Arial" w:eastAsia="Arial" w:hAnsi="Arial"/>
          <w:sz w:val="22"/>
          <w:szCs w:val="22"/>
          <w:color w:val="auto"/>
        </w:rPr>
        <w:t>. In accepting this Agreement, you acknowledge that:</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50" w:name="page51"/>
    <w:bookmarkEnd w:id="50"/>
    <w:p>
      <w:pPr>
        <w:ind w:firstLine="1953"/>
        <w:spacing w:after="0" w:line="263" w:lineRule="auto"/>
        <w:tabs>
          <w:tab w:leader="none" w:pos="2492"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is discretionary in nature and may be modified, amended, suspended or terminated by the Company at any time, as provided in the Plan;</w:t>
      </w:r>
    </w:p>
    <w:p>
      <w:pPr>
        <w:spacing w:after="0" w:line="215" w:lineRule="exact"/>
        <w:rPr>
          <w:rFonts w:ascii="Arial" w:cs="Arial" w:eastAsia="Arial" w:hAnsi="Arial"/>
          <w:sz w:val="22"/>
          <w:szCs w:val="22"/>
          <w:color w:val="auto"/>
        </w:rPr>
      </w:pPr>
    </w:p>
    <w:p>
      <w:pPr>
        <w:ind w:firstLine="1953"/>
        <w:spacing w:after="0" w:line="263" w:lineRule="auto"/>
        <w:tabs>
          <w:tab w:leader="none" w:pos="2455"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grant of the Units is voluntary and occasional and does not create any contractual or other right to receive future awards of Units, or benefits in lieu of Units even if Units have been awarded in the past;</w:t>
      </w:r>
    </w:p>
    <w:p>
      <w:pPr>
        <w:spacing w:after="0" w:line="215" w:lineRule="exact"/>
        <w:rPr>
          <w:rFonts w:ascii="Arial" w:cs="Arial" w:eastAsia="Arial" w:hAnsi="Arial"/>
          <w:sz w:val="22"/>
          <w:szCs w:val="22"/>
          <w:color w:val="auto"/>
        </w:rPr>
      </w:pPr>
    </w:p>
    <w:p>
      <w:pPr>
        <w:ind w:left="2400" w:hanging="447"/>
        <w:spacing w:after="0"/>
        <w:tabs>
          <w:tab w:leader="none" w:pos="2400" w:val="left"/>
        </w:tabs>
        <w:numPr>
          <w:ilvl w:val="0"/>
          <w:numId w:val="33"/>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71" w:lineRule="exact"/>
        <w:rPr>
          <w:rFonts w:ascii="Arial" w:cs="Arial" w:eastAsia="Arial" w:hAnsi="Arial"/>
          <w:sz w:val="21"/>
          <w:szCs w:val="21"/>
          <w:color w:val="auto"/>
        </w:rPr>
      </w:pPr>
    </w:p>
    <w:p>
      <w:pPr>
        <w:ind w:firstLine="1953"/>
        <w:spacing w:after="0" w:line="343" w:lineRule="auto"/>
        <w:tabs>
          <w:tab w:leader="none" w:pos="2415" w:val="left"/>
        </w:tabs>
        <w:numPr>
          <w:ilvl w:val="0"/>
          <w:numId w:val="33"/>
        </w:numPr>
        <w:rPr>
          <w:rFonts w:ascii="Arial" w:cs="Arial" w:eastAsia="Arial" w:hAnsi="Arial"/>
          <w:sz w:val="19"/>
          <w:szCs w:val="19"/>
          <w:color w:val="auto"/>
        </w:rPr>
      </w:pPr>
      <w:r>
        <w:rPr>
          <w:rFonts w:ascii="Arial" w:cs="Arial" w:eastAsia="Arial" w:hAnsi="Arial"/>
          <w:sz w:val="19"/>
          <w:szCs w:val="19"/>
          <w:color w:val="auto"/>
        </w:rPr>
        <w:t>your participation in the Plan shall not create a right to further employment with the Employer and shall not interfere with the ability of the Employer to terminate your employment or service relationship (if any) at any time;</w:t>
      </w:r>
    </w:p>
    <w:p>
      <w:pPr>
        <w:spacing w:after="0" w:line="145" w:lineRule="exact"/>
        <w:rPr>
          <w:rFonts w:ascii="Arial" w:cs="Arial" w:eastAsia="Arial" w:hAnsi="Arial"/>
          <w:sz w:val="19"/>
          <w:szCs w:val="19"/>
          <w:color w:val="auto"/>
        </w:rPr>
      </w:pPr>
    </w:p>
    <w:p>
      <w:pPr>
        <w:ind w:left="2400" w:hanging="447"/>
        <w:spacing w:after="0"/>
        <w:tabs>
          <w:tab w:leader="none" w:pos="24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60" w:lineRule="exact"/>
        <w:rPr>
          <w:rFonts w:ascii="Arial" w:cs="Arial" w:eastAsia="Arial" w:hAnsi="Arial"/>
          <w:sz w:val="22"/>
          <w:szCs w:val="22"/>
          <w:color w:val="auto"/>
        </w:rPr>
      </w:pPr>
    </w:p>
    <w:p>
      <w:pPr>
        <w:ind w:left="2420" w:hanging="467"/>
        <w:spacing w:after="0"/>
        <w:tabs>
          <w:tab w:leader="none" w:pos="24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grant of Units and the Shares subject to the Units are not intended to replace any pension rights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compensation;</w:t>
      </w:r>
    </w:p>
    <w:p>
      <w:pPr>
        <w:spacing w:after="0" w:line="242" w:lineRule="exact"/>
        <w:rPr>
          <w:rFonts w:ascii="Arial" w:cs="Arial" w:eastAsia="Arial" w:hAnsi="Arial"/>
          <w:sz w:val="19"/>
          <w:szCs w:val="19"/>
          <w:color w:val="auto"/>
        </w:rPr>
      </w:pPr>
    </w:p>
    <w:p>
      <w:pPr>
        <w:jc w:val="both"/>
        <w:ind w:firstLine="1953"/>
        <w:spacing w:after="0" w:line="271" w:lineRule="auto"/>
        <w:tabs>
          <w:tab w:leader="none" w:pos="2413" w:val="left"/>
        </w:tabs>
        <w:numPr>
          <w:ilvl w:val="0"/>
          <w:numId w:val="33"/>
        </w:numPr>
        <w:rPr>
          <w:rFonts w:ascii="Arial" w:cs="Arial" w:eastAsia="Arial" w:hAnsi="Arial"/>
          <w:sz w:val="21"/>
          <w:szCs w:val="21"/>
          <w:color w:val="auto"/>
        </w:rPr>
      </w:pPr>
      <w:r>
        <w:rPr>
          <w:rFonts w:ascii="Arial" w:cs="Arial" w:eastAsia="Arial" w:hAnsi="Arial"/>
          <w:sz w:val="21"/>
          <w:szCs w:val="21"/>
          <w:color w:val="auto"/>
        </w:rPr>
        <w:t>neither the grant of Units nor any provision of this Agreement, the Plan or the policies adopted pursuant to the Plan confer upon you any right with respect to employment or continuation of current employment and shall not be interpreted to form an employment contract or relationship with the Company or any Affiliate;</w:t>
      </w:r>
    </w:p>
    <w:p>
      <w:pPr>
        <w:spacing w:after="0" w:line="208" w:lineRule="exact"/>
        <w:rPr>
          <w:rFonts w:ascii="Arial" w:cs="Arial" w:eastAsia="Arial" w:hAnsi="Arial"/>
          <w:sz w:val="21"/>
          <w:szCs w:val="21"/>
          <w:color w:val="auto"/>
        </w:rPr>
      </w:pPr>
    </w:p>
    <w:p>
      <w:pPr>
        <w:ind w:left="2420" w:hanging="467"/>
        <w:spacing w:after="0"/>
        <w:tabs>
          <w:tab w:leader="none" w:pos="2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future value of the underlying Shares is unknown and cannot be predicted with certainty;</w:t>
      </w:r>
    </w:p>
    <w:p>
      <w:pPr>
        <w:spacing w:after="0" w:line="260" w:lineRule="exact"/>
        <w:rPr>
          <w:rFonts w:ascii="Arial" w:cs="Arial" w:eastAsia="Arial" w:hAnsi="Arial"/>
          <w:sz w:val="22"/>
          <w:szCs w:val="22"/>
          <w:color w:val="auto"/>
        </w:rPr>
      </w:pPr>
    </w:p>
    <w:p>
      <w:pPr>
        <w:jc w:val="both"/>
        <w:ind w:firstLine="1953"/>
        <w:spacing w:after="0" w:line="261" w:lineRule="auto"/>
        <w:tabs>
          <w:tab w:leader="none" w:pos="2427" w:val="left"/>
        </w:tabs>
        <w:numPr>
          <w:ilvl w:val="0"/>
          <w:numId w:val="33"/>
        </w:numPr>
        <w:rPr>
          <w:rFonts w:ascii="Arial" w:cs="Arial" w:eastAsia="Arial" w:hAnsi="Arial"/>
          <w:sz w:val="21"/>
          <w:szCs w:val="21"/>
          <w:color w:val="auto"/>
        </w:rPr>
      </w:pPr>
      <w:r>
        <w:rPr>
          <w:rFonts w:ascii="Arial" w:cs="Arial" w:eastAsia="Arial" w:hAnsi="Arial"/>
          <w:sz w:val="21"/>
          <w:szCs w:val="21"/>
          <w:color w:val="auto"/>
        </w:rPr>
        <w:t>in consideration of the grant of Units hereunder, no claim or entitlement to compensation or damages arises from termination of Units, and no claim or entitlement to compensation or damages shall arise from forfeiture of the Units resulting from termination of your employment by the Company or an Affiliate (for any reason whatsoever and whether or not in breach of local labor laws)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20" w:lineRule="exact"/>
        <w:rPr>
          <w:rFonts w:ascii="Arial" w:cs="Arial" w:eastAsia="Arial" w:hAnsi="Arial"/>
          <w:sz w:val="21"/>
          <w:szCs w:val="21"/>
          <w:color w:val="auto"/>
        </w:rPr>
      </w:pPr>
    </w:p>
    <w:p>
      <w:pPr>
        <w:jc w:val="both"/>
        <w:ind w:firstLine="1953"/>
        <w:spacing w:after="0" w:line="312" w:lineRule="auto"/>
        <w:tabs>
          <w:tab w:leader="none" w:pos="2375" w:val="left"/>
        </w:tabs>
        <w:numPr>
          <w:ilvl w:val="0"/>
          <w:numId w:val="33"/>
        </w:numPr>
        <w:rPr>
          <w:rFonts w:ascii="Arial" w:cs="Arial" w:eastAsia="Arial" w:hAnsi="Arial"/>
          <w:sz w:val="19"/>
          <w:szCs w:val="19"/>
          <w:color w:val="auto"/>
        </w:rPr>
      </w:pPr>
      <w:r>
        <w:rPr>
          <w:rFonts w:ascii="Arial" w:cs="Arial" w:eastAsia="Arial" w:hAnsi="Arial"/>
          <w:sz w:val="19"/>
          <w:szCs w:val="19"/>
          <w:color w:val="auto"/>
        </w:rPr>
        <w:t>except as otherwise provided in this Agreement or the Plan, the Units and the benefits evidenced by this Agreement do not create any entitlement to have the Units or any such benefits transferred to, or assumed by, another company nor to be exchanged, cashed out or substituted for, in connection with any corporate transaction affecting the shares of the Company;</w:t>
      </w:r>
    </w:p>
    <w:p>
      <w:pPr>
        <w:spacing w:after="0" w:line="133" w:lineRule="exact"/>
        <w:rPr>
          <w:rFonts w:ascii="Arial" w:cs="Arial" w:eastAsia="Arial" w:hAnsi="Arial"/>
          <w:sz w:val="19"/>
          <w:szCs w:val="19"/>
          <w:color w:val="auto"/>
        </w:rPr>
      </w:pPr>
    </w:p>
    <w:p>
      <w:pPr>
        <w:ind w:left="2420" w:hanging="467"/>
        <w:spacing w:after="0"/>
        <w:tabs>
          <w:tab w:leader="none" w:pos="24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19" w:lineRule="exact"/>
        <w:rPr>
          <w:rFonts w:ascii="Arial" w:cs="Arial" w:eastAsia="Arial" w:hAnsi="Arial"/>
          <w:sz w:val="22"/>
          <w:szCs w:val="22"/>
          <w:color w:val="auto"/>
        </w:rPr>
      </w:pPr>
    </w:p>
    <w:p>
      <w:pPr>
        <w:jc w:val="both"/>
        <w:ind w:firstLine="2601"/>
        <w:spacing w:after="0" w:line="250" w:lineRule="auto"/>
        <w:tabs>
          <w:tab w:leader="none" w:pos="2851" w:val="left"/>
        </w:tabs>
        <w:numPr>
          <w:ilvl w:val="1"/>
          <w:numId w:val="33"/>
        </w:numPr>
        <w:rPr>
          <w:rFonts w:ascii="Arial" w:cs="Arial" w:eastAsia="Arial" w:hAnsi="Arial"/>
          <w:sz w:val="22"/>
          <w:szCs w:val="22"/>
          <w:color w:val="auto"/>
        </w:rPr>
      </w:pPr>
      <w:r>
        <w:rPr>
          <w:rFonts w:ascii="Arial" w:cs="Arial" w:eastAsia="Arial" w:hAnsi="Arial"/>
          <w:sz w:val="22"/>
          <w:szCs w:val="22"/>
          <w:color w:val="auto"/>
        </w:rPr>
        <w:t>for employment law purposes outside the United States, the Units and Shares subject to the Units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payments; and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51" w:name="page52"/>
    <w:bookmarkEnd w:id="51"/>
    <w:p>
      <w:pPr>
        <w:jc w:val="both"/>
        <w:ind w:firstLine="2601"/>
        <w:spacing w:after="0" w:line="312" w:lineRule="auto"/>
        <w:tabs>
          <w:tab w:leader="none" w:pos="2938" w:val="left"/>
        </w:tabs>
        <w:numPr>
          <w:ilvl w:val="0"/>
          <w:numId w:val="34"/>
        </w:numPr>
        <w:rPr>
          <w:rFonts w:ascii="Arial" w:cs="Arial" w:eastAsia="Arial" w:hAnsi="Arial"/>
          <w:sz w:val="19"/>
          <w:szCs w:val="19"/>
          <w:color w:val="auto"/>
        </w:rPr>
      </w:pPr>
      <w:r>
        <w:rPr>
          <w:rFonts w:ascii="Arial" w:cs="Arial" w:eastAsia="Arial" w:hAnsi="Arial"/>
          <w:sz w:val="19"/>
          <w:szCs w:val="19"/>
          <w:color w:val="auto"/>
        </w:rPr>
        <w:t>neither the Company, the Employer nor any Affiliate of the Company shall be liable for any foreign exchange rate fluctuation between your local currency and the United States Dollar that may affect the value of the Units or of any amounts due to you pursuant to the settlement of the Units or the subsequent sale of any Shares acquired upon settlement.</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XII. </w:t>
      </w:r>
      <w:r>
        <w:rPr>
          <w:rFonts w:ascii="Arial" w:cs="Arial" w:eastAsia="Arial" w:hAnsi="Arial"/>
          <w:sz w:val="22"/>
          <w:szCs w:val="22"/>
          <w:u w:val="single" w:color="auto"/>
          <w:color w:val="auto"/>
        </w:rPr>
        <w:t>No Advice Regarding Award</w:t>
      </w:r>
      <w:r>
        <w:rPr>
          <w:rFonts w:ascii="Arial" w:cs="Arial" w:eastAsia="Arial" w:hAnsi="Arial"/>
          <w:sz w:val="22"/>
          <w:szCs w:val="22"/>
          <w:color w:val="auto"/>
        </w:rPr>
        <w:t>. 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XIII.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xml:space="preserve">. Notwithstanding any provision of this Agreement to the contrary, if you are employed by the Company or an Affiliate in any of the countries identified in the attached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(which constitutes a part of this Agreement), are subject to the laws of any foreign jurisdiction, or relocate to one of the countries included in the attached </w:t>
      </w:r>
      <w:r>
        <w:rPr>
          <w:rFonts w:ascii="Arial" w:cs="Arial" w:eastAsia="Arial" w:hAnsi="Arial"/>
          <w:sz w:val="22"/>
          <w:szCs w:val="22"/>
          <w:u w:val="single" w:color="auto"/>
          <w:color w:val="auto"/>
        </w:rPr>
        <w:t>Appendix</w:t>
      </w:r>
      <w:r>
        <w:rPr>
          <w:rFonts w:ascii="Arial" w:cs="Arial" w:eastAsia="Arial" w:hAnsi="Arial"/>
          <w:sz w:val="22"/>
          <w:szCs w:val="22"/>
          <w:color w:val="auto"/>
        </w:rPr>
        <w:t xml:space="preserve"> </w:t>
      </w:r>
      <w:r>
        <w:rPr>
          <w:rFonts w:ascii="Arial" w:cs="Arial" w:eastAsia="Arial" w:hAnsi="Arial"/>
          <w:sz w:val="22"/>
          <w:szCs w:val="22"/>
          <w:u w:val="single" w:color="auto"/>
          <w:color w:val="auto"/>
        </w:rPr>
        <w:t>A</w:t>
      </w:r>
      <w:r>
        <w:rPr>
          <w:rFonts w:ascii="Arial" w:cs="Arial" w:eastAsia="Arial" w:hAnsi="Arial"/>
          <w:sz w:val="22"/>
          <w:szCs w:val="22"/>
          <w:color w:val="auto"/>
        </w:rPr>
        <w:t xml:space="preserve">, the Units granted hereunder shall be subject to any special terms and conditions for your country set forth in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to the following additional terms and conditions:</w:t>
      </w:r>
    </w:p>
    <w:p>
      <w:pPr>
        <w:spacing w:after="0" w:line="233" w:lineRule="exact"/>
        <w:rPr>
          <w:sz w:val="20"/>
          <w:szCs w:val="20"/>
          <w:color w:val="auto"/>
        </w:rPr>
      </w:pPr>
    </w:p>
    <w:p>
      <w:pPr>
        <w:ind w:left="980" w:right="20" w:hanging="324"/>
        <w:spacing w:after="0" w:line="263" w:lineRule="auto"/>
        <w:tabs>
          <w:tab w:leader="none" w:pos="9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the terms and conditions of this Agreement, including </w:t>
      </w:r>
      <w:r>
        <w:rPr>
          <w:rFonts w:ascii="Arial" w:cs="Arial" w:eastAsia="Arial" w:hAnsi="Arial"/>
          <w:sz w:val="22"/>
          <w:szCs w:val="22"/>
          <w:u w:val="single" w:color="auto"/>
          <w:color w:val="auto"/>
        </w:rPr>
        <w:t>Appendix A</w:t>
      </w:r>
      <w:r>
        <w:rPr>
          <w:rFonts w:ascii="Arial" w:cs="Arial" w:eastAsia="Arial" w:hAnsi="Arial"/>
          <w:sz w:val="22"/>
          <w:szCs w:val="22"/>
          <w:color w:val="auto"/>
        </w:rPr>
        <w:t>, are deemed modified to the extent necessary or advisable to comply with applicable foreign laws or facilitate the administration of the Plan;</w:t>
      </w:r>
    </w:p>
    <w:p>
      <w:pPr>
        <w:spacing w:after="0" w:line="174" w:lineRule="exact"/>
        <w:rPr>
          <w:rFonts w:ascii="Arial" w:cs="Arial" w:eastAsia="Arial" w:hAnsi="Arial"/>
          <w:sz w:val="22"/>
          <w:szCs w:val="22"/>
          <w:color w:val="auto"/>
        </w:rPr>
      </w:pPr>
    </w:p>
    <w:p>
      <w:pPr>
        <w:jc w:val="both"/>
        <w:ind w:left="980" w:hanging="324"/>
        <w:spacing w:after="0" w:line="253" w:lineRule="auto"/>
        <w:tabs>
          <w:tab w:leader="none" w:pos="9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if applicable, the effectiveness of your award of Units is conditioned upon its compliance with any applicable foreign laws, regulations, rules or local governmental regulatory exemption and subject to receipt of any required foreign regulatory approvals;</w:t>
      </w:r>
    </w:p>
    <w:p>
      <w:pPr>
        <w:spacing w:after="0" w:line="185"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to the extent necessary to comply with applicable foreign laws, the payment of any earned Units shall be made in cash or Common Stock, at the Company’s election; and</w:t>
      </w:r>
    </w:p>
    <w:p>
      <w:pPr>
        <w:spacing w:after="0" w:line="174"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may take any other action, before or after an award of Units is made, that it deems advisable to obtain approval or comply with any necessary local governmental regulatory exemptions or approvals.</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Notwithstanding anything to the contrary contained herein, the Company shall not take any actions hereunder that would violate the Securities Act, the Exchange Act, the Code, or any other securities or tax or other applicable law or regulation, or the rules of any Securities Exchange. Notwithstanding anything to the contrary contained herein, the Shares issuable upon vesting of the Unit shall not be issued unless such Shares are then registered under the Securities Act, or, if such Shares are not then so registered, the Company has determined that such vesting and issuance would be exempt from the registration requirements of the Securities Act, and that the issuance satisfied all other applicable legal requirements.</w:t>
      </w:r>
    </w:p>
    <w:p>
      <w:pPr>
        <w:spacing w:after="0" w:line="15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XIV. </w:t>
      </w:r>
      <w:r>
        <w:rPr>
          <w:rFonts w:ascii="Arial" w:cs="Arial" w:eastAsia="Arial" w:hAnsi="Arial"/>
          <w:sz w:val="22"/>
          <w:szCs w:val="22"/>
          <w:b w:val="1"/>
          <w:bCs w:val="1"/>
          <w:i w:val="1"/>
          <w:iCs w:val="1"/>
          <w:u w:val="single" w:color="auto"/>
          <w:color w:val="auto"/>
        </w:rPr>
        <w:t>Data Privacy and Notice of Consent</w:t>
      </w:r>
      <w:r>
        <w:rPr>
          <w:rFonts w:ascii="Arial" w:cs="Arial" w:eastAsia="Arial" w:hAnsi="Arial"/>
          <w:sz w:val="22"/>
          <w:szCs w:val="22"/>
          <w:b w:val="1"/>
          <w:bCs w:val="1"/>
          <w:i w:val="1"/>
          <w:iCs w:val="1"/>
          <w:color w:val="auto"/>
        </w:rPr>
        <w:t>. You hereby explicitly and unambiguously consent to the collection, use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and transfer, in electronic or other form, of your personal data as described in this Agreement by and among, as applicable, your Employer, the Company, and Affiliates of the Company for the exclusive purpose of implementing, administering and managing your participation in the Plan.</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b w:val="1"/>
          <w:bCs w:val="1"/>
          <w:i w:val="1"/>
          <w:iCs w:val="1"/>
          <w:color w:val="auto"/>
        </w:rPr>
        <w:t>You understand that the Company and your Employer may hold certain personal information about you, including, but not limited to,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52" w:name="page53"/>
    <w:bookmarkEnd w:id="52"/>
    <w:p>
      <w:pPr>
        <w:spacing w:after="0"/>
        <w:rPr>
          <w:sz w:val="20"/>
          <w:szCs w:val="20"/>
          <w:color w:val="auto"/>
        </w:rPr>
      </w:pPr>
      <w:r>
        <w:rPr>
          <w:rFonts w:ascii="Arial" w:cs="Arial" w:eastAsia="Arial" w:hAnsi="Arial"/>
          <w:sz w:val="19"/>
          <w:szCs w:val="19"/>
          <w:b w:val="1"/>
          <w:bCs w:val="1"/>
          <w:i w:val="1"/>
          <w:iCs w:val="1"/>
          <w:color w:val="auto"/>
        </w:rPr>
        <w:t>unvested or outstanding in your favor, for the purposes of implementing, administering and managing the Plan (“</w:t>
      </w:r>
      <w:r>
        <w:rPr>
          <w:rFonts w:ascii="Arial" w:cs="Arial" w:eastAsia="Arial" w:hAnsi="Arial"/>
          <w:sz w:val="19"/>
          <w:szCs w:val="19"/>
          <w:b w:val="1"/>
          <w:bCs w:val="1"/>
          <w:i w:val="1"/>
          <w:iCs w:val="1"/>
          <w:u w:val="single" w:color="auto"/>
          <w:color w:val="auto"/>
        </w:rPr>
        <w:t>Data</w:t>
      </w:r>
      <w:r>
        <w:rPr>
          <w:rFonts w:ascii="Arial" w:cs="Arial" w:eastAsia="Arial" w:hAnsi="Arial"/>
          <w:sz w:val="19"/>
          <w:szCs w:val="19"/>
          <w:b w:val="1"/>
          <w:bCs w:val="1"/>
          <w:i w:val="1"/>
          <w:iCs w:val="1"/>
          <w:color w:val="auto"/>
        </w:rPr>
        <w:t>”).</w:t>
      </w:r>
    </w:p>
    <w:p>
      <w:pPr>
        <w:spacing w:after="0" w:line="2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b w:val="1"/>
          <w:bCs w:val="1"/>
          <w:i w:val="1"/>
          <w:iCs w:val="1"/>
          <w:color w:val="auto"/>
        </w:rPr>
        <w:t>You understand that Data may be transferred to Merrill Lynch Bank &amp; Trust Co., FSB, or any successor thereto, or any third parties assisting in the implementation, administration and management of the Plan, that these recipients may be located in your country or elsewhere, including outside the European Economic Area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your Employer, the Company, Affiliates of the Company, Merrill Lynch Bank &amp; Trust Co., FSB, or any successor thereto, and any other possible recipients which may assist the Company (presently or in the future) with implementing, administering and managing your participation in the Plan to receive, possess, use, retain and transfer the Data, in electronic or other form, for the purpose of implementing, administering and managing your participation in the Plan, including any requisite transfer of such Data as may be required to any other broker, escrow agent or other third party with whom the Shares received upon vesting of the Units may be deposited. You understand that Data will be held only as long as is necessary to implement, administer and manage your participation in the Plan.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 Units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XVI. </w:t>
      </w:r>
      <w:r>
        <w:rPr>
          <w:rFonts w:ascii="Arial" w:cs="Arial" w:eastAsia="Arial" w:hAnsi="Arial"/>
          <w:sz w:val="22"/>
          <w:szCs w:val="22"/>
          <w:u w:val="single" w:color="auto"/>
          <w:color w:val="auto"/>
        </w:rPr>
        <w:t>Language</w:t>
      </w:r>
      <w:r>
        <w:rPr>
          <w:rFonts w:ascii="Arial" w:cs="Arial" w:eastAsia="Arial" w:hAnsi="Arial"/>
          <w:sz w:val="22"/>
          <w:szCs w:val="22"/>
          <w:color w:val="auto"/>
        </w:rPr>
        <w:t>. If you have received this Agreement or any other document related to the Plan translated into a language other than English and if the meaning of the translated version is different than the English version, the English version will control.</w:t>
      </w:r>
    </w:p>
    <w:p>
      <w:pPr>
        <w:spacing w:after="0" w:line="22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XVII. </w:t>
      </w:r>
      <w:r>
        <w:rPr>
          <w:rFonts w:ascii="Arial" w:cs="Arial" w:eastAsia="Arial" w:hAnsi="Arial"/>
          <w:sz w:val="22"/>
          <w:szCs w:val="22"/>
          <w:u w:val="single" w:color="auto"/>
          <w:color w:val="auto"/>
        </w:rPr>
        <w:t>Imposition of Other Requirements</w:t>
      </w:r>
      <w:r>
        <w:rPr>
          <w:rFonts w:ascii="Arial" w:cs="Arial" w:eastAsia="Arial" w:hAnsi="Arial"/>
          <w:sz w:val="22"/>
          <w:szCs w:val="22"/>
          <w:color w:val="auto"/>
        </w:rPr>
        <w:t>. The Company reserves the right to impose other requirements on your participation in the Plan, on the Units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XVIII. </w:t>
      </w:r>
      <w:r>
        <w:rPr>
          <w:rFonts w:ascii="Arial" w:cs="Arial" w:eastAsia="Arial" w:hAnsi="Arial"/>
          <w:sz w:val="22"/>
          <w:szCs w:val="22"/>
          <w:u w:val="single" w:color="auto"/>
          <w:color w:val="auto"/>
        </w:rPr>
        <w:t>Compensation Subject to Recovery</w:t>
      </w:r>
      <w:r>
        <w:rPr>
          <w:rFonts w:ascii="Arial" w:cs="Arial" w:eastAsia="Arial" w:hAnsi="Arial"/>
          <w:sz w:val="22"/>
          <w:szCs w:val="22"/>
          <w:color w:val="auto"/>
        </w:rPr>
        <w:t>. The Units subject to this Award and all compensation payable with respect to them shall be subject to recovery by the Company pursuant to any and all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53" w:name="page54"/>
    <w:bookmarkEnd w:id="53"/>
    <w:p>
      <w:pPr>
        <w:jc w:val="both"/>
        <w:ind w:right="20"/>
        <w:spacing w:after="0" w:line="263" w:lineRule="auto"/>
        <w:rPr>
          <w:sz w:val="20"/>
          <w:szCs w:val="20"/>
          <w:color w:val="auto"/>
        </w:rPr>
      </w:pPr>
      <w:r>
        <w:rPr>
          <w:rFonts w:ascii="Arial" w:cs="Arial" w:eastAsia="Arial" w:hAnsi="Arial"/>
          <w:sz w:val="22"/>
          <w:szCs w:val="22"/>
          <w:color w:val="auto"/>
        </w:rPr>
        <w:t>Company’s policies with respect to the recovery of compensation, as they shall be in effect and may be amended from time to time, to the maximum extent permitted by applicable law.</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XIX. </w:t>
      </w:r>
      <w:r>
        <w:rPr>
          <w:rFonts w:ascii="Arial" w:cs="Arial" w:eastAsia="Arial" w:hAnsi="Arial"/>
          <w:sz w:val="22"/>
          <w:szCs w:val="22"/>
          <w:u w:val="single" w:color="auto"/>
          <w:color w:val="auto"/>
        </w:rPr>
        <w:t>Waiver</w:t>
      </w:r>
      <w:r>
        <w:rPr>
          <w:rFonts w:ascii="Arial" w:cs="Arial" w:eastAsia="Arial" w:hAnsi="Arial"/>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AMGEN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_____________________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54" w:name="page55"/>
    <w:bookmarkEnd w:id="54"/>
    <w:p>
      <w:pPr>
        <w:ind w:left="5060"/>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AND/OR RESTATED FROM TIME TO TIME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OF RESTRICTED STOCK UNITS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COUNTRY)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capitalized terms used but not defined in this Appendix A shall have the meanings set forth in the Plan and/or the Agreement to which this Appendix is attached.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Appendix includes additional terms and conditions that govern any Units granted under the Plan if, under applicable law, you are a resident of, are deemed to be a resident of or are working in one of the countries listed below. Furthermore, the additional terms and conditions that govern any Units granted hereunder may apply to you if you relocate to one of the countries listed below and the Company shall, in its discretion, determine to what extent the terms and conditions contained herein shall apply to you.</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2014.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vest in the Units and acquire Shares under the Plan, or when you subsequently sell Shares acquired under the Plan.</w:t>
      </w:r>
    </w:p>
    <w:p>
      <w:pPr>
        <w:spacing w:after="0" w:line="15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ALL NON-U.S. JURISDICTIONS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Insider Trading Restrictions/Market Abuse Laws. </w:t>
      </w:r>
      <w:r>
        <w:rPr>
          <w:rFonts w:ascii="Arial" w:cs="Arial" w:eastAsia="Arial" w:hAnsi="Arial"/>
          <w:sz w:val="19"/>
          <w:szCs w:val="19"/>
          <w:color w:val="auto"/>
        </w:rPr>
        <w:t>You acknowledge that, depending on your country, you may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insider trading restrictions and/or market abuse laws, which may affect your ability to acquire or sell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your compliance with any applicable restrictions and are advised to speak with your personal legal advisor on this matter.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w:t>
      </w:r>
    </w:p>
    <w:p>
      <w:pPr>
        <w:sectPr>
          <w:pgSz w:w="11900" w:h="16838" w:orient="portrait"/>
          <w:cols w:equalWidth="0" w:num="1">
            <w:col w:w="11420"/>
          </w:cols>
          <w:pgMar w:left="240" w:top="369"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Exchange control reporting is required for cash transactions exceeding AUD10,000 and for</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fund transfers. If an Australian bank is assisting with the transaction, the bank will file the report on your behalf.</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If you acquire Shares under the Plan and offer the Shares for sale to a person or entity resident in</w:t>
      </w:r>
      <w:r>
        <w:rPr>
          <w:rFonts w:ascii="Arial" w:cs="Arial" w:eastAsia="Arial" w:hAnsi="Arial"/>
          <w:sz w:val="22"/>
          <w:szCs w:val="22"/>
          <w:b w:val="1"/>
          <w:bCs w:val="1"/>
          <w:color w:val="auto"/>
        </w:rPr>
        <w:t xml:space="preserve"> </w:t>
      </w:r>
      <w:r>
        <w:rPr>
          <w:rFonts w:ascii="Arial" w:cs="Arial" w:eastAsia="Arial" w:hAnsi="Arial"/>
          <w:sz w:val="22"/>
          <w:szCs w:val="22"/>
          <w:color w:val="auto"/>
        </w:rPr>
        <w:t>Australia, the offer may be subject to disclosure requirements under Australian law. You should consult with your own legal advisor before making any such offer in Australia.</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hold Shares acquired under the Plan outside of Austria, you must submit a report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Austrian National Bank. An exemption applies if the value of the Shares as of any given quarter does not meet or exceed €30,000,000 or if the value of the Shares in any given year as of December 31 does not meet or exceed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 separate reporting requirement applies when you sell Shares acquired under the Plan, receive a cash dividend paid on such Shares or Dividend Equivalents paid in cash.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Arial" w:cs="Arial" w:eastAsia="Arial" w:hAnsi="Arial"/>
          <w:sz w:val="21"/>
          <w:szCs w:val="21"/>
          <w:i w:val="1"/>
          <w:iCs w:val="1"/>
          <w:color w:val="auto"/>
        </w:rPr>
        <w:t>Meldungen SI-Forderungen und/oder SI-Verpflichtungen</w:t>
      </w:r>
      <w:r>
        <w:rPr>
          <w:rFonts w:ascii="Arial" w:cs="Arial" w:eastAsia="Arial" w:hAnsi="Arial"/>
          <w:sz w:val="21"/>
          <w:szCs w:val="2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Tax Reporting; Foreign Asset/Account Reporting Information. </w:t>
      </w:r>
      <w:r>
        <w:rPr>
          <w:rFonts w:ascii="Arial" w:cs="Arial" w:eastAsia="Arial" w:hAnsi="Arial"/>
          <w:sz w:val="22"/>
          <w:szCs w:val="22"/>
          <w:color w:val="auto"/>
        </w:rPr>
        <w:t>You are required to report any taxable income attributable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Units granted hereunder on your annual tax return. You are also required to report any security and bank accounts opened and maintained outside Belgium on your annual tax return. In a separate report, you are required to provide the National Bank of Belgium with the account details of any such foreign accounts.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By accepting the Units, you acknowledge that you agree to comply with applicable Brazilian laws and pay</w:t>
      </w:r>
      <w:r>
        <w:rPr>
          <w:rFonts w:ascii="Arial" w:cs="Arial" w:eastAsia="Arial" w:hAnsi="Arial"/>
          <w:sz w:val="22"/>
          <w:szCs w:val="22"/>
          <w:b w:val="1"/>
          <w:bCs w:val="1"/>
          <w:color w:val="auto"/>
        </w:rPr>
        <w:t xml:space="preserve"> </w:t>
      </w:r>
      <w:r>
        <w:rPr>
          <w:rFonts w:ascii="Arial" w:cs="Arial" w:eastAsia="Arial" w:hAnsi="Arial"/>
          <w:sz w:val="22"/>
          <w:szCs w:val="22"/>
          <w:color w:val="auto"/>
        </w:rPr>
        <w:t>any and all applicable taxes associated with the vesting of the Units, the sale of Shares acquired under the Plan, the payment of dividends on such Shares and the receipt of any Dividend Equivalents paid in cash.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420"/>
          </w:cols>
          <w:pgMar w:left="240" w:top="369"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 xml:space="preserve">Acknowledgment of Nature of Plan and Units. </w:t>
      </w:r>
      <w:r>
        <w:rPr>
          <w:rFonts w:ascii="Arial" w:cs="Arial" w:eastAsia="Arial" w:hAnsi="Arial"/>
          <w:sz w:val="22"/>
          <w:szCs w:val="22"/>
          <w:color w:val="auto"/>
        </w:rPr>
        <w:t>This provision supplements Section XI of the Agreement: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the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assets and rights held outside of Brazil to the Central Bank of Brazil if the aggregate value of such assets and rights equals or exceeds US$100,000. Assets and rights that must be reported include the following: (i) bank deposits; (ii) loans; (iii) financing transactions; (iv) leases; (v) direct investments; (vi) portfolio investments, including Shares acquired under the Plan; (vii) 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BULGARIA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Section I(i) of the Agreement is amended to read as follows:</w:t>
      </w:r>
    </w:p>
    <w:p>
      <w:pPr>
        <w:spacing w:after="0" w:line="226" w:lineRule="exact"/>
        <w:rPr>
          <w:sz w:val="20"/>
          <w:szCs w:val="20"/>
          <w:color w:val="auto"/>
        </w:rPr>
      </w:pPr>
    </w:p>
    <w:p>
      <w:pPr>
        <w:jc w:val="both"/>
        <w:ind w:firstLine="8"/>
        <w:spacing w:after="0" w:line="246" w:lineRule="auto"/>
        <w:tabs>
          <w:tab w:leader="none" w:pos="258" w:val="left"/>
        </w:tabs>
        <w:numPr>
          <w:ilvl w:val="0"/>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termination of your active employment</w:t>
      </w:r>
      <w:r>
        <w:rPr>
          <w:rFonts w:ascii="Arial" w:cs="Arial" w:eastAsia="Arial" w:hAnsi="Arial"/>
          <w:sz w:val="22"/>
          <w:szCs w:val="22"/>
          <w:color w:val="auto"/>
        </w:rPr>
        <w:t>” shall mean the last date that you are either an active employee of the Company or an Affiliate or actively engaged as a Director of the Company or an Affiliate; in the event of involuntary termination of your employment (whether or not in breach of local labor laws), your right to receive any Units and vest under the Plan, if any, will terminate effective as of the date that is the earlier of: (1) the date you receive notice of termination of employment from the Company or your Employer, or (2) the date you are no longer actively employed by the Company or your Employer regardless of any notice period or period of pay in lieu of such notice required under local law (including, but not limited to statutory law, regulatory law and/or common law). Your right, if any, to acquire Shares pursuant to the Units after termination of employment will be measured by the date of termination of your active employment and will not be extended by any notice period mandated under local law;</w:t>
      </w:r>
    </w:p>
    <w:p>
      <w:pPr>
        <w:spacing w:after="0" w:line="186"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Form of Settlement -- Units Payable Only in Shares. </w:t>
      </w:r>
      <w:r>
        <w:rPr>
          <w:rFonts w:ascii="Arial" w:cs="Arial" w:eastAsia="Arial" w:hAnsi="Arial"/>
          <w:sz w:val="22"/>
          <w:szCs w:val="22"/>
          <w:color w:val="auto"/>
        </w:rPr>
        <w:t>Notwithstanding any discretion in the Plan or anything to the contrary in</w:t>
      </w:r>
      <w:r>
        <w:rPr>
          <w:rFonts w:ascii="Arial" w:cs="Arial" w:eastAsia="Arial" w:hAnsi="Arial"/>
          <w:sz w:val="22"/>
          <w:szCs w:val="22"/>
          <w:b w:val="1"/>
          <w:bCs w:val="1"/>
          <w:color w:val="auto"/>
        </w:rPr>
        <w:t xml:space="preserve"> </w:t>
      </w:r>
      <w:r>
        <w:rPr>
          <w:rFonts w:ascii="Arial" w:cs="Arial" w:eastAsia="Arial" w:hAnsi="Arial"/>
          <w:sz w:val="22"/>
          <w:szCs w:val="22"/>
          <w:color w:val="auto"/>
        </w:rPr>
        <w:t>the Agreement, the Units do not provide any right for you, as a resident of Canada, to receive a cash payment and shall be paid in Shares only.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provisions will apply to you if you are a resident of Quebec:</w:t>
      </w:r>
    </w:p>
    <w:p>
      <w:pPr>
        <w:spacing w:after="0" w:line="220"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the Agreement, as well as all documents, 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and legal proceedings entered into, given or instituted pursuant hereto or relating directly or indirectly hereto, be drawn up in English.</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A-3</w:t>
      </w:r>
    </w:p>
    <w:p>
      <w:pPr>
        <w:sectPr>
          <w:pgSz w:w="11900" w:h="16838" w:orient="portrait"/>
          <w:cols w:equalWidth="0" w:num="1">
            <w:col w:w="11420"/>
          </w:cols>
          <w:pgMar w:left="240" w:top="369" w:right="239" w:bottom="1440" w:gutter="0" w:footer="0" w:header="0"/>
        </w:sectPr>
      </w:pPr>
    </w:p>
    <w:bookmarkStart w:id="57" w:name="page58"/>
    <w:bookmarkEnd w:id="57"/>
    <w:p>
      <w:pPr>
        <w:jc w:val="both"/>
        <w:spacing w:after="0" w:line="253" w:lineRule="auto"/>
        <w:rPr>
          <w:sz w:val="20"/>
          <w:szCs w:val="20"/>
          <w:color w:val="auto"/>
        </w:rPr>
      </w:pPr>
      <w:r>
        <w:rPr>
          <w:rFonts w:ascii="Arial" w:cs="Arial" w:eastAsia="Arial" w:hAnsi="Arial"/>
          <w:sz w:val="22"/>
          <w:szCs w:val="22"/>
          <w:i w:val="1"/>
          <w:iCs w:val="1"/>
          <w:color w:val="auto"/>
        </w:rPr>
        <w:t>Les parties reconnaissent avoir exigé la rédaction en anglais de cette convention (</w:t>
      </w:r>
      <w:r>
        <w:rPr>
          <w:rFonts w:ascii="Arial" w:cs="Arial" w:eastAsia="Arial" w:hAnsi="Arial"/>
          <w:sz w:val="22"/>
          <w:szCs w:val="22"/>
          <w:color w:val="auto"/>
        </w:rPr>
        <w:t>“</w:t>
      </w:r>
      <w:r>
        <w:rPr>
          <w:rFonts w:ascii="Arial" w:cs="Arial" w:eastAsia="Arial" w:hAnsi="Arial"/>
          <w:sz w:val="22"/>
          <w:szCs w:val="22"/>
          <w:i w:val="1"/>
          <w:iCs w:val="1"/>
          <w:u w:val="single" w:color="auto"/>
          <w:color w:val="auto"/>
        </w:rPr>
        <w:t>Agreement</w:t>
      </w:r>
      <w:r>
        <w:rPr>
          <w:rFonts w:ascii="Arial" w:cs="Arial" w:eastAsia="Arial" w:hAnsi="Arial"/>
          <w:sz w:val="22"/>
          <w:szCs w:val="22"/>
          <w:color w:val="auto"/>
        </w:rPr>
        <w:t>”</w:t>
      </w:r>
      <w:r>
        <w:rPr>
          <w:rFonts w:ascii="Arial" w:cs="Arial" w:eastAsia="Arial" w:hAnsi="Arial"/>
          <w:sz w:val="22"/>
          <w:szCs w:val="22"/>
          <w:i w:val="1"/>
          <w:iCs w:val="1"/>
          <w:color w:val="auto"/>
        </w:rPr>
        <w:t>), ainsi que de tous documents exécutés, avis donnés et procédures judiciaries intentées, directement ou indirectement, relativement à ou suite à la présente convention.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and Consent. </w:t>
      </w:r>
      <w:r>
        <w:rPr>
          <w:rFonts w:ascii="Arial" w:cs="Arial" w:eastAsia="Arial" w:hAnsi="Arial"/>
          <w:sz w:val="22"/>
          <w:szCs w:val="22"/>
          <w:color w:val="auto"/>
        </w:rPr>
        <w:t>This provision supplements Section XIV of the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You hereby authorize the Company and the Company’s representative to discuss with and obtain all relevant information from all personnel (professional or not) involved in the administration and operation of the Plan. You further authorize the Company and your Employer to disclose and discuss your participation in the Plan with their advisors. You also authorize the Company and your Employer to record such information and keep it in your employee file.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You are permitted to sell Shares acquired through the Plan through the designated broker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if any, provided that the resale of such Shares takes place outside of Canada through the facilities of a stock exchange on which the Shares are listed (</w:t>
      </w:r>
      <w:r>
        <w:rPr>
          <w:rFonts w:ascii="Arial" w:cs="Arial" w:eastAsia="Arial" w:hAnsi="Arial"/>
          <w:sz w:val="22"/>
          <w:szCs w:val="22"/>
          <w:i w:val="1"/>
          <w:iCs w:val="1"/>
          <w:color w:val="auto"/>
        </w:rPr>
        <w:t>e.g</w:t>
      </w:r>
      <w:r>
        <w:rPr>
          <w:rFonts w:ascii="Arial" w:cs="Arial" w:eastAsia="Arial" w:hAnsi="Arial"/>
          <w:sz w:val="22"/>
          <w:szCs w:val="22"/>
          <w:color w:val="auto"/>
        </w:rPr>
        <w:t>., the NASDAQ Global Select Market).</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report any foreign property (including Shares acquired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on form T1135 (Foreign Income Verification Statement) if the total value of the foreign property exceeds C$100,000 at any time in the year. It is not certain if Units qualify as foreign property for purposes of this reporting obligation. The form must be filed by April 30 of the following year. It is your responsibility to comply with this reporting obligation and you should consult your personal tax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Pursuant to Ruling No. 99 of 2001 issued by the Chilean Superintendence of Securities (“</w:t>
      </w:r>
      <w:r>
        <w:rPr>
          <w:rFonts w:ascii="Arial" w:cs="Arial" w:eastAsia="Arial" w:hAnsi="Arial"/>
          <w:sz w:val="22"/>
          <w:szCs w:val="22"/>
          <w:u w:val="single" w:color="auto"/>
          <w:color w:val="auto"/>
        </w:rPr>
        <w:t>CSS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Units nor any Shares acquired under the Plan will be registered under the Registry of Securities held by the CSS nor are they under the control or supervision of the CSS.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are not required to repatriate funds obtained from the sale of Shares or the receipt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dividends or Dividend Equivalents. However, if you decide to repatriate such funds, you must do so through the Formal Exchange Market if the amount of funds exceeds US$10,000. In such case, you must report the payment to a commercial bank or registered foreign exchange office receiving the funds.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Tax Reporting and Registration Information. </w:t>
      </w:r>
      <w:r>
        <w:rPr>
          <w:rFonts w:ascii="Arial" w:cs="Arial" w:eastAsia="Arial" w:hAnsi="Arial"/>
          <w:sz w:val="22"/>
          <w:szCs w:val="22"/>
          <w:color w:val="auto"/>
        </w:rPr>
        <w:t>You must file Tax Form 1851 in relation to any Shares acquired under the Plan that</w:t>
      </w:r>
      <w:r>
        <w:rPr>
          <w:rFonts w:ascii="Arial" w:cs="Arial" w:eastAsia="Arial" w:hAnsi="Arial"/>
          <w:sz w:val="22"/>
          <w:szCs w:val="22"/>
          <w:b w:val="1"/>
          <w:bCs w:val="1"/>
          <w:color w:val="auto"/>
        </w:rPr>
        <w:t xml:space="preserve"> </w:t>
      </w:r>
      <w:r>
        <w:rPr>
          <w:rFonts w:ascii="Arial" w:cs="Arial" w:eastAsia="Arial" w:hAnsi="Arial"/>
          <w:sz w:val="22"/>
          <w:szCs w:val="22"/>
          <w:color w:val="auto"/>
        </w:rPr>
        <w:t>are held abroad and to any taxes paid abroad (if you will be seeking a credit against Chilean income tax owed) with the Chilean Internal Revenue Service (the “</w:t>
      </w:r>
      <w:r>
        <w:rPr>
          <w:rFonts w:ascii="Arial" w:cs="Arial" w:eastAsia="Arial" w:hAnsi="Arial"/>
          <w:sz w:val="22"/>
          <w:szCs w:val="22"/>
          <w:u w:val="single" w:color="auto"/>
          <w:color w:val="auto"/>
        </w:rPr>
        <w:t>CIRS</w:t>
      </w:r>
      <w:r>
        <w:rPr>
          <w:rFonts w:ascii="Arial" w:cs="Arial" w:eastAsia="Arial" w:hAnsi="Arial"/>
          <w:sz w:val="22"/>
          <w:szCs w:val="22"/>
          <w:color w:val="auto"/>
        </w:rPr>
        <w:t xml:space="preserve">”), The form must be submitted through the CIRS web page at </w:t>
      </w:r>
      <w:r>
        <w:rPr>
          <w:rFonts w:ascii="Arial" w:cs="Arial" w:eastAsia="Arial" w:hAnsi="Arial"/>
          <w:sz w:val="22"/>
          <w:szCs w:val="22"/>
          <w:u w:val="single" w:color="auto"/>
          <w:color w:val="auto"/>
        </w:rPr>
        <w:t>www.sii.cl</w:t>
      </w:r>
      <w:r>
        <w:rPr>
          <w:rFonts w:ascii="Arial" w:cs="Arial" w:eastAsia="Arial" w:hAnsi="Arial"/>
          <w:sz w:val="22"/>
          <w:szCs w:val="22"/>
          <w:color w:val="auto"/>
        </w:rPr>
        <w:t xml:space="preserve"> before March 15 of each year.</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Investments abroad must also be registered with the CIRS for you to be entitled to a foreign tax credit for any tax withheld on dividends abroad, if applicable, and such registration also provides evidence of the acquisition price of the Shares (which will be zero) which you will need when the Shares are sold. You are advised to consult with your personal legal advisor regarding how to register with the CIRS.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A-4</w:t>
      </w:r>
    </w:p>
    <w:p>
      <w:pPr>
        <w:sectPr>
          <w:pgSz w:w="11900" w:h="16838" w:orient="portrait"/>
          <w:cols w:equalWidth="0" w:num="1">
            <w:col w:w="11420"/>
          </w:cols>
          <w:pgMar w:left="240" w:top="375" w:right="239" w:bottom="1440"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The following terms apply only to individuals who are subject to exchange control restrictions in the People’s Republic of China (the “PRC”), as determined by the Company in its sole discretion:</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Vesting of the Units. </w:t>
      </w:r>
      <w:r>
        <w:rPr>
          <w:rFonts w:ascii="Arial" w:cs="Arial" w:eastAsia="Arial" w:hAnsi="Arial"/>
          <w:sz w:val="21"/>
          <w:szCs w:val="21"/>
          <w:color w:val="auto"/>
        </w:rPr>
        <w:t>Notwithstanding anything to the contrary in the Form of Award Notice or Award Agreement, the Units shall</w:t>
      </w:r>
      <w:r>
        <w:rPr>
          <w:rFonts w:ascii="Arial" w:cs="Arial" w:eastAsia="Arial" w:hAnsi="Arial"/>
          <w:sz w:val="21"/>
          <w:szCs w:val="21"/>
          <w:b w:val="1"/>
          <w:bCs w:val="1"/>
          <w:color w:val="auto"/>
        </w:rPr>
        <w:t xml:space="preserve"> </w:t>
      </w:r>
      <w:r>
        <w:rPr>
          <w:rFonts w:ascii="Arial" w:cs="Arial" w:eastAsia="Arial" w:hAnsi="Arial"/>
          <w:sz w:val="21"/>
          <w:szCs w:val="21"/>
          <w:color w:val="auto"/>
        </w:rPr>
        <w:t>not vest until all necessary exchange control and other approvals from the PRC State Administration of Foreign Exchange or its local counterpart (“</w:t>
      </w:r>
      <w:r>
        <w:rPr>
          <w:rFonts w:ascii="Arial" w:cs="Arial" w:eastAsia="Arial" w:hAnsi="Arial"/>
          <w:sz w:val="21"/>
          <w:szCs w:val="21"/>
          <w:u w:val="single" w:color="auto"/>
          <w:color w:val="auto"/>
        </w:rPr>
        <w:t>SAFE</w:t>
      </w:r>
      <w:r>
        <w:rPr>
          <w:rFonts w:ascii="Arial" w:cs="Arial" w:eastAsia="Arial" w:hAnsi="Arial"/>
          <w:sz w:val="21"/>
          <w:szCs w:val="21"/>
          <w:color w:val="auto"/>
        </w:rPr>
        <w:t>”) have been received for Units granted under the Plan. Once SAFE approval has been received, and provided you are then employed by the Company or an Affiliate, you will receive vesting credit for that portion of the Units that would have vested prior to obtaining SAFE approval, if applicable, and the remaining portion of the Units will vest in accordance with the Vesting Schedule in the Form of Award Notice. If you terminate employment with the Company and its Affiliates prior to the receipt of SAFE approval, your unvested Units will be forfeited.</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[Further, notwithstanding anything to the contrary in Section I(d) of the Agreement, if your employment with the Company or an Affiliate terminates due to your Voluntary Termination, as defined in Section I(d), then the vesting of Units granted under this Agreement shall be accelerated to vest as of the day immediately preceding such Voluntary Termination with respect to all Units granted hereunder.][*]</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Sale Requirement. </w:t>
      </w:r>
      <w:r>
        <w:rPr>
          <w:rFonts w:ascii="Arial" w:cs="Arial" w:eastAsia="Arial" w:hAnsi="Arial"/>
          <w:sz w:val="19"/>
          <w:szCs w:val="19"/>
          <w:color w:val="auto"/>
        </w:rPr>
        <w:t>Notwithstanding anything to the contrary in the Agreement, due to exchange control laws in the PRC, you</w:t>
      </w:r>
      <w:r>
        <w:rPr>
          <w:rFonts w:ascii="Arial" w:cs="Arial" w:eastAsia="Arial" w:hAnsi="Arial"/>
          <w:sz w:val="19"/>
          <w:szCs w:val="19"/>
          <w:b w:val="1"/>
          <w:bCs w:val="1"/>
          <w:color w:val="auto"/>
        </w:rPr>
        <w:t xml:space="preserve"> </w:t>
      </w:r>
      <w:r>
        <w:rPr>
          <w:rFonts w:ascii="Arial" w:cs="Arial" w:eastAsia="Arial" w:hAnsi="Arial"/>
          <w:sz w:val="19"/>
          <w:szCs w:val="19"/>
          <w:color w:val="auto"/>
        </w:rPr>
        <w:t>agree that the Company reserves the right to require the immediate sale of any Shares issued upon settlement of the Units. You understand and agree that any such immediate sale of Shares will occur as soon as is practical following settlement of the Units. Alternatively, if the Shares are not immediately sold upon settlement of the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5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91"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Designated Broker Account. </w:t>
      </w:r>
      <w:r>
        <w:rPr>
          <w:rFonts w:ascii="Arial" w:cs="Arial" w:eastAsia="Arial" w:hAnsi="Arial"/>
          <w:sz w:val="22"/>
          <w:szCs w:val="22"/>
          <w:color w:val="auto"/>
        </w:rPr>
        <w:t>If Shares issued upon the settlement of the Units are not immediately sold, you acknowledge that</w:t>
      </w:r>
      <w:r>
        <w:rPr>
          <w:rFonts w:ascii="Arial" w:cs="Arial" w:eastAsia="Arial" w:hAnsi="Arial"/>
          <w:sz w:val="22"/>
          <w:szCs w:val="22"/>
          <w:b w:val="1"/>
          <w:bCs w:val="1"/>
          <w:color w:val="auto"/>
        </w:rPr>
        <w:t xml:space="preserve"> </w:t>
      </w:r>
      <w:r>
        <w:rPr>
          <w:rFonts w:ascii="Arial" w:cs="Arial" w:eastAsia="Arial" w:hAnsi="Arial"/>
          <w:sz w:val="22"/>
          <w:szCs w:val="22"/>
          <w:color w:val="auto"/>
        </w:rPr>
        <w:t>you are required to maintain the Shares in an account with Merrill Lynch Bank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A-5</w:t>
      </w:r>
    </w:p>
    <w:p>
      <w:pPr>
        <w:sectPr>
          <w:pgSz w:w="11900" w:h="16838" w:orient="portrait"/>
          <w:cols w:equalWidth="0" w:num="1">
            <w:col w:w="11420"/>
          </w:cols>
          <w:pgMar w:left="240" w:top="591" w:right="239" w:bottom="1440" w:gutter="0" w:footer="0" w:header="0"/>
        </w:sectPr>
      </w:pPr>
    </w:p>
    <w:bookmarkStart w:id="59" w:name="page60"/>
    <w:bookmarkEnd w:id="59"/>
    <w:p>
      <w:pPr>
        <w:jc w:val="both"/>
        <w:ind w:right="20"/>
        <w:spacing w:after="0" w:line="263" w:lineRule="auto"/>
        <w:rPr>
          <w:sz w:val="20"/>
          <w:szCs w:val="20"/>
          <w:color w:val="auto"/>
        </w:rPr>
      </w:pPr>
      <w:r>
        <w:rPr>
          <w:rFonts w:ascii="Arial" w:cs="Arial" w:eastAsia="Arial" w:hAnsi="Arial"/>
          <w:sz w:val="22"/>
          <w:szCs w:val="22"/>
          <w:color w:val="auto"/>
        </w:rPr>
        <w:t>Trust Co., FSB or such other designated broker as may be selected by the Company until the Shares are sold through such Company-designated broker.</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understand and agree that, pursuant to local exchange control requirements, you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repatriate the cash proceeds from the sale of the Shares issued to you upon settlement of the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the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Effective January 1, 2014, PRC residents are required to report to SAFE details</w:t>
      </w:r>
      <w:r>
        <w:rPr>
          <w:rFonts w:ascii="Arial" w:cs="Arial" w:eastAsia="Arial" w:hAnsi="Arial"/>
          <w:sz w:val="22"/>
          <w:szCs w:val="22"/>
          <w:b w:val="1"/>
          <w:bCs w:val="1"/>
          <w:color w:val="auto"/>
        </w:rPr>
        <w:t xml:space="preserve"> </w:t>
      </w:r>
      <w:r>
        <w:rPr>
          <w:rFonts w:ascii="Arial" w:cs="Arial" w:eastAsia="Arial" w:hAnsi="Arial"/>
          <w:sz w:val="22"/>
          <w:szCs w:val="22"/>
          <w:color w:val="auto"/>
        </w:rPr>
        <w:t>of their foreign financial assets and liabilities, as well as details of any economic transactions conducted with non-PRC residents, either directly or through financial institutions. Shares or Units acquired under the Plan and Plan-related transactions may be subject to reporting under these new rules. It is your responsibility to comply with this reporting obligation and you should consult your personal tax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Investment in assets located abroad (such as Shares acquired under the Plan) does not require</w:t>
      </w:r>
      <w:r>
        <w:rPr>
          <w:rFonts w:ascii="Arial" w:cs="Arial" w:eastAsia="Arial" w:hAnsi="Arial"/>
          <w:sz w:val="19"/>
          <w:szCs w:val="19"/>
          <w:b w:val="1"/>
          <w:bCs w:val="1"/>
          <w:color w:val="auto"/>
        </w:rPr>
        <w:t xml:space="preserve"> </w:t>
      </w:r>
      <w:r>
        <w:rPr>
          <w:rFonts w:ascii="Arial" w:cs="Arial" w:eastAsia="Arial" w:hAnsi="Arial"/>
          <w:sz w:val="19"/>
          <w:szCs w:val="19"/>
          <w:color w:val="auto"/>
        </w:rPr>
        <w:t>prior approval from the Central Bank (</w:t>
      </w:r>
      <w:r>
        <w:rPr>
          <w:rFonts w:ascii="Arial" w:cs="Arial" w:eastAsia="Arial" w:hAnsi="Arial"/>
          <w:sz w:val="19"/>
          <w:szCs w:val="19"/>
          <w:i w:val="1"/>
          <w:iCs w:val="1"/>
          <w:color w:val="auto"/>
        </w:rPr>
        <w:t>Banco de la República</w:t>
      </w:r>
      <w:r>
        <w:rPr>
          <w:rFonts w:ascii="Arial" w:cs="Arial" w:eastAsia="Arial" w:hAnsi="Arial"/>
          <w:sz w:val="19"/>
          <w:szCs w:val="19"/>
          <w:color w:val="auto"/>
        </w:rPr>
        <w:t>). However, if the value of your aggregate investments held abroad (including Shares) equals or exceeds US$500,000 as of December 31 of the applicable calendar year, these investments must be registered with the Central Bank. Upon sale or other disposition of investments (including Shares) which have been registered with the Central Bank, the registration with the Central Bank must be cancelled no later than March 31 of the year following the year of the sale or disposition (or a fine of up to 200% of the value of the infringing payment will apply).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CROATIA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Croatian residents must report any foreign investments (including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to the Croatian National Bank for statistical purposes and obtain prior approval of 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A-6</w:t>
      </w:r>
    </w:p>
    <w:p>
      <w:pPr>
        <w:sectPr>
          <w:pgSz w:w="11900" w:h="16838" w:orient="portrait"/>
          <w:cols w:equalWidth="0" w:num="1">
            <w:col w:w="11420"/>
          </w:cols>
          <w:pgMar w:left="240" w:top="375"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Proceeds from the sale of Shares, any dividends paid on such Shares or 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may be held in a cash account abroad and you are no longer required to report the opening and maintenance of a foreign account to the Czech National Bank (the “</w:t>
      </w:r>
      <w:r>
        <w:rPr>
          <w:rFonts w:ascii="Arial" w:cs="Arial" w:eastAsia="Arial" w:hAnsi="Arial"/>
          <w:sz w:val="19"/>
          <w:szCs w:val="19"/>
          <w:u w:val="single" w:color="auto"/>
          <w:color w:val="auto"/>
        </w:rPr>
        <w:t>CNB</w:t>
      </w:r>
      <w:r>
        <w:rPr>
          <w:rFonts w:ascii="Arial" w:cs="Arial" w:eastAsia="Arial" w:hAnsi="Arial"/>
          <w:sz w:val="19"/>
          <w:szCs w:val="19"/>
          <w:color w:val="auto"/>
        </w:rPr>
        <w:t>”), unless the CNB notifies you specifically that such reporting is required. Upon request of the CNB, you may need to file a notification within 15 days of the end of the calendar quarter in which you acquire Shares.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Danish Stock Option Act. </w:t>
      </w:r>
      <w:r>
        <w:rPr>
          <w:rFonts w:ascii="Arial" w:cs="Arial" w:eastAsia="Arial" w:hAnsi="Arial"/>
          <w:sz w:val="19"/>
          <w:szCs w:val="19"/>
          <w:color w:val="auto"/>
        </w:rPr>
        <w:t>In accepting the Units, you acknowledge that you have received an Employer Statement translated into</w:t>
      </w:r>
      <w:r>
        <w:rPr>
          <w:rFonts w:ascii="Arial" w:cs="Arial" w:eastAsia="Arial" w:hAnsi="Arial"/>
          <w:sz w:val="19"/>
          <w:szCs w:val="19"/>
          <w:b w:val="1"/>
          <w:bCs w:val="1"/>
          <w:color w:val="auto"/>
        </w:rPr>
        <w:t xml:space="preserve"> </w:t>
      </w:r>
      <w:r>
        <w:rPr>
          <w:rFonts w:ascii="Arial" w:cs="Arial" w:eastAsia="Arial" w:hAnsi="Arial"/>
          <w:sz w:val="19"/>
          <w:szCs w:val="19"/>
          <w:color w:val="auto"/>
        </w:rPr>
        <w:t>Danish, which is being provided to comply with the Danish Stock Option Act. To the extent more favorable to you and required to comply with the Stock Option Act, the terms set forth in the Employer Statement will apply to your participation in the Plan.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establish an account holding Shares or an account holding cash outside</w:t>
      </w:r>
      <w:r>
        <w:rPr>
          <w:rFonts w:ascii="Arial" w:cs="Arial" w:eastAsia="Arial" w:hAnsi="Arial"/>
          <w:sz w:val="19"/>
          <w:szCs w:val="19"/>
          <w:b w:val="1"/>
          <w:bCs w:val="1"/>
          <w:color w:val="auto"/>
        </w:rPr>
        <w:t xml:space="preserve"> </w:t>
      </w:r>
      <w:r>
        <w:rPr>
          <w:rFonts w:ascii="Arial" w:cs="Arial" w:eastAsia="Arial" w:hAnsi="Arial"/>
          <w:sz w:val="19"/>
          <w:szCs w:val="19"/>
          <w:color w:val="auto"/>
        </w:rPr>
        <w:t>Denmark, you must report the account to the Danish Tax Administration. The form which should be used in this respect can be obtained from a local bank. (These obligations are separate from and in addition to the obligations described below.)</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Securities/Tax Reporting Information. </w:t>
      </w:r>
      <w:r>
        <w:rPr>
          <w:rFonts w:ascii="Arial" w:cs="Arial" w:eastAsia="Arial" w:hAnsi="Arial"/>
          <w:sz w:val="19"/>
          <w:szCs w:val="19"/>
          <w:color w:val="auto"/>
        </w:rPr>
        <w:t>If you hold Shares acquired under the Plan in a brokerage account with a broker or bank</w:t>
      </w:r>
      <w:r>
        <w:rPr>
          <w:rFonts w:ascii="Arial" w:cs="Arial" w:eastAsia="Arial" w:hAnsi="Arial"/>
          <w:sz w:val="19"/>
          <w:szCs w:val="19"/>
          <w:b w:val="1"/>
          <w:bCs w:val="1"/>
          <w:color w:val="auto"/>
        </w:rPr>
        <w:t xml:space="preserve"> </w:t>
      </w:r>
      <w:r>
        <w:rPr>
          <w:rFonts w:ascii="Arial" w:cs="Arial" w:eastAsia="Arial" w:hAnsi="Arial"/>
          <w:sz w:val="19"/>
          <w:szCs w:val="19"/>
          <w:color w:val="auto"/>
        </w:rPr>
        <w:t>outside Denmark, you are required to inform the Danish Tax Administration about the account. For this purpose, you must sign and file a Form V (</w:t>
      </w:r>
      <w:r>
        <w:rPr>
          <w:rFonts w:ascii="Arial" w:cs="Arial" w:eastAsia="Arial" w:hAnsi="Arial"/>
          <w:sz w:val="19"/>
          <w:szCs w:val="19"/>
          <w:i w:val="1"/>
          <w:iCs w:val="1"/>
          <w:color w:val="auto"/>
        </w:rPr>
        <w:t>Erklaering V</w:t>
      </w:r>
      <w:r>
        <w:rPr>
          <w:rFonts w:ascii="Arial" w:cs="Arial" w:eastAsia="Arial" w:hAnsi="Arial"/>
          <w:sz w:val="19"/>
          <w:szCs w:val="19"/>
          <w:color w:val="auto"/>
        </w:rPr>
        <w:t>) with the Danish Tax Administration.Both you and the broker or bank must sign the Form V. By signing the Form V, the broker or bank undertakes an obligation, without further request each year and not later than February 1 of the year following the calendar year to which the information relates, to forward information to the Danish Tax Administration concerning the Shares in the account. In the event that the applicable broker or bank with which the account is held does not also sign the Form V, you acknowledge that you are solely responsible for providing certain details regarding the foreign brokerage or bank account and any Shares acquired under the Plan and held in such account to the Danish Tax Administration as part of your annual income tax return. By signing the Form V, you authorize the Danish Tax Administration to examine the account.</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 addition, if you open a brokerage account or a bank account with a U.S. bank, the account will be treated as a "deposit account" because cash can be held in the account. Therefore, you likely must also file a Form K (</w:t>
      </w:r>
      <w:r>
        <w:rPr>
          <w:rFonts w:ascii="Arial" w:cs="Arial" w:eastAsia="Arial" w:hAnsi="Arial"/>
          <w:sz w:val="19"/>
          <w:szCs w:val="19"/>
          <w:i w:val="1"/>
          <w:iCs w:val="1"/>
          <w:color w:val="auto"/>
        </w:rPr>
        <w:t>Erklaering K</w:t>
      </w:r>
      <w:r>
        <w:rPr>
          <w:rFonts w:ascii="Arial" w:cs="Arial" w:eastAsia="Arial" w:hAnsi="Arial"/>
          <w:sz w:val="19"/>
          <w:szCs w:val="19"/>
          <w:color w:val="auto"/>
        </w:rPr>
        <w:t xml:space="preserve">) with the Danish Tax Administration. The Form K must be signed by you and by the applicable broker or bank where the account is held, unless an exemption from the broker/bank signature requirement is obtained from the Danish Tax Administration (which exemption may be sought on the Form K itself). By signing the Form K, you (and the broker/bank to the extent the exemption is not obtained) undertake an obligation, without further request each year, to forward information to the Danish Tax Administration concerning the content of the account. If the applicable broker or bank does not sign the Form K for any reason, you are solely responsible for providing the necessary information to the Danish Tax Administration. By signing the Form K, you authorize the Danish Tax Administration to examine the account. A sample of Declaration K can be found at the following website: </w:t>
      </w:r>
      <w:r>
        <w:rPr>
          <w:rFonts w:ascii="Arial" w:cs="Arial" w:eastAsia="Arial" w:hAnsi="Arial"/>
          <w:sz w:val="19"/>
          <w:szCs w:val="19"/>
          <w:u w:val="single" w:color="auto"/>
          <w:color w:val="auto"/>
        </w:rPr>
        <w:t>www.skat.dk</w:t>
      </w:r>
      <w:r>
        <w:rPr>
          <w:rFonts w:ascii="Arial" w:cs="Arial" w:eastAsia="Arial" w:hAnsi="Arial"/>
          <w:sz w:val="19"/>
          <w:szCs w:val="19"/>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A-7</w:t>
      </w:r>
    </w:p>
    <w:p>
      <w:pPr>
        <w:sectPr>
          <w:pgSz w:w="11900" w:h="16838" w:orient="portrait"/>
          <w:cols w:equalWidth="0" w:num="1">
            <w:col w:w="11420"/>
          </w:cols>
          <w:pgMar w:left="240" w:top="591" w:right="2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transfer funds into Egypt in connection with the Units, you are required to transfer the</w:t>
      </w:r>
      <w:r>
        <w:rPr>
          <w:rFonts w:ascii="Arial" w:cs="Arial" w:eastAsia="Arial" w:hAnsi="Arial"/>
          <w:sz w:val="22"/>
          <w:szCs w:val="22"/>
          <w:b w:val="1"/>
          <w:bCs w:val="1"/>
          <w:color w:val="auto"/>
        </w:rPr>
        <w:t xml:space="preserve"> </w:t>
      </w:r>
      <w:r>
        <w:rPr>
          <w:rFonts w:ascii="Arial" w:cs="Arial" w:eastAsia="Arial" w:hAnsi="Arial"/>
          <w:sz w:val="22"/>
          <w:szCs w:val="22"/>
          <w:color w:val="auto"/>
        </w:rPr>
        <w:t>funds through a registered bank in Egypt.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grant, you confirm having read and understood the Plan and Agreement which were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English language. You accept the terms of those documents accordingly.</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 acceptant l’attribution, vous confirmez avoir lu et compris le Plan et le Contrat, qui ont été communiqués en langue anglaise.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Vous acceptez les termes de ces documents en connaissance de cause.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If you hold Shares outside of France or maintain a foreign bank account, you are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to report such to the French tax authorities when filing your annual tax return. Failure to comply could trigger significant penalties.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Exchange Control Information</w:t>
      </w:r>
      <w:r>
        <w:rPr>
          <w:rFonts w:ascii="Arial" w:cs="Arial" w:eastAsia="Arial" w:hAnsi="Arial"/>
          <w:sz w:val="22"/>
          <w:szCs w:val="22"/>
          <w:color w:val="auto"/>
        </w:rPr>
        <w:t>. Cross-border payments in excess of €12,500 must be reported monthly to the German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Bank (</w:t>
      </w:r>
      <w:r>
        <w:rPr>
          <w:rFonts w:ascii="Arial" w:cs="Arial" w:eastAsia="Arial" w:hAnsi="Arial"/>
          <w:sz w:val="22"/>
          <w:szCs w:val="22"/>
          <w:i w:val="1"/>
          <w:iCs w:val="1"/>
          <w:color w:val="auto"/>
        </w:rPr>
        <w:t>Bundesbank</w:t>
      </w:r>
      <w:r>
        <w:rPr>
          <w:rFonts w:ascii="Arial" w:cs="Arial" w:eastAsia="Arial" w:hAnsi="Arial"/>
          <w:sz w:val="22"/>
          <w:szCs w:val="22"/>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Arial" w:cs="Arial" w:eastAsia="Arial" w:hAnsi="Arial"/>
          <w:sz w:val="22"/>
          <w:szCs w:val="22"/>
          <w:i w:val="1"/>
          <w:iCs w:val="1"/>
          <w:color w:val="auto"/>
        </w:rPr>
        <w:t>Allgemeine Meldeportal Statistik</w:t>
      </w:r>
      <w:r>
        <w:rPr>
          <w:rFonts w:ascii="Arial" w:cs="Arial" w:eastAsia="Arial" w:hAnsi="Arial"/>
          <w:sz w:val="22"/>
          <w:szCs w:val="22"/>
          <w:color w:val="auto"/>
        </w:rPr>
        <w:t xml:space="preserve">) can be accessed via the </w:t>
      </w:r>
      <w:r>
        <w:rPr>
          <w:rFonts w:ascii="Arial" w:cs="Arial" w:eastAsia="Arial" w:hAnsi="Arial"/>
          <w:sz w:val="22"/>
          <w:szCs w:val="22"/>
          <w:i w:val="1"/>
          <w:iCs w:val="1"/>
          <w:color w:val="auto"/>
        </w:rPr>
        <w:t>Bundesbank’s</w:t>
      </w:r>
      <w:r>
        <w:rPr>
          <w:rFonts w:ascii="Arial" w:cs="Arial" w:eastAsia="Arial" w:hAnsi="Arial"/>
          <w:sz w:val="22"/>
          <w:szCs w:val="22"/>
          <w:color w:val="auto"/>
        </w:rPr>
        <w:t xml:space="preserve"> website (</w:t>
      </w:r>
      <w:r>
        <w:rPr>
          <w:rFonts w:ascii="Arial" w:cs="Arial" w:eastAsia="Arial" w:hAnsi="Arial"/>
          <w:sz w:val="22"/>
          <w:szCs w:val="22"/>
          <w:u w:val="single" w:color="auto"/>
          <w:color w:val="auto"/>
        </w:rPr>
        <w:t>www.bundesbank.de</w:t>
      </w:r>
      <w:r>
        <w:rPr>
          <w:rFonts w:ascii="Arial" w:cs="Arial" w:eastAsia="Arial" w:hAnsi="Arial"/>
          <w:sz w:val="22"/>
          <w:szCs w:val="22"/>
          <w:color w:val="auto"/>
        </w:rPr>
        <w:t>) and is available in both German and English. You are responsible for satisfying the reporting obligation.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GREECE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b w:val="1"/>
          <w:bCs w:val="1"/>
          <w:i w:val="1"/>
          <w:iCs w:val="1"/>
          <w:color w:val="auto"/>
        </w:rPr>
        <w:t xml:space="preserve">SECURITIES WARNING: </w:t>
      </w:r>
      <w:r>
        <w:rPr>
          <w:rFonts w:ascii="Arial" w:cs="Arial" w:eastAsia="Arial" w:hAnsi="Arial"/>
          <w:sz w:val="19"/>
          <w:szCs w:val="19"/>
          <w:i w:val="1"/>
          <w:iCs w:val="1"/>
          <w:color w:val="auto"/>
        </w:rPr>
        <w:t>The Units and any Shares issued in respect of the Units do not constitute a public offering of securities</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under Hong Kong law and are available only to members of the Board and Employees.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Units and any documentation related thereto are intended solely for the personal use of each member of the Board and/or Employee and may not be distributed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A-8</w:t>
      </w:r>
    </w:p>
    <w:p>
      <w:pPr>
        <w:sectPr>
          <w:pgSz w:w="11900" w:h="16838" w:orient="portrait"/>
          <w:cols w:equalWidth="0" w:num="1">
            <w:col w:w="11420"/>
          </w:cols>
          <w:pgMar w:left="240" w:top="375" w:right="2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22"/>
          <w:szCs w:val="22"/>
          <w:i w:val="1"/>
          <w:iCs w:val="1"/>
          <w:color w:val="auto"/>
        </w:rPr>
        <w:t>to any other person. If you are in doubt about any of the contents of the Agreement, including this Appendix, or the Plan, you should obtain independent professional advice.</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Units Payable Only in Shares. </w:t>
      </w:r>
      <w:r>
        <w:rPr>
          <w:rFonts w:ascii="Arial" w:cs="Arial" w:eastAsia="Arial" w:hAnsi="Arial"/>
          <w:sz w:val="22"/>
          <w:szCs w:val="22"/>
          <w:color w:val="auto"/>
        </w:rPr>
        <w:t>Notwithstanding any discretion in the Plan or anything to the contrary in the Agreement, the Units</w:t>
      </w:r>
      <w:r>
        <w:rPr>
          <w:rFonts w:ascii="Arial" w:cs="Arial" w:eastAsia="Arial" w:hAnsi="Arial"/>
          <w:sz w:val="22"/>
          <w:szCs w:val="22"/>
          <w:b w:val="1"/>
          <w:bCs w:val="1"/>
          <w:color w:val="auto"/>
        </w:rPr>
        <w:t xml:space="preserve"> </w:t>
      </w:r>
      <w:r>
        <w:rPr>
          <w:rFonts w:ascii="Arial" w:cs="Arial" w:eastAsia="Arial" w:hAnsi="Arial"/>
          <w:sz w:val="22"/>
          <w:szCs w:val="22"/>
          <w:color w:val="auto"/>
        </w:rPr>
        <w:t>do not provide any right for you to receive a cash payment and shall be paid in Shares only.</w:t>
      </w:r>
    </w:p>
    <w:p>
      <w:pPr>
        <w:spacing w:after="0" w:line="162"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Sale of Shares. </w:t>
      </w:r>
      <w:r>
        <w:rPr>
          <w:rFonts w:ascii="Arial" w:cs="Arial" w:eastAsia="Arial" w:hAnsi="Arial"/>
          <w:sz w:val="22"/>
          <w:szCs w:val="22"/>
          <w:color w:val="auto"/>
        </w:rPr>
        <w:t>In the event that Shares are issued in respect of the Units within six (6) months of the Grant Date, you agree that</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not dispose of the Shares prior to the six (6)-month anniversary of the Grant Date.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ind w:right="160"/>
        <w:spacing w:after="0" w:line="269" w:lineRule="auto"/>
        <w:rPr>
          <w:sz w:val="20"/>
          <w:szCs w:val="20"/>
          <w:color w:val="auto"/>
        </w:rPr>
      </w:pPr>
      <w:r>
        <w:rPr>
          <w:rFonts w:ascii="Arial" w:cs="Arial" w:eastAsia="Arial" w:hAnsi="Arial"/>
          <w:sz w:val="22"/>
          <w:szCs w:val="22"/>
          <w:b w:val="1"/>
          <w:bCs w:val="1"/>
          <w:color w:val="auto"/>
        </w:rPr>
        <w:t xml:space="preserve">Nature of Scheme. </w:t>
      </w:r>
      <w:r>
        <w:rPr>
          <w:rFonts w:ascii="Arial" w:cs="Arial" w:eastAsia="Arial" w:hAnsi="Arial"/>
          <w:sz w:val="22"/>
          <w:szCs w:val="22"/>
          <w:color w:val="auto"/>
        </w:rPr>
        <w:t>The Company specifically intends that the Plan will not be an occupational retirement scheme for purposes of</w:t>
      </w:r>
      <w:r>
        <w:rPr>
          <w:rFonts w:ascii="Arial" w:cs="Arial" w:eastAsia="Arial" w:hAnsi="Arial"/>
          <w:sz w:val="22"/>
          <w:szCs w:val="22"/>
          <w:b w:val="1"/>
          <w:bCs w:val="1"/>
          <w:color w:val="auto"/>
        </w:rPr>
        <w:t xml:space="preserve"> </w:t>
      </w:r>
      <w:r>
        <w:rPr>
          <w:rFonts w:ascii="Arial" w:cs="Arial" w:eastAsia="Arial" w:hAnsi="Arial"/>
          <w:sz w:val="22"/>
          <w:szCs w:val="22"/>
          <w:color w:val="auto"/>
        </w:rPr>
        <w:t>the Occupational Retirement Schemes Ordinance.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HUNGARY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should consult with your personal advisor to ensure compliance with applicable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regulations in Iceland as such regulations are subject to frequent change. You are responsible for ensuring compliance with all exchange control laws in Iceland.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understand that you must repatriate any cash dividends paid on Shares acquired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to India or any Dividend Equivalents paid in cash within 180 days of receipt, and any proceeds from the sale of Shares acquired under the Plan within 90 days of receipt. You will receive a foreign inward remittance certificate (“</w:t>
      </w:r>
      <w:r>
        <w:rPr>
          <w:rFonts w:ascii="Arial" w:cs="Arial" w:eastAsia="Arial" w:hAnsi="Arial"/>
          <w:sz w:val="19"/>
          <w:szCs w:val="19"/>
          <w:u w:val="single" w:color="auto"/>
          <w:color w:val="auto"/>
        </w:rPr>
        <w:t>FIRC</w:t>
      </w:r>
      <w:r>
        <w:rPr>
          <w:rFonts w:ascii="Arial" w:cs="Arial" w:eastAsia="Arial" w:hAnsi="Arial"/>
          <w:sz w:val="19"/>
          <w:szCs w:val="19"/>
          <w:color w:val="auto"/>
        </w:rPr>
        <w:t>”) from the bank where you deposit the foreign currency, and you must maintain the FIRC as proof of repatriation of funds in the event that the Reserve Bank of India or the Employer requests proof of repatriation. It is your responsibility to comply with these requirements.</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You are required to declare foreign bank accounts and any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Shares held outside India) in your annual tax return.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Agreement. </w:t>
      </w:r>
      <w:r>
        <w:rPr>
          <w:rFonts w:ascii="Arial" w:cs="Arial" w:eastAsia="Arial" w:hAnsi="Arial"/>
          <w:sz w:val="22"/>
          <w:szCs w:val="22"/>
          <w:color w:val="auto"/>
        </w:rPr>
        <w:t>This provision supplements Section XI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any Units granted hereunder, you understand and agree that the benefits received under the Plan will not be taken into account for any redundancy or unfair dismissal claim.</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A-9</w:t>
      </w:r>
    </w:p>
    <w:p>
      <w:pPr>
        <w:sectPr>
          <w:pgSz w:w="11900" w:h="16838" w:orient="portrait"/>
          <w:cols w:equalWidth="0" w:num="1">
            <w:col w:w="11420"/>
          </w:cols>
          <w:pgMar w:left="240" w:top="375"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you are a director, shadow director or secretary of an Irish Affiliate, you must notify the</w:t>
      </w:r>
      <w:r>
        <w:rPr>
          <w:rFonts w:ascii="Arial" w:cs="Arial" w:eastAsia="Arial" w:hAnsi="Arial"/>
          <w:sz w:val="19"/>
          <w:szCs w:val="19"/>
          <w:b w:val="1"/>
          <w:bCs w:val="1"/>
          <w:color w:val="auto"/>
        </w:rPr>
        <w:t xml:space="preserve"> </w:t>
      </w:r>
      <w:r>
        <w:rPr>
          <w:rFonts w:ascii="Arial" w:cs="Arial" w:eastAsia="Arial" w:hAnsi="Arial"/>
          <w:sz w:val="19"/>
          <w:szCs w:val="19"/>
          <w:color w:val="auto"/>
        </w:rPr>
        <w:t>Irish Affiliate in writing within five (5) business days of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xml:space="preserve"> the Units or Shares), or within five (5) business days of becoming aware of the event giving rise to the notification requirement, or within five</w:t>
      </w:r>
    </w:p>
    <w:p>
      <w:pPr>
        <w:spacing w:after="0" w:line="2" w:lineRule="exact"/>
        <w:rPr>
          <w:sz w:val="20"/>
          <w:szCs w:val="20"/>
          <w:color w:val="auto"/>
        </w:rPr>
      </w:pPr>
    </w:p>
    <w:p>
      <w:pPr>
        <w:jc w:val="both"/>
        <w:ind w:firstLine="8"/>
        <w:spacing w:after="0" w:line="245" w:lineRule="auto"/>
        <w:tabs>
          <w:tab w:leader="none" w:pos="308" w:val="left"/>
        </w:tabs>
        <w:numPr>
          <w:ilvl w:val="0"/>
          <w:numId w:val="37"/>
        </w:numPr>
        <w:rPr>
          <w:rFonts w:ascii="Arial" w:cs="Arial" w:eastAsia="Arial" w:hAnsi="Arial"/>
          <w:sz w:val="22"/>
          <w:szCs w:val="22"/>
          <w:color w:val="auto"/>
        </w:rPr>
      </w:pPr>
      <w:r>
        <w:rPr>
          <w:rFonts w:ascii="Arial" w:cs="Arial" w:eastAsia="Arial" w:hAnsi="Arial"/>
          <w:sz w:val="22"/>
          <w:szCs w:val="22"/>
          <w:color w:val="auto"/>
        </w:rPr>
        <w:t>business days of becoming a director or secretary if such an interest exists at the time. This notification requirement also applies with respect to the interests of a spouse or minor children (whose interests, if any, will be attributed to the director, shadow director or secretary).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replaces Section XIV of the Agreement:</w:t>
      </w:r>
    </w:p>
    <w:p>
      <w:pPr>
        <w:spacing w:after="0" w:line="226" w:lineRule="exact"/>
        <w:rPr>
          <w:sz w:val="20"/>
          <w:szCs w:val="20"/>
          <w:color w:val="auto"/>
        </w:rPr>
      </w:pPr>
    </w:p>
    <w:p>
      <w:pPr>
        <w:jc w:val="both"/>
        <w:spacing w:after="0" w:line="317" w:lineRule="auto"/>
        <w:rPr>
          <w:sz w:val="20"/>
          <w:szCs w:val="20"/>
          <w:color w:val="auto"/>
        </w:rPr>
      </w:pPr>
      <w:r>
        <w:rPr>
          <w:rFonts w:ascii="Arial" w:cs="Arial" w:eastAsia="Arial" w:hAnsi="Arial"/>
          <w:sz w:val="18"/>
          <w:szCs w:val="18"/>
          <w:b w:val="1"/>
          <w:bCs w:val="1"/>
          <w:i w:val="1"/>
          <w:iCs w:val="1"/>
          <w:color w:val="auto"/>
        </w:rPr>
        <w:t>You understand that the Employer, the Company and any Affiliate may hold certain personal information about you, including, but not limited to, your name, home address and telephone number, date of birth, social insurance (to the extent permitted under Italian law) or other identification number, salary, nationality, job title, any shares or directorships held in the Company or any Affiliate, details of all Awards granted, or any other entitlement to Shares awarded, canceled, exercised, vested, unvested or outstanding in your favor, for the exclusive purpose of implementing, managing and administering the Plan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i w:val="1"/>
          <w:iCs w:val="1"/>
          <w:color w:val="auto"/>
        </w:rPr>
        <w:t>You also understand that providing the Company with Data is necessary for the performance of the Plan and that your refusal to provide such Data would make it impossible for the Company to perform its contractual obligations and may affect your ability to participate in the Plan. The Controller of personal data processing is Amgen Inc., with registered offices at One Amgen Center Drive, Thousand Oaks, California 91320, U.S.A., and, pursuant to Legislative Decree no. 196/2003, its Representative in Italy for privacy purposes is Amgen Dompe S.p.A., with registered offices at Via Tazzoli, 6 - 20154 Milan, Italy.</w:t>
      </w:r>
    </w:p>
    <w:p>
      <w:pPr>
        <w:spacing w:after="0" w:line="19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i w:val="1"/>
          <w:iCs w:val="1"/>
          <w:color w:val="auto"/>
        </w:rPr>
        <w:t>You understand that Data will not be publicized, but it may be transferred to banks, other financial institutions, or brokers involved in the management and administration of the Plan. You understand that Data may also be transferred to the independent registered public accounting firm engaged by the Company. You further understand that the Company and/or any Affiliate will transfer Data among themselves as necessary for the purposes of implementing, administering and managing your participation in the Plan, and that the Company and/or any Affiliate may each further transfer Data to third parties assisting the Company in the implementation, administration, and management of the Plan, including any requisite transfer of Data to a broker or other third party with whom you may elect to deposit any Shares acquired at vesting of the Units. Such recipients may receive, possess, use, retain, and transfer Data in electronic or other form, for the purposes of implementing, administering, and managing your participation in the Plan. You understand that these recipients may be located in or outside the European Economic Area, such as in the United States or elsewhere.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A-10</w:t>
      </w:r>
    </w:p>
    <w:p>
      <w:pPr>
        <w:sectPr>
          <w:pgSz w:w="11900" w:h="16838" w:orient="portrait"/>
          <w:cols w:equalWidth="0" w:num="1">
            <w:col w:w="11420"/>
          </w:cols>
          <w:pgMar w:left="240" w:top="591" w:right="2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22"/>
          <w:szCs w:val="22"/>
          <w:b w:val="1"/>
          <w:bCs w:val="1"/>
          <w:i w:val="1"/>
          <w:iCs w:val="1"/>
          <w:color w:val="auto"/>
        </w:rPr>
        <w:t>which Data is collected and with confidentiality and security provisions, as set forth by applicable laws and regulations, with specific reference to Legislative Decree no. 196/2003.</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4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9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Acknowledgement of Nature of Agreement. </w:t>
      </w:r>
      <w:r>
        <w:rPr>
          <w:rFonts w:ascii="Arial" w:cs="Arial" w:eastAsia="Arial" w:hAnsi="Arial"/>
          <w:sz w:val="19"/>
          <w:szCs w:val="19"/>
          <w:color w:val="auto"/>
        </w:rPr>
        <w:t>By accepting any Units granted hereunder, you acknowledge that (1) you have</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a copy of the Plan, the Agreement and this Appendix; (2) you have reviewed the applicable documents in their entirety and fully understand the contents thereof; and (3) you accept all provisions of the Plan, the Agreement and this Appendix.</w:t>
      </w:r>
    </w:p>
    <w:p>
      <w:pPr>
        <w:spacing w:after="0" w:line="13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any Units granted, you further acknowledge that you have read and specifically and explicitly approve, without limitation, the following sections of the Agreement: Section I; Section II; Section III; Section VIII; Section X; Section XI; Section XIV (as replaced by the above consent); Section XVI; and Section XVII.</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Financial Assets Tax. </w:t>
      </w:r>
      <w:r>
        <w:rPr>
          <w:rFonts w:ascii="Arial" w:cs="Arial" w:eastAsia="Arial" w:hAnsi="Arial"/>
          <w:sz w:val="22"/>
          <w:szCs w:val="22"/>
          <w:color w:val="auto"/>
        </w:rPr>
        <w:t>The fair market value of any Shares held outside of Italy is subject to a foreign assets tax. The fair</w:t>
      </w:r>
      <w:r>
        <w:rPr>
          <w:rFonts w:ascii="Arial" w:cs="Arial" w:eastAsia="Arial" w:hAnsi="Arial"/>
          <w:sz w:val="22"/>
          <w:szCs w:val="22"/>
          <w:b w:val="1"/>
          <w:bCs w:val="1"/>
          <w:color w:val="auto"/>
        </w:rPr>
        <w:t xml:space="preserve"> </w:t>
      </w:r>
      <w:r>
        <w:rPr>
          <w:rFonts w:ascii="Arial" w:cs="Arial" w:eastAsia="Arial" w:hAnsi="Arial"/>
          <w:sz w:val="22"/>
          <w:szCs w:val="22"/>
          <w:color w:val="auto"/>
        </w:rPr>
        <w:t>market value is considered to be the value of the Shares on the NASDAQ Global Select Market on December 31 of each year or on the last day in the applicable year on which you held the Shares (or when the Shares are acquired during the course of the year, the tax is levied in proportion to the actual days of holding over the calendar year). You should consult with your personal tax advisor about the foreign financial assets tax.</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will be required to report to the Japanese tax authorities details of any assets</w:t>
      </w:r>
      <w:r>
        <w:rPr>
          <w:rFonts w:ascii="Arial" w:cs="Arial" w:eastAsia="Arial" w:hAnsi="Arial"/>
          <w:sz w:val="22"/>
          <w:szCs w:val="22"/>
          <w:b w:val="1"/>
          <w:bCs w:val="1"/>
          <w:color w:val="auto"/>
        </w:rPr>
        <w:t xml:space="preserve"> </w:t>
      </w:r>
      <w:r>
        <w:rPr>
          <w:rFonts w:ascii="Arial" w:cs="Arial" w:eastAsia="Arial" w:hAnsi="Arial"/>
          <w:sz w:val="22"/>
          <w:szCs w:val="22"/>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JORDAN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A-11</w:t>
      </w:r>
    </w:p>
    <w:p>
      <w:pPr>
        <w:sectPr>
          <w:pgSz w:w="11900" w:h="16838" w:orient="portrait"/>
          <w:cols w:equalWidth="0" w:num="1">
            <w:col w:w="11420"/>
          </w:cols>
          <w:pgMar w:left="240" w:top="375"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KOREA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are required to repatriate any proceeds in excess of US$500,000 realized in a single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from the sale of Shares or the receipt of dividends or Dividend Equivalents to Korea within 18 months of receipt.</w:t>
      </w:r>
    </w:p>
    <w:p>
      <w:pPr>
        <w:spacing w:after="0" w:line="92"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all foreign financial accounts (</w:t>
      </w:r>
      <w:r>
        <w:rPr>
          <w:rFonts w:ascii="Arial" w:cs="Arial" w:eastAsia="Arial" w:hAnsi="Arial"/>
          <w:sz w:val="19"/>
          <w:szCs w:val="19"/>
          <w:i w:val="1"/>
          <w:iCs w:val="1"/>
          <w:color w:val="auto"/>
        </w:rPr>
        <w:t>e.g.</w:t>
      </w:r>
      <w:r>
        <w:rPr>
          <w:rFonts w:ascii="Arial" w:cs="Arial" w:eastAsia="Arial" w:hAnsi="Arial"/>
          <w:sz w:val="19"/>
          <w:szCs w:val="19"/>
          <w:b w:val="1"/>
          <w:bCs w:val="1"/>
          <w:color w:val="auto"/>
        </w:rPr>
        <w:t xml:space="preserve"> </w:t>
      </w:r>
      <w:r>
        <w:rPr>
          <w:rFonts w:ascii="Arial" w:cs="Arial" w:eastAsia="Arial" w:hAnsi="Arial"/>
          <w:sz w:val="19"/>
          <w:szCs w:val="19"/>
          <w:color w:val="auto"/>
        </w:rPr>
        <w:t>non-Korean bank</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brokerage accounts holding Shares, etc.) to the Korean tax authority and file a report regarding such accounts if the value of such accounts exceeds KRW1,000,000,000 (or an equivalent amount in foreign currency). It is your responsibility to comply with this reporting obligation and you should consult your personal tax advisor to ensure compliance with this requirement.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LEBANON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LITHUANIA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Acknowledgement of the Agreement. </w:t>
      </w:r>
      <w:r>
        <w:rPr>
          <w:rFonts w:ascii="Arial" w:cs="Arial" w:eastAsia="Arial" w:hAnsi="Arial"/>
          <w:sz w:val="22"/>
          <w:szCs w:val="22"/>
          <w:color w:val="auto"/>
        </w:rPr>
        <w:t>In accepting the Award granted hereunder, you acknowledge that you have received a copy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 have reviewed the Plan and the Agreement, including this Appendix, in their entirety and fully understand and accept all provisions of the Plan and the Agreement, including this Appendix. You further acknowledge that you have read and specifically and expressly approve the terms and conditions of Section XI of the Agreement, in which the following is clearly described and established:</w:t>
      </w:r>
    </w:p>
    <w:p>
      <w:pPr>
        <w:spacing w:after="0" w:line="233"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Your participation in the Plan does not constitute an acquired right.</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Plan and your participation in the Plan are offered by Amgen Inc. on a wholly discretionary basis.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Your participation in the Plan is voluntary.</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Amgen Inc. and its Affiliates are not responsible for any decrease in the value of the Units granted and/or Shares issued under the Plan.</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Labor Law Acknowledgement and Policy Statement. </w:t>
      </w:r>
      <w:r>
        <w:rPr>
          <w:rFonts w:ascii="Arial" w:cs="Arial" w:eastAsia="Arial" w:hAnsi="Arial"/>
          <w:sz w:val="19"/>
          <w:szCs w:val="19"/>
          <w:color w:val="auto"/>
        </w:rPr>
        <w:t>In accepting any Award granted hereunder, you expressly recognize that</w:t>
      </w:r>
      <w:r>
        <w:rPr>
          <w:rFonts w:ascii="Arial" w:cs="Arial" w:eastAsia="Arial" w:hAnsi="Arial"/>
          <w:sz w:val="19"/>
          <w:szCs w:val="19"/>
          <w:b w:val="1"/>
          <w:bCs w:val="1"/>
          <w:color w:val="auto"/>
        </w:rPr>
        <w:t xml:space="preserve"> </w:t>
      </w:r>
      <w:r>
        <w:rPr>
          <w:rFonts w:ascii="Arial" w:cs="Arial" w:eastAsia="Arial" w:hAnsi="Arial"/>
          <w:sz w:val="19"/>
          <w:szCs w:val="19"/>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Latin America Services, S.A. de C.V. (“</w:t>
      </w:r>
      <w:r>
        <w:rPr>
          <w:rFonts w:ascii="Arial" w:cs="Arial" w:eastAsia="Arial" w:hAnsi="Arial"/>
          <w:sz w:val="19"/>
          <w:szCs w:val="19"/>
          <w:u w:val="single" w:color="auto"/>
          <w:color w:val="auto"/>
        </w:rPr>
        <w:t>Amgen-Mexico</w:t>
      </w:r>
      <w:r>
        <w:rPr>
          <w:rFonts w:ascii="Arial" w:cs="Arial" w:eastAsia="Arial" w:hAnsi="Arial"/>
          <w:sz w:val="19"/>
          <w:szCs w:val="19"/>
          <w:color w:val="auto"/>
        </w:rPr>
        <w:t>”). Based on the foregoing, you expressly recognize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A-12</w:t>
      </w:r>
    </w:p>
    <w:p>
      <w:pPr>
        <w:sectPr>
          <w:pgSz w:w="11900" w:h="16838" w:orient="portrait"/>
          <w:cols w:equalWidth="0" w:num="1">
            <w:col w:w="11420"/>
          </w:cols>
          <w:pgMar w:left="240" w:top="591" w:right="23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22"/>
          <w:szCs w:val="22"/>
          <w:color w:val="auto"/>
        </w:rPr>
        <w:t>that the Plan and the benefits that you may derive from participation in the Plan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further understand that your participation in the Plan is as a result of a unilateral and discretionary decision of Amgen Inc.; therefore, Amgen Inc. reserves the absolute right to amend and/or discontinue your participation in the Plan at any time without any liability to you.</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shareholders, officers, agents or legal representatives with respect to any claim that may arise.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20"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Reconocimiento del Otorgamiento. </w:t>
      </w:r>
      <w:r>
        <w:rPr>
          <w:rFonts w:ascii="Arial" w:cs="Arial" w:eastAsia="Arial" w:hAnsi="Arial"/>
          <w:sz w:val="19"/>
          <w:szCs w:val="19"/>
          <w:color w:val="auto"/>
        </w:rPr>
        <w:t>Al aceptar cualquier Otorgamiento bajo el presente documento, usted reconoce que ha</w:t>
      </w:r>
      <w:r>
        <w:rPr>
          <w:rFonts w:ascii="Arial" w:cs="Arial" w:eastAsia="Arial" w:hAnsi="Arial"/>
          <w:sz w:val="19"/>
          <w:szCs w:val="19"/>
          <w:b w:val="1"/>
          <w:bCs w:val="1"/>
          <w:color w:val="auto"/>
        </w:rPr>
        <w:t xml:space="preserve"> </w:t>
      </w:r>
      <w:r>
        <w:rPr>
          <w:rFonts w:ascii="Arial" w:cs="Arial" w:eastAsia="Arial" w:hAnsi="Arial"/>
          <w:sz w:val="19"/>
          <w:szCs w:val="19"/>
          <w:color w:val="auto"/>
        </w:rPr>
        <w:t>recibido una copia del Plan, que ha revisado el mismo en su totalidad, así como también el Acuerdo de Opción, el Acuerdo, incluyendo este Apéndice, además que comprende y está de acuerdo con todas las disposiciones tanto del Plan y del Otorgamiento, incluyendo este Apéndice. Asimismo, usted reconoce que ha leído y manifiesta específicamente y expresamente la conformidad con los términos y condiciones establecidos en la Sección X del Acuerdo, en los que se establece y describe claramente que:</w:t>
      </w:r>
    </w:p>
    <w:p>
      <w:pPr>
        <w:spacing w:after="0" w:line="149"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Su participación en el Plan de ninguna manera constituye un derecho adquirido.</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39"/>
        </w:numPr>
        <w:rPr>
          <w:rFonts w:ascii="Arial" w:cs="Arial" w:eastAsia="Arial" w:hAnsi="Arial"/>
          <w:sz w:val="21"/>
          <w:szCs w:val="21"/>
          <w:color w:val="auto"/>
        </w:rPr>
      </w:pPr>
      <w:r>
        <w:rPr>
          <w:rFonts w:ascii="Arial" w:cs="Arial" w:eastAsia="Arial" w:hAnsi="Arial"/>
          <w:sz w:val="21"/>
          <w:szCs w:val="21"/>
          <w:color w:val="auto"/>
        </w:rPr>
        <w:t>El Plan y su participación en el mismo son ofrecidos por Amgen Inc. de forma completamente discrecional.</w:t>
      </w:r>
    </w:p>
    <w:p>
      <w:pPr>
        <w:spacing w:after="0" w:line="231" w:lineRule="exact"/>
        <w:rPr>
          <w:rFonts w:ascii="Arial" w:cs="Arial" w:eastAsia="Arial" w:hAnsi="Arial"/>
          <w:sz w:val="21"/>
          <w:szCs w:val="21"/>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Su participación en el Plan es voluntaria.</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Amgen Inc. y sus Afiliados no son responsables de ninguna disminución en el valor de Unidades o de las Acciones Comunes emitidas mediante el Plan.</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de Acciones bajo el presente,</w:t>
      </w:r>
      <w:r>
        <w:rPr>
          <w:rFonts w:ascii="Arial" w:cs="Arial" w:eastAsia="Arial" w:hAnsi="Arial"/>
          <w:sz w:val="19"/>
          <w:szCs w:val="19"/>
          <w:b w:val="1"/>
          <w:bCs w:val="1"/>
          <w:color w:val="auto"/>
        </w:rPr>
        <w:t xml:space="preserve"> </w:t>
      </w:r>
      <w:r>
        <w:rPr>
          <w:rFonts w:ascii="Arial" w:cs="Arial" w:eastAsia="Arial" w:hAnsi="Arial"/>
          <w:sz w:val="19"/>
          <w:szCs w:val="19"/>
          <w:color w:val="auto"/>
        </w:rPr>
        <w:t>usted 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Latin America Services, S.A. de C.V. (“</w:t>
      </w:r>
      <w:r>
        <w:rPr>
          <w:rFonts w:ascii="Arial" w:cs="Arial" w:eastAsia="Arial" w:hAnsi="Arial"/>
          <w:sz w:val="19"/>
          <w:szCs w:val="19"/>
          <w:u w:val="single" w:color="auto"/>
          <w:color w:val="auto"/>
        </w:rPr>
        <w:t>Amgen-México</w:t>
      </w:r>
      <w:r>
        <w:rPr>
          <w:rFonts w:ascii="Arial" w:cs="Arial" w:eastAsia="Arial" w:hAnsi="Arial"/>
          <w:sz w:val="19"/>
          <w:szCs w:val="19"/>
          <w:color w:val="auto"/>
        </w:rPr>
        <w:t>”). Derivado de lo anterior, usted reconoce expresamente que el Plan y los beneficios 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Asimismo, usted entiende que su participación en el Plan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Finalmente, usted manifiesta que no se reserva ninguna acción o derecho que origine una demanda en contra de Amgen Inc., por cualquier compensación o daños y perjuicios, en relación con cualquier disposición del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A-13</w:t>
      </w:r>
    </w:p>
    <w:p>
      <w:pPr>
        <w:sectPr>
          <w:pgSz w:w="11900" w:h="16838" w:orient="portrait"/>
          <w:cols w:equalWidth="0" w:num="1">
            <w:col w:w="11420"/>
          </w:cols>
          <w:pgMar w:left="240" w:top="375" w:right="239" w:bottom="1440" w:gutter="0" w:footer="0" w:header="0"/>
        </w:sectPr>
      </w:pPr>
    </w:p>
    <w:bookmarkStart w:id="67" w:name="page68"/>
    <w:bookmarkEnd w:id="67"/>
    <w:p>
      <w:pPr>
        <w:jc w:val="both"/>
        <w:spacing w:after="0" w:line="253" w:lineRule="auto"/>
        <w:rPr>
          <w:sz w:val="20"/>
          <w:szCs w:val="20"/>
          <w:color w:val="auto"/>
        </w:rPr>
      </w:pPr>
      <w:r>
        <w:rPr>
          <w:rFonts w:ascii="Arial" w:cs="Arial" w:eastAsia="Arial" w:hAnsi="Arial"/>
          <w:sz w:val="22"/>
          <w:szCs w:val="22"/>
          <w:color w:val="auto"/>
        </w:rPr>
        <w:t>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MOROCCO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Sale Requirement. </w:t>
      </w:r>
      <w:r>
        <w:rPr>
          <w:rFonts w:ascii="Arial" w:cs="Arial" w:eastAsia="Arial" w:hAnsi="Arial"/>
          <w:sz w:val="22"/>
          <w:szCs w:val="22"/>
          <w:color w:val="auto"/>
        </w:rPr>
        <w:t>Notwithstanding anything to the contrary in the Agreement, due to exchange control laws in Morocco, 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that the Company reserves the right to require the immediate sale of any Shares acquired upon settlement of the Units. Alternatively, if the Shares are not immediately sold upon settlement of the Units, the Company may require the sale of any Shares at a later date, including upon termination of your employment.</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9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Units are not immediately sold, you acknowledge that</w:t>
      </w:r>
      <w:r>
        <w:rPr>
          <w:rFonts w:ascii="Arial" w:cs="Arial" w:eastAsia="Arial" w:hAnsi="Arial"/>
          <w:sz w:val="19"/>
          <w:szCs w:val="19"/>
          <w:b w:val="1"/>
          <w:bCs w:val="1"/>
          <w:color w:val="auto"/>
        </w:rPr>
        <w:t xml:space="preserve"> </w:t>
      </w:r>
      <w:r>
        <w:rPr>
          <w:rFonts w:ascii="Arial" w:cs="Arial" w:eastAsia="Arial" w:hAnsi="Arial"/>
          <w:sz w:val="19"/>
          <w:szCs w:val="19"/>
          <w:color w:val="auto"/>
        </w:rPr>
        <w:t>you are required to maintain the Shares in an account with Merrill Lynch Bank and Trust Co., FSB or such other designated broker as may be selected by the Company until the Shares are sold through such Company-designated broker.</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understand and agree that, pursuant to local exchange control requirements, you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repatriate the cash proceeds from the sale of the Shares issued upon settlement of the Units to Morocco. You further understand that such repatriation of your cash proceeds may be effectuated through a bank account established by the Company or any Affiliate, including the Employer, and you hereby consent and agree that any proceeds from the sale of the Shares may be transferred to such bank account prior to being delivered to you. If repatriation of your cash proceeds is not effectuated through a bank account established by the Company or any Affiliate, including the Employer, you hereby agree to maintain your own records proving repatriation and to provide copies of these records upon request by the Company or any Affiliate, including the Employer, or the Moroccan Exchange Control Office (Office des Changes). Further, you acknowledge and understand that the net proceeds that you realize from your participation in the Plan must be converted from U.S. dollars to Dirham, and that neither the Company nor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A-14</w:t>
      </w:r>
    </w:p>
    <w:p>
      <w:pPr>
        <w:sectPr>
          <w:pgSz w:w="11900" w:h="16838" w:orient="portrait"/>
          <w:cols w:equalWidth="0" w:num="1">
            <w:col w:w="11420"/>
          </w:cols>
          <w:pgMar w:left="240" w:top="375" w:right="239" w:bottom="1440" w:gutter="0" w:footer="0" w:header="0"/>
        </w:sectPr>
      </w:pPr>
    </w:p>
    <w:bookmarkStart w:id="68" w:name="page69"/>
    <w:bookmarkEnd w:id="68"/>
    <w:p>
      <w:pPr>
        <w:jc w:val="both"/>
        <w:spacing w:after="0" w:line="294" w:lineRule="auto"/>
        <w:rPr>
          <w:sz w:val="20"/>
          <w:szCs w:val="20"/>
          <w:color w:val="auto"/>
        </w:rPr>
      </w:pPr>
      <w:r>
        <w:rPr>
          <w:rFonts w:ascii="Arial" w:cs="Arial" w:eastAsia="Arial" w:hAnsi="Arial"/>
          <w:sz w:val="19"/>
          <w:szCs w:val="19"/>
          <w:color w:val="auto"/>
        </w:rPr>
        <w:t>any Affiliate, including the Employer, have any obligation to, but may nonetheless, convert the net proceeds on your behalf using any exchange rate chosen by the Company; if funds are so converted, they will be converted as soon as practicable after sale, which may not be immediately after the sale date. Further, if such currency conversion occurs, you will bear the risk of any fluctuation in the U.S. dollar/Dirham exchange rate between the date you realize U.S. dollar proceeds from your participation in the Plan and the date that you receive cash proceeds converted to Dirham. You further agree to comply with any other requirements that may be imposed by the Company in the future in order to facilitate compliance with exchange control requirements in Morocco.</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ZEALAND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PERU</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Securities Law Information. </w:t>
      </w:r>
      <w:r>
        <w:rPr>
          <w:rFonts w:ascii="Arial" w:cs="Arial" w:eastAsia="Arial" w:hAnsi="Arial"/>
          <w:sz w:val="19"/>
          <w:szCs w:val="19"/>
          <w:color w:val="auto"/>
        </w:rPr>
        <w:t>The grant of Units is considered a private offering in Peru; therefore, it is not subject to registration.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holding foreign securities (including Shares) and maintaining accounts abroad</w:t>
      </w:r>
      <w:r>
        <w:rPr>
          <w:rFonts w:ascii="Arial" w:cs="Arial" w:eastAsia="Arial" w:hAnsi="Arial"/>
          <w:sz w:val="19"/>
          <w:szCs w:val="19"/>
          <w:b w:val="1"/>
          <w:bCs w:val="1"/>
          <w:color w:val="auto"/>
        </w:rPr>
        <w:t xml:space="preserve"> </w:t>
      </w:r>
      <w:r>
        <w:rPr>
          <w:rFonts w:ascii="Arial" w:cs="Arial" w:eastAsia="Arial" w:hAnsi="Arial"/>
          <w:sz w:val="19"/>
          <w:szCs w:val="19"/>
          <w:color w:val="auto"/>
        </w:rPr>
        <w:t>must report information to the National Bank of Poland. Specifically, if the aggregate value of shares and cash held in such foreign accounts exceeds PLN 7 million, Polish residents must file reports on the transactions and balances of the accounts on a quarterly basis.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 a specified threshold (currently €15,000). You must store all documents connected with any foreign exchange transactions you engage in for a period of five years.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350" w:lineRule="auto"/>
        <w:rPr>
          <w:sz w:val="20"/>
          <w:szCs w:val="20"/>
          <w:color w:val="auto"/>
        </w:rPr>
      </w:pPr>
      <w:r>
        <w:rPr>
          <w:rFonts w:ascii="Arial" w:cs="Arial" w:eastAsia="Arial" w:hAnsi="Arial"/>
          <w:sz w:val="19"/>
          <w:szCs w:val="19"/>
          <w:b w:val="1"/>
          <w:bCs w:val="1"/>
          <w:color w:val="auto"/>
        </w:rPr>
        <w:t xml:space="preserve">Consent to Receive Information in English. </w:t>
      </w:r>
      <w:r>
        <w:rPr>
          <w:rFonts w:ascii="Arial" w:cs="Arial" w:eastAsia="Arial" w:hAnsi="Arial"/>
          <w:sz w:val="19"/>
          <w:szCs w:val="19"/>
          <w:color w:val="auto"/>
        </w:rPr>
        <w:t>You hereby expressly declare that you have full knowledge of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and have read, understood and fully accepted and agreed with the terms and conditions established in the Plan and Agreement.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A-15</w:t>
      </w:r>
    </w:p>
    <w:p>
      <w:pPr>
        <w:sectPr>
          <w:pgSz w:w="11900" w:h="16838" w:orient="portrait"/>
          <w:cols w:equalWidth="0" w:num="1">
            <w:col w:w="11420"/>
          </w:cols>
          <w:pgMar w:left="240" w:top="375" w:right="239" w:bottom="1440" w:gutter="0" w:footer="0" w:header="0"/>
        </w:sectPr>
      </w:pPr>
    </w:p>
    <w:bookmarkStart w:id="69" w:name="page70"/>
    <w:bookmarkEnd w:id="69"/>
    <w:p>
      <w:pPr>
        <w:jc w:val="both"/>
        <w:ind w:right="20"/>
        <w:spacing w:after="0" w:line="350"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li, compreendi e livremente aceitei e concordei com os termos e condições estabelecidas no Plano e no Acordo.</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do not hold the Shares acquired under the Plan with a Portuguese financial intermediary,</w:t>
      </w:r>
      <w:r>
        <w:rPr>
          <w:rFonts w:ascii="Arial" w:cs="Arial" w:eastAsia="Arial" w:hAnsi="Arial"/>
          <w:sz w:val="22"/>
          <w:szCs w:val="22"/>
          <w:b w:val="1"/>
          <w:bCs w:val="1"/>
          <w:color w:val="auto"/>
        </w:rPr>
        <w:t xml:space="preserve"> </w:t>
      </w:r>
      <w:r>
        <w:rPr>
          <w:rFonts w:ascii="Arial" w:cs="Arial" w:eastAsia="Arial" w:hAnsi="Arial"/>
          <w:sz w:val="22"/>
          <w:szCs w:val="22"/>
          <w:color w:val="auto"/>
        </w:rPr>
        <w:t>you will need to file a report with the Portuguese Central Bank. If the Shares are held by a Portuguese financial intermediary, it will file the report for you.</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PUERTO RICO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deposit proceeds from the sale of Shares or the receipt of dividends or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Russian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to Russia the cash proceeds from the sale of the Shares issued to you upon settlement of the Units and from the receipt of any dividends paid on such Shares or Dividend Equivalents. You further understand that, under applicable laws, such proceeds must be initially credited to you through a foreign currency account opened in your name at an authorized bank in Russia. You further agree to comply with any other requirements that may be imposed by the Company in the future in order to facilitate compliance with exchange control requirements in Russia. Without limiting the generality of the foregoing, you acknowledge that the Company reserves the right, in its sole discretion depending on developments in Russian exchange control laws and regulations, to force the immediate sale of any Shares to be issued upon vesting of the Units. You further agree that, if applicable, the Company is authorized to instruct Merrill Lynch Bank &amp; Trust Co., FSB (or such other broker as may be designated by the Company) to assist with the mandatory sale of such Shares (on your behalf pursuant to this authorization) and you expressly authorize Merrill Lynch Bank &amp; Trust Co., FSB (or such other broker as may be designated by the Company) to complete the sale of such Shares. You further acknowledge that Merrill Lynch Bank &amp; Trust Co., FSB (or such other broker as may be designated by the Company) is under no obligation to arrange for the sale of the Shares at any particular trading price. Upon the sale of Shares, you will receive the cash proceeds from the sale of Shares, less any brokerage fees or commissions and subject to your obligations in connection with the Tax Obligations.</w:t>
      </w: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Requirements. </w:t>
      </w:r>
      <w:r>
        <w:rPr>
          <w:rFonts w:ascii="Arial" w:cs="Arial" w:eastAsia="Arial" w:hAnsi="Arial"/>
          <w:sz w:val="22"/>
          <w:szCs w:val="22"/>
          <w:color w:val="auto"/>
        </w:rPr>
        <w:t>Any Units granted hereunder, the Agreement, including this Appendix, the Plan and all other</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materials you may receive regarding your participation in the Plan or any Units granted hereunder do not constitute advertising or an offering of securities in Russia. The issuance of Shares under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A-16</w:t>
      </w:r>
    </w:p>
    <w:p>
      <w:pPr>
        <w:sectPr>
          <w:pgSz w:w="11900" w:h="16838" w:orient="portrait"/>
          <w:cols w:equalWidth="0" w:num="1">
            <w:col w:w="11420"/>
          </w:cols>
          <w:pgMar w:left="240" w:top="585" w:right="239" w:bottom="1440" w:gutter="0" w:footer="0" w:header="0"/>
        </w:sectPr>
      </w:pPr>
    </w:p>
    <w:bookmarkStart w:id="70" w:name="page71"/>
    <w:bookmarkEnd w:id="70"/>
    <w:p>
      <w:pPr>
        <w:spacing w:after="0"/>
        <w:rPr>
          <w:sz w:val="20"/>
          <w:szCs w:val="20"/>
          <w:color w:val="auto"/>
        </w:rPr>
      </w:pPr>
      <w:r>
        <w:rPr>
          <w:rFonts w:ascii="Arial" w:cs="Arial" w:eastAsia="Arial" w:hAnsi="Arial"/>
          <w:sz w:val="19"/>
          <w:szCs w:val="19"/>
          <w:color w:val="auto"/>
        </w:rPr>
        <w:t>the Plan has not and will not be registered in Russia; therefore, Shares may not be offered or placed in public circulation in Russia.</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no event will Shares acquired under the Plan be delivered to you in Russia; all Shares will be maintained on your behalf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You are not permitted to sell any Shares acquired under the Plan directly to a Russian legal entity or resident.</w:t>
      </w:r>
    </w:p>
    <w:p>
      <w:pPr>
        <w:spacing w:after="0" w:line="214" w:lineRule="exact"/>
        <w:rPr>
          <w:sz w:val="20"/>
          <w:szCs w:val="20"/>
          <w:color w:val="auto"/>
        </w:rPr>
      </w:pPr>
    </w:p>
    <w:p>
      <w:pPr>
        <w:spacing w:after="0" w:line="262" w:lineRule="auto"/>
        <w:rPr>
          <w:sz w:val="20"/>
          <w:szCs w:val="20"/>
          <w:color w:val="auto"/>
        </w:rPr>
      </w:pPr>
      <w:r>
        <w:rPr>
          <w:rFonts w:ascii="Arial" w:cs="Arial" w:eastAsia="Arial" w:hAnsi="Arial"/>
          <w:sz w:val="22"/>
          <w:szCs w:val="22"/>
          <w:b w:val="1"/>
          <w:bCs w:val="1"/>
          <w:color w:val="auto"/>
        </w:rPr>
        <w:t xml:space="preserve">Labor Law Information. </w:t>
      </w:r>
      <w:r>
        <w:rPr>
          <w:rFonts w:ascii="Arial" w:cs="Arial" w:eastAsia="Arial" w:hAnsi="Arial"/>
          <w:sz w:val="22"/>
          <w:szCs w:val="22"/>
          <w:color w:val="auto"/>
        </w:rPr>
        <w:t>You acknowledge that if you continue to hold Shares acquired under the Plan after an involuntary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your employment, you will not be eligible to receive unemployment benefits in Russia.</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supplements Section XIV of the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Units. Therefore, you understand that refusing to complete a Consent form or withdrawing your consent may affect your ability to participate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After funds from the sale of Shares are initially received in Russia pursuant to your repatriation</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they may be further remitted to a foreign bank subject to the following limitations: (i) the foreign account may be opened only for individuals; (ii) the foreign account may not be used for business activities; (iii) the Russian tax authorities must be given notice about the opening/closing of each foreign account within one month of the account opening/closing; (iv) the Russian tax authorities must be given notice of the account balances of such foreign accounts as of the beginning of each calendar year; and</w:t>
      </w:r>
    </w:p>
    <w:p>
      <w:pPr>
        <w:spacing w:after="0" w:line="1" w:lineRule="exact"/>
        <w:rPr>
          <w:sz w:val="20"/>
          <w:szCs w:val="20"/>
          <w:color w:val="auto"/>
        </w:rPr>
      </w:pPr>
    </w:p>
    <w:p>
      <w:pPr>
        <w:jc w:val="both"/>
        <w:ind w:firstLine="8"/>
        <w:spacing w:after="0" w:line="258" w:lineRule="auto"/>
        <w:tabs>
          <w:tab w:leader="none" w:pos="347" w:val="left"/>
        </w:tabs>
        <w:numPr>
          <w:ilvl w:val="0"/>
          <w:numId w:val="40"/>
        </w:numPr>
        <w:rPr>
          <w:rFonts w:ascii="Arial" w:cs="Arial" w:eastAsia="Arial" w:hAnsi="Arial"/>
          <w:sz w:val="21"/>
          <w:szCs w:val="21"/>
          <w:color w:val="auto"/>
        </w:rPr>
      </w:pPr>
      <w:r>
        <w:rPr>
          <w:rFonts w:ascii="Arial" w:cs="Arial" w:eastAsia="Arial" w:hAnsi="Arial"/>
          <w:sz w:val="21"/>
          <w:szCs w:val="21"/>
          <w:color w:val="auto"/>
        </w:rPr>
        <w:t>beginning January 1, 2015 (or such later date as may be established by the Russian tax authorities), quarterly cash flow statements must be filed for each foreign account held by you. According to recent amendments to the law, dividends received on Shares acquired under the Plan can be remitted directly to your bank account opened with a foreign bank located in Organisation for Economic Co-operation and Development (“</w:t>
      </w:r>
      <w:r>
        <w:rPr>
          <w:rFonts w:ascii="Arial" w:cs="Arial" w:eastAsia="Arial" w:hAnsi="Arial"/>
          <w:sz w:val="21"/>
          <w:szCs w:val="21"/>
          <w:u w:val="single" w:color="auto"/>
          <w:color w:val="auto"/>
        </w:rPr>
        <w:t>OECD</w:t>
      </w:r>
      <w:r>
        <w:rPr>
          <w:rFonts w:ascii="Arial" w:cs="Arial" w:eastAsia="Arial" w:hAnsi="Arial"/>
          <w:sz w:val="21"/>
          <w:szCs w:val="21"/>
          <w:color w:val="auto"/>
        </w:rPr>
        <w:t>”) or Financial Action Task Force (“</w:t>
      </w:r>
      <w:r>
        <w:rPr>
          <w:rFonts w:ascii="Arial" w:cs="Arial" w:eastAsia="Arial" w:hAnsi="Arial"/>
          <w:sz w:val="21"/>
          <w:szCs w:val="21"/>
          <w:u w:val="single" w:color="auto"/>
          <w:color w:val="auto"/>
        </w:rPr>
        <w:t>FATF</w:t>
      </w:r>
      <w:r>
        <w:rPr>
          <w:rFonts w:ascii="Arial" w:cs="Arial" w:eastAsia="Arial" w:hAnsi="Arial"/>
          <w:sz w:val="21"/>
          <w:szCs w:val="21"/>
          <w:color w:val="auto"/>
        </w:rPr>
        <w:t>”) countries, without first remitting them to your bank account in Russia. You are encouraged to contact your personal advisor before remitting your proceeds from participation in the Plan to Russia as exchange control requirements may change.</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Anti-Corruption Legislation Information. </w:t>
      </w:r>
      <w:r>
        <w:rPr>
          <w:rFonts w:ascii="Arial" w:cs="Arial" w:eastAsia="Arial" w:hAnsi="Arial"/>
          <w:sz w:val="21"/>
          <w:szCs w:val="21"/>
          <w:color w:val="auto"/>
        </w:rPr>
        <w:t>Individuals holding public office in Russia, as well as their spouses and dependent</w:t>
      </w:r>
      <w:r>
        <w:rPr>
          <w:rFonts w:ascii="Arial" w:cs="Arial" w:eastAsia="Arial" w:hAnsi="Arial"/>
          <w:sz w:val="21"/>
          <w:szCs w:val="21"/>
          <w:b w:val="1"/>
          <w:bCs w:val="1"/>
          <w:color w:val="auto"/>
        </w:rPr>
        <w:t xml:space="preserve"> </w:t>
      </w:r>
      <w:r>
        <w:rPr>
          <w:rFonts w:ascii="Arial" w:cs="Arial" w:eastAsia="Arial" w:hAnsi="Arial"/>
          <w:sz w:val="21"/>
          <w:szCs w:val="21"/>
          <w:color w:val="auto"/>
        </w:rPr>
        <w:t>children, may be prohibited from opening or maintaining a foreign brokerage or bank account and holding any securities, whether acquired directly or indirectly, in a foreign company (including Shares acquired under the Plan). You should consult with your personal legal advisor to determine whether this restriction applies to your circumstances.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SAUDI ARABIA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This document may not be distributed in the Kingdom of Saudi Arabia except to such persons as are</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under the Offers of Securities Regulations issued by the Capital Market Authority.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A-17</w:t>
      </w:r>
    </w:p>
    <w:p>
      <w:pPr>
        <w:sectPr>
          <w:pgSz w:w="11900" w:h="16838" w:orient="portrait"/>
          <w:cols w:equalWidth="0" w:num="1">
            <w:col w:w="11420"/>
          </w:cols>
          <w:pgMar w:left="240" w:top="375" w:right="239" w:bottom="1440" w:gutter="0" w:footer="0" w:header="0"/>
        </w:sectPr>
      </w:pPr>
    </w:p>
    <w:bookmarkStart w:id="71" w:name="page72"/>
    <w:bookmarkEnd w:id="71"/>
    <w:p>
      <w:pPr>
        <w:jc w:val="both"/>
        <w:spacing w:after="0" w:line="265" w:lineRule="auto"/>
        <w:rPr>
          <w:sz w:val="20"/>
          <w:szCs w:val="20"/>
          <w:color w:val="auto"/>
        </w:rPr>
      </w:pPr>
      <w:r>
        <w:rPr>
          <w:rFonts w:ascii="Arial" w:cs="Arial" w:eastAsia="Arial" w:hAnsi="Arial"/>
          <w:sz w:val="21"/>
          <w:szCs w:val="21"/>
          <w:color w:val="auto"/>
        </w:rPr>
        <w:t>The Capital Market Authority does not make any representation as to the accuracy or completeness of this document, and expressly disclaims any liability whatsoever for any loss arising from, or incurred in reliance upon, any part of this document. You are hereby advised to conduct your own due diligence on the accuracy of the information relating to the Shares. If you do not understand the contents of this document, you should consult an authorized financial adviser.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grant of the Units is being made pursuant to the “Qualifying Person” exemption under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273(1)(f) of the Securities and Futures Act (Chapter 289, 2006 Ed.) (“</w:t>
      </w:r>
      <w:r>
        <w:rPr>
          <w:rFonts w:ascii="Arial" w:cs="Arial" w:eastAsia="Arial" w:hAnsi="Arial"/>
          <w:sz w:val="22"/>
          <w:szCs w:val="22"/>
          <w:u w:val="single" w:color="auto"/>
          <w:color w:val="auto"/>
        </w:rPr>
        <w:t>SFA</w:t>
      </w:r>
      <w:r>
        <w:rPr>
          <w:rFonts w:ascii="Arial" w:cs="Arial" w:eastAsia="Arial" w:hAnsi="Arial"/>
          <w:sz w:val="22"/>
          <w:szCs w:val="22"/>
          <w:color w:val="auto"/>
        </w:rPr>
        <w:t>”) and is not made with a view to the Units being subsequently offered for sale to any other party. The Plan has not been lodged or registered as a prospectus with the Monetary Authority of Singapore. You should note that the Units are subject to section 257 of the SFA and you will not be able to make (i) any subsequent sale of Shares in Singapore or (ii) any offer of such subsequent sale of Shares subject to the Units in Singapore, unless such sale or offer is made pursuant to the exemptions under Part XIII Division (1) Subdivision (4) (other than section 280) of the SFA.</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Director Notification Requirement. </w:t>
      </w:r>
      <w:r>
        <w:rPr>
          <w:rFonts w:ascii="Arial" w:cs="Arial" w:eastAsia="Arial" w:hAnsi="Arial"/>
          <w:sz w:val="19"/>
          <w:szCs w:val="19"/>
          <w:color w:val="auto"/>
        </w:rPr>
        <w:t>Directors, associate directors and shadow directors of a Singapore Affiliate are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notification requirements under the Singapore Companies Act. Directors, associate directors and shadow directors must notify the Singapore Affiliate in writing of an interest (</w:t>
      </w:r>
      <w:r>
        <w:rPr>
          <w:rFonts w:ascii="Arial" w:cs="Arial" w:eastAsia="Arial" w:hAnsi="Arial"/>
          <w:sz w:val="19"/>
          <w:szCs w:val="19"/>
          <w:i w:val="1"/>
          <w:iCs w:val="1"/>
          <w:color w:val="auto"/>
        </w:rPr>
        <w:t>e.g.</w:t>
      </w:r>
      <w:r>
        <w:rPr>
          <w:rFonts w:ascii="Arial" w:cs="Arial" w:eastAsia="Arial" w:hAnsi="Arial"/>
          <w:sz w:val="19"/>
          <w:szCs w:val="19"/>
          <w:color w:val="auto"/>
        </w:rPr>
        <w:t>, Units, Shares, etc.) in the Company or any related company within two</w:t>
      </w:r>
    </w:p>
    <w:p>
      <w:pPr>
        <w:spacing w:after="0" w:line="2" w:lineRule="exact"/>
        <w:rPr>
          <w:sz w:val="20"/>
          <w:szCs w:val="20"/>
          <w:color w:val="auto"/>
        </w:rPr>
      </w:pPr>
    </w:p>
    <w:p>
      <w:pPr>
        <w:ind w:right="20" w:firstLine="8"/>
        <w:spacing w:after="0" w:line="246" w:lineRule="auto"/>
        <w:tabs>
          <w:tab w:leader="none" w:pos="308" w:val="left"/>
        </w:tabs>
        <w:numPr>
          <w:ilvl w:val="0"/>
          <w:numId w:val="41"/>
        </w:numPr>
        <w:rPr>
          <w:rFonts w:ascii="Arial" w:cs="Arial" w:eastAsia="Arial" w:hAnsi="Arial"/>
          <w:sz w:val="22"/>
          <w:szCs w:val="22"/>
          <w:color w:val="auto"/>
        </w:rPr>
      </w:pPr>
      <w:r>
        <w:rPr>
          <w:rFonts w:ascii="Arial" w:cs="Arial" w:eastAsia="Arial" w:hAnsi="Arial"/>
          <w:sz w:val="22"/>
          <w:szCs w:val="22"/>
          <w:color w:val="auto"/>
        </w:rPr>
        <w:t>business days of (i) its acquisition or disposal, (ii) any change in a previously disclosed interest (</w:t>
      </w:r>
      <w:r>
        <w:rPr>
          <w:rFonts w:ascii="Arial" w:cs="Arial" w:eastAsia="Arial" w:hAnsi="Arial"/>
          <w:sz w:val="22"/>
          <w:szCs w:val="22"/>
          <w:i w:val="1"/>
          <w:iCs w:val="1"/>
          <w:color w:val="auto"/>
        </w:rPr>
        <w:t>e.g.,</w:t>
      </w:r>
      <w:r>
        <w:rPr>
          <w:rFonts w:ascii="Arial" w:cs="Arial" w:eastAsia="Arial" w:hAnsi="Arial"/>
          <w:sz w:val="22"/>
          <w:szCs w:val="22"/>
          <w:color w:val="auto"/>
        </w:rPr>
        <w:t xml:space="preserve"> when the Shares are sold), or (iii) becoming a director, associate director or shadow director.</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SLOVAK REPUBLIC</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permanently reside in the Slovak Republic and, apart from being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employed, carry on business activities as an independent entrepreneur (in Slovakian, podnikatel), you will be obligated to report your foreign assets (including any foreign securities such as the Shares) to the National Bank of Slovakia (provided that the value of the foreign assets exceeds an amount of €2,000,000). These reports must be submitted on a monthly basis by the 15th day of the respective calendar month, as well as on a quarterly basis by the 15th day of the calendar month following the respective calendar quarter, using notification form DEV (NBS) 1-12, which may be found at the National Bank of Slovakia’s website at </w:t>
      </w:r>
      <w:r>
        <w:rPr>
          <w:rFonts w:ascii="Arial" w:cs="Arial" w:eastAsia="Arial" w:hAnsi="Arial"/>
          <w:sz w:val="19"/>
          <w:szCs w:val="19"/>
          <w:u w:val="single" w:color="auto"/>
          <w:color w:val="auto"/>
        </w:rPr>
        <w:t>www.nbs.sk</w:t>
      </w:r>
      <w:r>
        <w:rPr>
          <w:rFonts w:ascii="Arial" w:cs="Arial" w:eastAsia="Arial" w:hAnsi="Arial"/>
          <w:sz w:val="19"/>
          <w:szCs w:val="19"/>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SLOVENIA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Responsibility for Taxes. </w:t>
      </w:r>
      <w:r>
        <w:rPr>
          <w:rFonts w:ascii="Arial" w:cs="Arial" w:eastAsia="Arial" w:hAnsi="Arial"/>
          <w:sz w:val="22"/>
          <w:szCs w:val="22"/>
          <w:color w:val="auto"/>
        </w:rPr>
        <w:t>The following provision supplements Section III of the Agreement: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the Units, you agree that, immediately upon vesting and settlement of the Units, you will notify your Employer of the amount of any gain realized. If you fail to advise your Employer of the gain realized upon vesting and settlement, you may be liable for a fine. You will be solely responsible for paying any difference between your actual tax liability and the amount withheld by your Employer.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A-18</w:t>
      </w:r>
    </w:p>
    <w:p>
      <w:pPr>
        <w:sectPr>
          <w:pgSz w:w="11900" w:h="16838" w:orient="portrait"/>
          <w:cols w:equalWidth="0" w:num="1">
            <w:col w:w="11420"/>
          </w:cols>
          <w:pgMar w:left="240" w:top="375" w:right="239" w:bottom="1440" w:gutter="0" w:footer="0" w:header="0"/>
        </w:sectPr>
      </w:pPr>
    </w:p>
    <w:bookmarkStart w:id="72" w:name="page73"/>
    <w:bookmarkEnd w:id="72"/>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Because no transfer of funds from South Africa is required under the Units, no filing or reporting</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should apply when the Units are granted or when Shares are issued upon vesting and settlement of the Units. However, because the exchange control regulations are subject to change, you should consult your personal advisor prior to vesting and settlement of the Units to ensure compliance with current regulations. You are responsible for ensuring compliance with all exchange control laws in South Africa.</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XI of the Agreement:</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By accepting the Units granted hereunder, you consent to participation in the Plan and acknowledge that you have received a copy of the Plan.</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any Units under the Plan to individuals who may be members of the Board or Employees of the Company or its Affiliates throughout the world. The decision is a limited decision, which is entered into upon the express assumption and condition that any Units granted will not economically or otherwise bind the Company or any of its Affiliates on an ongoing basis, other than as expressly set forth in the Agreement, including this Appendix. Consequently, you understand that the Units granted hereunder are given on the assumption and condition that they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Units since the future value of the Units and the underlying Shares is unknown and unpredictable. In addition, you understand that any Units granted hereunder would not be made but for the assumptions and conditions referred to above; thus, you understand, acknowledge and freely accept that, should any or all of the assumptions be mistaken or should any of the conditions not be met for any reason, then any grant of Units or right to Units shall be null and void.</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Further, the vesting of the Units is expressly conditioned on your continued and active rendering of service, such that if your employment terminates for any reason whatsoever, the Units may cease vesting immediately, in whole or in part, effective on the date of your termination of employment (unless otherwise specifically provided in Section I of the Agreement). This will be the case, for example, even if (1) you are considered to be unfairly dismissed without good cause;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Units that were not vested on the date of your termination of employment, as described in the Plan and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color w:val="auto"/>
        </w:rPr>
        <w:t>You acknowledge that you have read and specifically accept the conditions referred to in Section I of the Agreement.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A-19</w:t>
      </w:r>
    </w:p>
    <w:p>
      <w:pPr>
        <w:sectPr>
          <w:pgSz w:w="11900" w:h="16838" w:orient="portrait"/>
          <w:cols w:equalWidth="0" w:num="1">
            <w:col w:w="11420"/>
          </w:cols>
          <w:pgMar w:left="240" w:top="591"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No “offer of securities to the public,” as defined under Spanish law, has taken place or will take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place in the Spanish territory. The Agreement (including this Appendix) has not been nor will it be registered with the </w:t>
      </w:r>
      <w:r>
        <w:rPr>
          <w:rFonts w:ascii="Arial" w:cs="Arial" w:eastAsia="Arial" w:hAnsi="Arial"/>
          <w:sz w:val="22"/>
          <w:szCs w:val="22"/>
          <w:i w:val="1"/>
          <w:iCs w:val="1"/>
          <w:color w:val="auto"/>
        </w:rPr>
        <w:t>Comisión</w:t>
      </w:r>
      <w:r>
        <w:rPr>
          <w:rFonts w:ascii="Arial" w:cs="Arial" w:eastAsia="Arial" w:hAnsi="Arial"/>
          <w:sz w:val="22"/>
          <w:szCs w:val="22"/>
          <w:color w:val="auto"/>
        </w:rPr>
        <w:t xml:space="preserve"> </w:t>
      </w:r>
      <w:r>
        <w:rPr>
          <w:rFonts w:ascii="Arial" w:cs="Arial" w:eastAsia="Arial" w:hAnsi="Arial"/>
          <w:sz w:val="22"/>
          <w:szCs w:val="22"/>
          <w:i w:val="1"/>
          <w:iCs w:val="1"/>
          <w:color w:val="auto"/>
        </w:rPr>
        <w:t>Nacional del Mercado de Valores</w:t>
      </w:r>
      <w:r>
        <w:rPr>
          <w:rFonts w:ascii="Arial" w:cs="Arial" w:eastAsia="Arial" w:hAnsi="Arial"/>
          <w:sz w:val="22"/>
          <w:szCs w:val="22"/>
          <w:color w:val="auto"/>
        </w:rPr>
        <w:t>, and does not constitute a public offering prospectus.</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de Comercio e Inversiones </w:t>
      </w:r>
      <w:r>
        <w:rPr>
          <w:rFonts w:ascii="Arial" w:cs="Arial" w:eastAsia="Arial" w:hAnsi="Arial"/>
          <w:sz w:val="19"/>
          <w:szCs w:val="19"/>
          <w:color w:val="auto"/>
        </w:rPr>
        <w:t>(the “</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w:t>
      </w:r>
      <w:r>
        <w:rPr>
          <w:rFonts w:ascii="Arial" w:cs="Arial" w:eastAsia="Arial" w:hAnsi="Arial"/>
          <w:sz w:val="19"/>
          <w:szCs w:val="19"/>
          <w:i w:val="1"/>
          <w:iCs w:val="1"/>
          <w:color w:val="auto"/>
        </w:rPr>
        <w:t xml:space="preserve"> </w:t>
      </w:r>
      <w:r>
        <w:rPr>
          <w:rFonts w:ascii="Arial" w:cs="Arial" w:eastAsia="Arial" w:hAnsi="Arial"/>
          <w:sz w:val="19"/>
          <w:szCs w:val="19"/>
          <w:color w:val="auto"/>
        </w:rPr>
        <w:t>institution 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month of the sale.</w:t>
      </w:r>
    </w:p>
    <w:p>
      <w:pPr>
        <w:spacing w:after="0" w:line="144"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3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Further, effective January 1, 2013, to the extent that you hold Shares and/or have bank accounts outside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If the value of such Shares and/or accounts as of December 31 does not exceed €50,000, a summarized form of declaration may be presented.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Units offered hereunder are considered a private offering in Switzerland and are, therefore, not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registration in Switzerland.</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may acquire and remit foreign currency (including proceeds from the sale of Shares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A-20</w:t>
      </w:r>
    </w:p>
    <w:p>
      <w:pPr>
        <w:sectPr>
          <w:pgSz w:w="11900" w:h="16838" w:orient="portrait"/>
          <w:cols w:equalWidth="0" w:num="1">
            <w:col w:w="11420"/>
          </w:cols>
          <w:pgMar w:left="240" w:top="375" w:right="239" w:bottom="1440" w:gutter="0" w:footer="0" w:header="0"/>
        </w:sectPr>
      </w:pPr>
    </w:p>
    <w:bookmarkStart w:id="74" w:name="page75"/>
    <w:bookmarkEnd w:id="74"/>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proceeds from the sale of Shares or the receipt of any dividends or 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exceed US$50,000, you must (i) immediately repatriate such funds to Thailand and (ii) report the inward remittance to the Bank of Thailand on a Foreign Exchange Transaction Form. In addition, within 360 days of repatriation, you must either convert any funds repatriated to Thailand to Thai Baht or deposit the funds in a foreign exchange account with a Thai bank.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TUNISIA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hold assets (including Shares acquired under the Plan) outside Tunisia and the value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assets exceeds a certain threshold (currently TDN 500), you must declare the assets to the Central Bank of Tunisia within six</w:t>
      </w:r>
    </w:p>
    <w:p>
      <w:pPr>
        <w:jc w:val="both"/>
        <w:ind w:right="20" w:firstLine="8"/>
        <w:spacing w:after="0" w:line="302" w:lineRule="auto"/>
        <w:tabs>
          <w:tab w:leader="none" w:pos="322" w:val="left"/>
        </w:tabs>
        <w:numPr>
          <w:ilvl w:val="0"/>
          <w:numId w:val="42"/>
        </w:numPr>
        <w:rPr>
          <w:rFonts w:ascii="Arial" w:cs="Arial" w:eastAsia="Arial" w:hAnsi="Arial"/>
          <w:sz w:val="19"/>
          <w:szCs w:val="19"/>
          <w:color w:val="auto"/>
        </w:rPr>
      </w:pPr>
      <w:r>
        <w:rPr>
          <w:rFonts w:ascii="Arial" w:cs="Arial" w:eastAsia="Arial" w:hAnsi="Arial"/>
          <w:sz w:val="19"/>
          <w:szCs w:val="19"/>
          <w:color w:val="auto"/>
        </w:rPr>
        <w:t>months of their acquisition. In addition, if you sell the Shares acquired under the Plan or receive cash dividends or Dividend Equivalents paid in cash, you are required to repatriate the proceeds to Tunisia. You are solely responsible for complying with all exchange control laws in Tunisia and are advised to consult with your personal legal advisor in this regard.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Under Turkish law, you are not permitted to sell Shares acquired under the Plan in Turkey. You must</w:t>
      </w:r>
      <w:r>
        <w:rPr>
          <w:rFonts w:ascii="Arial" w:cs="Arial" w:eastAsia="Arial" w:hAnsi="Arial"/>
          <w:sz w:val="21"/>
          <w:szCs w:val="21"/>
          <w:b w:val="1"/>
          <w:bCs w:val="1"/>
          <w:color w:val="auto"/>
        </w:rPr>
        <w:t xml:space="preserve"> </w:t>
      </w:r>
      <w:r>
        <w:rPr>
          <w:rFonts w:ascii="Arial" w:cs="Arial" w:eastAsia="Arial" w:hAnsi="Arial"/>
          <w:sz w:val="21"/>
          <w:szCs w:val="21"/>
          <w:color w:val="auto"/>
        </w:rPr>
        <w:t>sell the Shares acquired under the Plan outside of Turkey. The Shares are currently traded on the NASDAQ in the U.S. under the ticker symbol “AMGN” and Shares may be sold on this exchange, which is located outside of Turkey.</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Pursuant to Decree No. 32 on the Protection of the Value of the Turkish Currency (“</w:t>
      </w:r>
      <w:r>
        <w:rPr>
          <w:rFonts w:ascii="Arial" w:cs="Arial" w:eastAsia="Arial" w:hAnsi="Arial"/>
          <w:sz w:val="19"/>
          <w:szCs w:val="19"/>
          <w:u w:val="single" w:color="auto"/>
          <w:color w:val="auto"/>
        </w:rPr>
        <w:t>Decree 32</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and Communique No. 2008-32/34 on Decree No. 32, any activity related to investments in foreign securities (</w:t>
      </w:r>
      <w:r>
        <w:rPr>
          <w:rFonts w:ascii="Arial" w:cs="Arial" w:eastAsia="Arial" w:hAnsi="Arial"/>
          <w:sz w:val="19"/>
          <w:szCs w:val="19"/>
          <w:i w:val="1"/>
          <w:iCs w:val="1"/>
          <w:color w:val="auto"/>
        </w:rPr>
        <w:t>e.g.</w:t>
      </w:r>
      <w:r>
        <w:rPr>
          <w:rFonts w:ascii="Arial" w:cs="Arial" w:eastAsia="Arial" w:hAnsi="Arial"/>
          <w:sz w:val="19"/>
          <w:szCs w:val="19"/>
          <w:color w:val="auto"/>
        </w:rPr>
        <w:t>, the sale of Shares under the Plan, the receipt of cash dividends or Dividend Equivalents paid in cash) must be conducted through a bank or financial intermediary institution licensed by the Turkish Capital Markets Board and should be reported to the Turkish Capital Markets Board. You are advised to contact a personal legal advisor for further information regarding these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Units under the Plan are granted only to select Board members and Employees of the Company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are for the purpose of providing equity incentives. The Plan and the Agreement are intended for distribution only to such Board members and Employees and must not be delivered to, or relied on by, any other person. You should conduct your own due diligence on the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A-21</w:t>
      </w:r>
    </w:p>
    <w:p>
      <w:pPr>
        <w:sectPr>
          <w:pgSz w:w="11900" w:h="16838" w:orient="portrait"/>
          <w:cols w:equalWidth="0" w:num="1">
            <w:col w:w="11420"/>
          </w:cols>
          <w:pgMar w:left="240" w:top="369" w:right="239" w:bottom="1440" w:gutter="0" w:footer="0" w:header="0"/>
        </w:sectPr>
      </w:pPr>
    </w:p>
    <w:bookmarkStart w:id="75" w:name="page76"/>
    <w:bookmarkEnd w:id="75"/>
    <w:p>
      <w:pPr>
        <w:jc w:val="both"/>
        <w:spacing w:after="0" w:line="263" w:lineRule="auto"/>
        <w:rPr>
          <w:sz w:val="20"/>
          <w:szCs w:val="20"/>
          <w:color w:val="auto"/>
        </w:rPr>
      </w:pPr>
      <w:r>
        <w:rPr>
          <w:rFonts w:ascii="Arial" w:cs="Arial" w:eastAsia="Arial" w:hAnsi="Arial"/>
          <w:sz w:val="22"/>
          <w:szCs w:val="22"/>
          <w:color w:val="auto"/>
        </w:rPr>
        <w:t>have not approved the Plan or the Agreement nor taken steps to verify the information set out therein, and have no responsibility for such documents.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This provision supplements Section III of the Agreement:</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You agree that if you do not pay or your Employer or the Company does not withhold from you the full amount of income tax that you owe at issuance of Shares in respect of the Units, or the release or assignment of the Units for consideration, or the receipt of any other benefit in connection with the Units (the “</w:t>
      </w:r>
      <w:r>
        <w:rPr>
          <w:rFonts w:ascii="Arial" w:cs="Arial" w:eastAsia="Arial" w:hAnsi="Arial"/>
          <w:sz w:val="19"/>
          <w:szCs w:val="19"/>
          <w:u w:val="single" w:color="auto"/>
          <w:color w:val="auto"/>
        </w:rPr>
        <w:t>Taxable Event</w:t>
      </w:r>
      <w:r>
        <w:rPr>
          <w:rFonts w:ascii="Arial" w:cs="Arial" w:eastAsia="Arial" w:hAnsi="Arial"/>
          <w:sz w:val="19"/>
          <w:szCs w:val="19"/>
          <w:color w:val="auto"/>
        </w:rPr>
        <w:t>”) within 90 days after the end of the tax year in which the Taxable Event occurs, or such other period specified in Section 222(1)(c) of the U.K. Income Tax (Earnings and Pensions) Act 2003 (the “</w:t>
      </w:r>
      <w:r>
        <w:rPr>
          <w:rFonts w:ascii="Arial" w:cs="Arial" w:eastAsia="Arial" w:hAnsi="Arial"/>
          <w:sz w:val="19"/>
          <w:szCs w:val="19"/>
          <w:u w:val="single" w:color="auto"/>
          <w:color w:val="auto"/>
        </w:rPr>
        <w:t>Due Date</w:t>
      </w:r>
      <w:r>
        <w:rPr>
          <w:rFonts w:ascii="Arial" w:cs="Arial" w:eastAsia="Arial" w:hAnsi="Arial"/>
          <w:sz w:val="19"/>
          <w:szCs w:val="19"/>
          <w:color w:val="auto"/>
        </w:rPr>
        <w:t>”), then the amount that should have been withheld and/or paid shall constitute a loan owed by you to your Employer, effective on the Due Date. You agree that the loan will bear interest at the official rate of HM Revenue and Customs (“</w:t>
      </w:r>
      <w:r>
        <w:rPr>
          <w:rFonts w:ascii="Arial" w:cs="Arial" w:eastAsia="Arial" w:hAnsi="Arial"/>
          <w:sz w:val="19"/>
          <w:szCs w:val="19"/>
          <w:u w:val="single" w:color="auto"/>
          <w:color w:val="auto"/>
        </w:rPr>
        <w:t>HMRC</w:t>
      </w:r>
      <w:r>
        <w:rPr>
          <w:rFonts w:ascii="Arial" w:cs="Arial" w:eastAsia="Arial" w:hAnsi="Arial"/>
          <w:sz w:val="19"/>
          <w:szCs w:val="19"/>
          <w:color w:val="auto"/>
        </w:rPr>
        <w:t>”) and will be immediately due and repayable by you, and the Company and/or your Employer may recover it at any time thereafter (subject to Section III of the Agreement) by any of the means described in Section III of the Agreement. You also authorize the Company to delay the issuance of any Shares to you unless and until the loan is repaid in full.</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Notwithstanding the foregoing, if you are an executive officer or director within the meaning of Section 13(k) of the Exchange Act, as amended from time to time, the terms of the immediately foregoing provision will not apply. In the event that you are an officer or executive director and income tax is not collected from you by the Due Date, the amount of any uncollected income tax may constitute a benefit to you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may be payable. You acknowledge that you are responsible for reporting and paying any income tax due on this additional benefit directly to HMRC under the self-assessment regime and for reimbursing your Employer for the value of any NICs due on this additional benefit, which the Company or your Employer may recover from you by any of the means set forth in Section III of the Agreement.</w:t>
      </w:r>
    </w:p>
    <w:p>
      <w:pPr>
        <w:spacing w:after="0" w:line="145"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Joint Election. </w:t>
      </w:r>
      <w:r>
        <w:rPr>
          <w:rFonts w:ascii="Arial" w:cs="Arial" w:eastAsia="Arial" w:hAnsi="Arial"/>
          <w:sz w:val="22"/>
          <w:szCs w:val="22"/>
          <w:color w:val="auto"/>
        </w:rPr>
        <w:t>As a condition of the Units granted hereunder, you agree to accept any liability for secondary Class 1 National</w:t>
      </w:r>
      <w:r>
        <w:rPr>
          <w:rFonts w:ascii="Arial" w:cs="Arial" w:eastAsia="Arial" w:hAnsi="Arial"/>
          <w:sz w:val="22"/>
          <w:szCs w:val="22"/>
          <w:b w:val="1"/>
          <w:bCs w:val="1"/>
          <w:color w:val="auto"/>
        </w:rPr>
        <w:t xml:space="preserve"> </w:t>
      </w:r>
      <w:r>
        <w:rPr>
          <w:rFonts w:ascii="Arial" w:cs="Arial" w:eastAsia="Arial" w:hAnsi="Arial"/>
          <w:sz w:val="22"/>
          <w:szCs w:val="22"/>
          <w:color w:val="auto"/>
        </w:rPr>
        <w:t>Insurance Contributions (the “</w:t>
      </w:r>
      <w:r>
        <w:rPr>
          <w:rFonts w:ascii="Arial" w:cs="Arial" w:eastAsia="Arial" w:hAnsi="Arial"/>
          <w:sz w:val="22"/>
          <w:szCs w:val="22"/>
          <w:u w:val="single" w:color="auto"/>
          <w:color w:val="auto"/>
        </w:rPr>
        <w:t>Employer NICs</w:t>
      </w:r>
      <w:r>
        <w:rPr>
          <w:rFonts w:ascii="Arial" w:cs="Arial" w:eastAsia="Arial" w:hAnsi="Arial"/>
          <w:sz w:val="22"/>
          <w:szCs w:val="22"/>
          <w:color w:val="auto"/>
        </w:rPr>
        <w:t>”), which may be payable by the Company or your Employer with respect to the Units and/or payment of the Units and issuance of Shares pursuant to the Units, the assignment or release of the Units for consideration, or the receipt of any other benefit in connection with the Units.</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Without limitation to the foregoing, you agree to make an election (the “</w:t>
      </w:r>
      <w:r>
        <w:rPr>
          <w:rFonts w:ascii="Arial" w:cs="Arial" w:eastAsia="Arial" w:hAnsi="Arial"/>
          <w:sz w:val="22"/>
          <w:szCs w:val="22"/>
          <w:u w:val="single" w:color="auto"/>
          <w:color w:val="auto"/>
        </w:rPr>
        <w:t>Election</w:t>
      </w:r>
      <w:r>
        <w:rPr>
          <w:rFonts w:ascii="Arial" w:cs="Arial" w:eastAsia="Arial" w:hAnsi="Arial"/>
          <w:sz w:val="22"/>
          <w:szCs w:val="22"/>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 You hereby authorize the Company and your Employer to withhold such Employer NICs by any of the means set forth in Section III of the Agreement.</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Units, without any liability to the Company or your Employer.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A-22</w:t>
      </w:r>
    </w:p>
    <w:p>
      <w:pPr>
        <w:sectPr>
          <w:pgSz w:w="11900" w:h="16838" w:orient="portrait"/>
          <w:cols w:equalWidth="0" w:num="1">
            <w:col w:w="11420"/>
          </w:cols>
          <w:pgMar w:left="240" w:top="375" w:right="2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The following provision replaces Section I(i) of the Agreement:</w:t>
      </w:r>
    </w:p>
    <w:p>
      <w:pPr>
        <w:spacing w:after="0" w:line="226" w:lineRule="exact"/>
        <w:rPr>
          <w:sz w:val="20"/>
          <w:szCs w:val="20"/>
          <w:color w:val="auto"/>
        </w:rPr>
      </w:pPr>
    </w:p>
    <w:p>
      <w:pPr>
        <w:jc w:val="both"/>
        <w:ind w:firstLine="8"/>
        <w:spacing w:after="0" w:line="251" w:lineRule="auto"/>
        <w:tabs>
          <w:tab w:leader="none" w:pos="397" w:val="left"/>
        </w:tabs>
        <w:numPr>
          <w:ilvl w:val="0"/>
          <w:numId w:val="4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of your active employment</w:t>
      </w:r>
      <w:r>
        <w:rPr>
          <w:rFonts w:ascii="Arial" w:cs="Arial" w:eastAsia="Arial" w:hAnsi="Arial"/>
          <w:sz w:val="21"/>
          <w:szCs w:val="21"/>
          <w:color w:val="auto"/>
        </w:rPr>
        <w:t xml:space="preserve">” shall mean the last date that you are either an active employee of the Company or an Affiliate or actively engaged as a Director of the Company or an Affiliate; in the event of termination of your employment (whether or not in breach of local labor laws), your right to receive Units and vest under the Plan, if any, will terminate effective as of the date that you are no longer actively employed;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right will be extended by any notice period mandated by law (e.g. the Worker Adjustment and Retraining Notification Act (“</w:t>
      </w:r>
      <w:r>
        <w:rPr>
          <w:rFonts w:ascii="Arial" w:cs="Arial" w:eastAsia="Arial" w:hAnsi="Arial"/>
          <w:sz w:val="21"/>
          <w:szCs w:val="21"/>
          <w:u w:val="single" w:color="auto"/>
          <w:color w:val="auto"/>
        </w:rPr>
        <w:t>WARN Act</w:t>
      </w:r>
      <w:r>
        <w:rPr>
          <w:rFonts w:ascii="Arial" w:cs="Arial" w:eastAsia="Arial" w:hAnsi="Arial"/>
          <w:sz w:val="21"/>
          <w:szCs w:val="21"/>
          <w:color w:val="auto"/>
        </w:rPr>
        <w:t xml:space="preserve">”) notice period or similar periods pursuant to local law) and any paid administrative leave (as applicable), unless the Company shall provide you with written notice otherwise before the commencement of such notice period or leave; </w:t>
      </w:r>
      <w:r>
        <w:rPr>
          <w:rFonts w:ascii="Arial" w:cs="Arial" w:eastAsia="Arial" w:hAnsi="Arial"/>
          <w:sz w:val="21"/>
          <w:szCs w:val="21"/>
          <w:i w:val="1"/>
          <w:iCs w:val="1"/>
          <w:color w:val="auto"/>
        </w:rPr>
        <w:t>provided further</w:t>
      </w:r>
      <w:r>
        <w:rPr>
          <w:rFonts w:ascii="Arial" w:cs="Arial" w:eastAsia="Arial" w:hAnsi="Arial"/>
          <w:sz w:val="21"/>
          <w:szCs w:val="21"/>
          <w:color w:val="auto"/>
        </w:rPr>
        <w:t>, that in no event shall payment of the Units be made after the close of your taxable year which includes the applicable Vesting Date or, if later, after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calendar month following the applicable Vesting Date;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VENEZUELA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Units Payable Only in Shares. </w:t>
      </w:r>
      <w:r>
        <w:rPr>
          <w:rFonts w:ascii="Arial" w:cs="Arial" w:eastAsia="Arial" w:hAnsi="Arial"/>
          <w:sz w:val="22"/>
          <w:szCs w:val="22"/>
          <w:color w:val="auto"/>
        </w:rPr>
        <w:t>Notwithstanding any discretion in the Plan or anything to the contrary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Units do not provide any right for you, as a resident of Venezuela, to receive a cash payment and shall be paid in Shares only.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Any Shares acquired under the Plan are intended to be a personal investment and are not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purposes of reselling the Shares and converting the proceeds into foreign currency. You are advised to consult with your personal legal advisor prior to vesting and settlement of the Units to ensure compliance with the applicable exchange control regulations in Venezuela, as such regulations change frequently. You are solely responsible for ensuring compliance with all exchange control laws in Venezuela.</w:t>
      </w:r>
    </w:p>
    <w:p>
      <w:pPr>
        <w:spacing w:after="0" w:line="187"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Units granted under the Plan and the Shares issued under the Plan are offered as a personal,</w:t>
      </w:r>
      <w:r>
        <w:rPr>
          <w:rFonts w:ascii="Arial" w:cs="Arial" w:eastAsia="Arial" w:hAnsi="Arial"/>
          <w:sz w:val="22"/>
          <w:szCs w:val="22"/>
          <w:b w:val="1"/>
          <w:bCs w:val="1"/>
          <w:color w:val="auto"/>
        </w:rPr>
        <w:t xml:space="preserve"> </w:t>
      </w:r>
      <w:r>
        <w:rPr>
          <w:rFonts w:ascii="Arial" w:cs="Arial" w:eastAsia="Arial" w:hAnsi="Arial"/>
          <w:sz w:val="22"/>
          <w:szCs w:val="22"/>
          <w:color w:val="auto"/>
        </w:rPr>
        <w:t>private, exclusive transaction and do not constitute a public offering under local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A-23</w:t>
      </w:r>
    </w:p>
    <w:p>
      <w:pPr>
        <w:sectPr>
          <w:pgSz w:w="11900" w:h="16838" w:orient="portrait"/>
          <w:cols w:equalWidth="0" w:num="1">
            <w:col w:w="11420"/>
          </w:cols>
          <w:pgMar w:left="240" w:top="585" w:right="239" w:bottom="1440" w:gutter="0" w:footer="0" w:header="0"/>
        </w:sectPr>
      </w:pPr>
    </w:p>
    <w:bookmarkStart w:id="77" w:name="page78"/>
    <w:bookmarkEnd w:id="77"/>
    <w:p>
      <w:pPr>
        <w:spacing w:after="0" w:line="213" w:lineRule="auto"/>
        <w:framePr w:w="8900" w:h="449" w:wrap="auto" w:vAnchor="page" w:hAnchor="page" w:x="2800" w:y="4917"/>
        <w:rPr>
          <w:rFonts w:ascii="Arial" w:cs="Arial" w:eastAsia="Arial" w:hAnsi="Arial"/>
          <w:sz w:val="22"/>
          <w:szCs w:val="22"/>
          <w:color w:val="auto"/>
        </w:rPr>
      </w:pPr>
      <w:r>
        <w:rPr>
          <w:rFonts w:ascii="Arial" w:cs="Arial" w:eastAsia="Arial" w:hAnsi="Arial"/>
          <w:sz w:val="22"/>
          <w:szCs w:val="22"/>
          <w:color w:val="auto"/>
        </w:rPr>
        <w:t>Amgen Inc. Amended and Restated 2009 Equity Incentive Plan, as amended and/or restated from time to time</w:t>
      </w:r>
    </w:p>
    <w:p>
      <w:pPr>
        <w:spacing w:after="0" w:line="211" w:lineRule="auto"/>
        <w:framePr w:w="8200" w:h="193" w:wrap="auto" w:vAnchor="page" w:hAnchor="page" w:x="2800" w:y="5431"/>
        <w:rPr>
          <w:rFonts w:ascii="Arial" w:cs="Arial" w:eastAsia="Arial" w:hAnsi="Arial"/>
          <w:sz w:val="19"/>
          <w:szCs w:val="19"/>
          <w:color w:val="auto"/>
        </w:rPr>
      </w:pPr>
      <w:r>
        <w:rPr>
          <w:rFonts w:ascii="Arial" w:cs="Arial" w:eastAsia="Arial" w:hAnsi="Arial"/>
          <w:sz w:val="19"/>
          <w:szCs w:val="19"/>
          <w:color w:val="auto"/>
        </w:rPr>
        <w:t>Amgen Inc. 2009 Performance Award Program, as amended and/or restated from time to time</w:t>
      </w:r>
    </w:p>
    <w:p>
      <w:pPr>
        <w:jc w:val="right"/>
        <w:spacing w:after="0"/>
        <w:rPr>
          <w:sz w:val="20"/>
          <w:szCs w:val="20"/>
          <w:color w:val="auto"/>
        </w:rPr>
      </w:pPr>
      <w:r>
        <w:rPr>
          <w:rFonts w:ascii="Arial" w:cs="Arial" w:eastAsia="Arial" w:hAnsi="Arial"/>
          <w:sz w:val="18"/>
          <w:szCs w:val="18"/>
          <w:b w:val="1"/>
          <w:bCs w:val="1"/>
          <w:color w:val="auto"/>
        </w:rPr>
        <w:t>Exhibit 10.6</w:t>
      </w:r>
    </w:p>
    <w:p>
      <w:pPr>
        <w:spacing w:after="0" w:line="257"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22"/>
          <w:szCs w:val="22"/>
          <w:b w:val="1"/>
          <w:bCs w:val="1"/>
          <w:color w:val="auto"/>
        </w:rPr>
        <w:t>Form of Award Notice</w:t>
      </w:r>
    </w:p>
    <w:p>
      <w:pPr>
        <w:spacing w:after="0" w:line="220" w:lineRule="exact"/>
        <w:rPr>
          <w:rFonts w:ascii="Arial" w:cs="Arial" w:eastAsia="Arial" w:hAnsi="Arial"/>
          <w:sz w:val="19"/>
          <w:szCs w:val="19"/>
          <w:color w:val="auto"/>
        </w:rPr>
      </w:pPr>
    </w:p>
    <w:p>
      <w:pPr>
        <w:jc w:val="both"/>
        <w:spacing w:after="0" w:line="252" w:lineRule="auto"/>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The information set forth in this Award Notice will be contained on the related pages on Merrill Lynch Benefits Website (or the</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website of any successor company to Merrill Lynch Bank &amp; Trust Co., FSB). This Award Notice shall be replaced by the equivalent pages on such website. References to Award Notice in this Agreement shall then refer to the equivalent pages on such website</w:t>
      </w:r>
      <w:r>
        <w:rPr>
          <w:rFonts w:ascii="Arial" w:cs="Arial" w:eastAsia="Arial" w:hAnsi="Arial"/>
          <w:sz w:val="22"/>
          <w:szCs w:val="22"/>
          <w:b w:val="1"/>
          <w:bCs w:val="1"/>
          <w:color w:val="auto"/>
        </w:rPr>
        <w:t>]</w:t>
      </w:r>
    </w:p>
    <w:p>
      <w:pPr>
        <w:spacing w:after="0" w:line="186" w:lineRule="exact"/>
        <w:rPr>
          <w:rFonts w:ascii="Arial" w:cs="Arial" w:eastAsia="Arial" w:hAnsi="Arial"/>
          <w:sz w:val="19"/>
          <w:szCs w:val="19"/>
          <w:color w:val="auto"/>
        </w:rPr>
      </w:pPr>
    </w:p>
    <w:p>
      <w:pPr>
        <w:jc w:val="both"/>
        <w:spacing w:after="0" w:line="250" w:lineRule="auto"/>
        <w:rPr>
          <w:sz w:val="20"/>
          <w:szCs w:val="20"/>
          <w:color w:val="auto"/>
        </w:rPr>
      </w:pPr>
      <w:r>
        <w:rPr>
          <w:rFonts w:ascii="Arial" w:cs="Arial" w:eastAsia="Arial" w:hAnsi="Arial"/>
          <w:sz w:val="22"/>
          <w:szCs w:val="22"/>
          <w:color w:val="auto"/>
        </w:rPr>
        <w:t>This notice of Award (the “</w:t>
      </w:r>
      <w:r>
        <w:rPr>
          <w:rFonts w:ascii="Arial" w:cs="Arial" w:eastAsia="Arial" w:hAnsi="Arial"/>
          <w:sz w:val="22"/>
          <w:szCs w:val="22"/>
          <w:u w:val="single" w:color="auto"/>
          <w:color w:val="auto"/>
        </w:rPr>
        <w:t>Award Notice</w:t>
      </w:r>
      <w:r>
        <w:rPr>
          <w:rFonts w:ascii="Arial" w:cs="Arial" w:eastAsia="Arial" w:hAnsi="Arial"/>
          <w:sz w:val="22"/>
          <w:szCs w:val="22"/>
          <w:color w:val="auto"/>
        </w:rPr>
        <w:t>”) sets forth certain details relating to the grant by the Company to you of the Award identified below, pursuant to the Plan. The terms of this Award Notice are incorporated into the Agreement that accompanies this Award Notice and made part of the Agreement. Capitalized terms used in this Award Notice that are not otherwise defined in this Award Notice have the meanings given to such terms in the Agreement.</w:t>
      </w:r>
    </w:p>
    <w:p>
      <w:pPr>
        <w:spacing w:after="0" w:line="188"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Employee:</w:t>
      </w:r>
    </w:p>
    <w:p>
      <w:pPr>
        <w:spacing w:after="0" w:line="22"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Employee ID:</w:t>
      </w:r>
    </w:p>
    <w:p>
      <w:pPr>
        <w:spacing w:after="0" w:line="17"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Address:</w:t>
      </w:r>
    </w:p>
    <w:p>
      <w:pPr>
        <w:spacing w:after="0" w:line="17"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Award Type:</w:t>
      </w:r>
    </w:p>
    <w:p>
      <w:pPr>
        <w:spacing w:after="0" w:line="17"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Grant ID:</w:t>
      </w:r>
    </w:p>
    <w:p>
      <w:pPr>
        <w:spacing w:after="0" w:line="17"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Plan:</w:t>
      </w:r>
    </w:p>
    <w:p>
      <w:pPr>
        <w:spacing w:after="0" w:line="46"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Program</w:t>
      </w:r>
    </w:p>
    <w:p>
      <w:pPr>
        <w:spacing w:after="0" w:line="22"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Grant Date:</w:t>
      </w:r>
    </w:p>
    <w:p>
      <w:pPr>
        <w:spacing w:after="0" w:line="4"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Number of Shares</w:t>
      </w:r>
    </w:p>
    <w:p>
      <w:pPr>
        <w:spacing w:after="0" w:line="17"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Number of Performance Units</w:t>
      </w:r>
    </w:p>
    <w:p>
      <w:pPr>
        <w:spacing w:after="0" w:line="4" w:lineRule="exact"/>
        <w:rPr>
          <w:rFonts w:ascii="Arial" w:cs="Arial" w:eastAsia="Arial" w:hAnsi="Arial"/>
          <w:sz w:val="19"/>
          <w:szCs w:val="19"/>
          <w:color w:val="auto"/>
        </w:rPr>
      </w:pPr>
    </w:p>
    <w:p>
      <w:pPr>
        <w:spacing w:after="0"/>
        <w:tabs>
          <w:tab w:leader="none" w:pos="2580" w:val="left"/>
        </w:tabs>
        <w:rPr>
          <w:sz w:val="20"/>
          <w:szCs w:val="20"/>
          <w:color w:val="auto"/>
        </w:rPr>
      </w:pPr>
      <w:r>
        <w:rPr>
          <w:rFonts w:ascii="Arial" w:cs="Arial" w:eastAsia="Arial" w:hAnsi="Arial"/>
          <w:sz w:val="19"/>
          <w:szCs w:val="19"/>
          <w:color w:val="auto"/>
        </w:rPr>
        <w:t>Resolutions:</w:t>
      </w:r>
      <w:r>
        <w:rPr>
          <w:sz w:val="20"/>
          <w:szCs w:val="20"/>
          <w:color w:val="auto"/>
        </w:rPr>
        <w:tab/>
      </w:r>
      <w:r>
        <w:rPr>
          <w:rFonts w:ascii="Arial" w:cs="Arial" w:eastAsia="Arial" w:hAnsi="Arial"/>
          <w:sz w:val="19"/>
          <w:szCs w:val="19"/>
          <w:color w:val="auto"/>
        </w:rPr>
        <w:t>The Resolutions of the Compensation and Management Development Committee of the Board of</w:t>
      </w:r>
    </w:p>
    <w:p>
      <w:pPr>
        <w:spacing w:after="0" w:line="38" w:lineRule="exact"/>
        <w:rPr>
          <w:rFonts w:ascii="Arial" w:cs="Arial" w:eastAsia="Arial" w:hAnsi="Arial"/>
          <w:sz w:val="19"/>
          <w:szCs w:val="19"/>
          <w:color w:val="auto"/>
        </w:rPr>
      </w:pPr>
    </w:p>
    <w:p>
      <w:pPr>
        <w:ind w:left="2600"/>
        <w:spacing w:after="0"/>
        <w:rPr>
          <w:sz w:val="20"/>
          <w:szCs w:val="20"/>
          <w:color w:val="auto"/>
        </w:rPr>
      </w:pPr>
      <w:r>
        <w:rPr>
          <w:rFonts w:ascii="Arial" w:cs="Arial" w:eastAsia="Arial" w:hAnsi="Arial"/>
          <w:sz w:val="19"/>
          <w:szCs w:val="19"/>
          <w:color w:val="auto"/>
        </w:rPr>
        <w:t>Directors of Amgen Inc., adopted on _____________, regarding the Amgen Inc. 2009 Performance</w:t>
      </w:r>
    </w:p>
    <w:p>
      <w:pPr>
        <w:spacing w:after="0" w:line="38" w:lineRule="exact"/>
        <w:rPr>
          <w:rFonts w:ascii="Arial" w:cs="Arial" w:eastAsia="Arial" w:hAnsi="Arial"/>
          <w:sz w:val="19"/>
          <w:szCs w:val="19"/>
          <w:color w:val="auto"/>
        </w:rPr>
      </w:pPr>
    </w:p>
    <w:p>
      <w:pPr>
        <w:ind w:left="2600"/>
        <w:spacing w:after="0"/>
        <w:rPr>
          <w:sz w:val="20"/>
          <w:szCs w:val="20"/>
          <w:color w:val="auto"/>
        </w:rPr>
      </w:pPr>
      <w:r>
        <w:rPr>
          <w:rFonts w:ascii="Arial" w:cs="Arial" w:eastAsia="Arial" w:hAnsi="Arial"/>
          <w:sz w:val="22"/>
          <w:szCs w:val="22"/>
          <w:color w:val="auto"/>
        </w:rPr>
        <w:t>Award Program, as amended from time to time</w:t>
      </w:r>
    </w:p>
    <w:p>
      <w:pPr>
        <w:spacing w:after="0" w:line="4" w:lineRule="exact"/>
        <w:rPr>
          <w:rFonts w:ascii="Arial" w:cs="Arial" w:eastAsia="Arial" w:hAnsi="Arial"/>
          <w:sz w:val="19"/>
          <w:szCs w:val="19"/>
          <w:color w:val="auto"/>
        </w:rPr>
      </w:pPr>
    </w:p>
    <w:p>
      <w:pPr>
        <w:spacing w:after="0"/>
        <w:tabs>
          <w:tab w:leader="none" w:pos="2580" w:val="left"/>
        </w:tabs>
        <w:rPr>
          <w:sz w:val="20"/>
          <w:szCs w:val="20"/>
          <w:color w:val="auto"/>
        </w:rPr>
      </w:pPr>
      <w:r>
        <w:rPr>
          <w:rFonts w:ascii="Arial" w:cs="Arial" w:eastAsia="Arial" w:hAnsi="Arial"/>
          <w:sz w:val="22"/>
          <w:szCs w:val="22"/>
          <w:color w:val="auto"/>
        </w:rPr>
        <w:t>Performance Period:</w:t>
      </w:r>
      <w:r>
        <w:rPr>
          <w:sz w:val="20"/>
          <w:szCs w:val="20"/>
          <w:color w:val="auto"/>
        </w:rPr>
        <w:tab/>
      </w:r>
      <w:r>
        <w:rPr>
          <w:rFonts w:ascii="Arial" w:cs="Arial" w:eastAsia="Arial" w:hAnsi="Arial"/>
          <w:sz w:val="19"/>
          <w:szCs w:val="19"/>
          <w:color w:val="auto"/>
        </w:rPr>
        <w:t>The Performance Period beginning on ____, 20__ and ending on _______, 20__</w:t>
      </w:r>
    </w:p>
    <w:p>
      <w:pPr>
        <w:spacing w:after="0" w:line="4" w:lineRule="exact"/>
        <w:rPr>
          <w:rFonts w:ascii="Arial" w:cs="Arial" w:eastAsia="Arial" w:hAnsi="Arial"/>
          <w:sz w:val="19"/>
          <w:szCs w:val="19"/>
          <w:color w:val="auto"/>
        </w:rPr>
      </w:pPr>
    </w:p>
    <w:p>
      <w:pPr>
        <w:spacing w:after="0"/>
        <w:tabs>
          <w:tab w:leader="none" w:pos="2580" w:val="left"/>
        </w:tabs>
        <w:rPr>
          <w:sz w:val="20"/>
          <w:szCs w:val="20"/>
          <w:color w:val="auto"/>
        </w:rPr>
      </w:pPr>
      <w:r>
        <w:rPr>
          <w:rFonts w:ascii="Arial" w:cs="Arial" w:eastAsia="Arial" w:hAnsi="Arial"/>
          <w:sz w:val="22"/>
          <w:szCs w:val="22"/>
          <w:color w:val="auto"/>
        </w:rPr>
        <w:t>Vesting Date:</w:t>
      </w:r>
      <w:r>
        <w:rPr>
          <w:sz w:val="20"/>
          <w:szCs w:val="20"/>
          <w:color w:val="auto"/>
        </w:rPr>
        <w:tab/>
      </w:r>
      <w:r>
        <w:rPr>
          <w:rFonts w:ascii="Arial" w:cs="Arial" w:eastAsia="Arial" w:hAnsi="Arial"/>
          <w:sz w:val="19"/>
          <w:szCs w:val="19"/>
          <w:color w:val="auto"/>
        </w:rPr>
        <w:t>Means the vesting date indicated in the Vesting Schedule</w:t>
      </w:r>
    </w:p>
    <w:p>
      <w:pPr>
        <w:spacing w:after="0" w:line="4" w:lineRule="exact"/>
        <w:rPr>
          <w:rFonts w:ascii="Arial" w:cs="Arial" w:eastAsia="Arial" w:hAnsi="Arial"/>
          <w:sz w:val="19"/>
          <w:szCs w:val="19"/>
          <w:color w:val="auto"/>
        </w:rPr>
      </w:pPr>
    </w:p>
    <w:p>
      <w:pPr>
        <w:spacing w:after="0"/>
        <w:tabs>
          <w:tab w:leader="none" w:pos="2580" w:val="left"/>
        </w:tabs>
        <w:rPr>
          <w:sz w:val="20"/>
          <w:szCs w:val="20"/>
          <w:color w:val="auto"/>
        </w:rPr>
      </w:pPr>
      <w:r>
        <w:rPr>
          <w:rFonts w:ascii="Arial" w:cs="Arial" w:eastAsia="Arial" w:hAnsi="Arial"/>
          <w:sz w:val="22"/>
          <w:szCs w:val="22"/>
          <w:color w:val="auto"/>
        </w:rPr>
        <w:t>Vesting Schedule:</w:t>
      </w:r>
      <w:r>
        <w:rPr>
          <w:sz w:val="20"/>
          <w:szCs w:val="20"/>
          <w:color w:val="auto"/>
        </w:rPr>
        <w:tab/>
      </w:r>
      <w:r>
        <w:rPr>
          <w:rFonts w:ascii="Arial" w:cs="Arial" w:eastAsia="Arial" w:hAnsi="Arial"/>
          <w:sz w:val="19"/>
          <w:szCs w:val="19"/>
          <w:color w:val="auto"/>
        </w:rPr>
        <w:t>Means the schedule of vesting set forth under Vesting Details</w:t>
      </w:r>
    </w:p>
    <w:p>
      <w:pPr>
        <w:spacing w:after="0" w:line="4" w:lineRule="exact"/>
        <w:rPr>
          <w:rFonts w:ascii="Arial" w:cs="Arial" w:eastAsia="Arial" w:hAnsi="Arial"/>
          <w:sz w:val="19"/>
          <w:szCs w:val="19"/>
          <w:color w:val="auto"/>
        </w:rPr>
      </w:pPr>
    </w:p>
    <w:p>
      <w:pPr>
        <w:spacing w:after="0"/>
        <w:tabs>
          <w:tab w:leader="none" w:pos="2580" w:val="left"/>
        </w:tabs>
        <w:rPr>
          <w:sz w:val="20"/>
          <w:szCs w:val="20"/>
          <w:color w:val="auto"/>
        </w:rPr>
      </w:pPr>
      <w:r>
        <w:rPr>
          <w:rFonts w:ascii="Arial" w:cs="Arial" w:eastAsia="Arial" w:hAnsi="Arial"/>
          <w:sz w:val="22"/>
          <w:szCs w:val="22"/>
          <w:color w:val="auto"/>
        </w:rPr>
        <w:t>Vesting Details:</w:t>
      </w:r>
      <w:r>
        <w:rPr>
          <w:sz w:val="20"/>
          <w:szCs w:val="20"/>
          <w:color w:val="auto"/>
        </w:rPr>
        <w:tab/>
      </w:r>
      <w:r>
        <w:rPr>
          <w:rFonts w:ascii="Arial" w:cs="Arial" w:eastAsia="Arial" w:hAnsi="Arial"/>
          <w:sz w:val="19"/>
          <w:szCs w:val="19"/>
          <w:color w:val="auto"/>
        </w:rPr>
        <w:t>Means the presentation (tabular or otherwise) of the Vesting Date and the quantity of Shares vesting.</w:t>
      </w:r>
    </w:p>
    <w:p>
      <w:pPr>
        <w:spacing w:after="0" w:line="191"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b w:val="1"/>
          <w:bCs w:val="1"/>
          <w:i w:val="1"/>
          <w:iCs w:val="1"/>
          <w:color w:val="auto"/>
        </w:rPr>
        <w:t>IMPORTANT NOTICE REGARDING ACCEPTANCE OF THE AWARD</w:t>
      </w:r>
      <w:r>
        <w:rPr>
          <w:rFonts w:ascii="Arial" w:cs="Arial" w:eastAsia="Arial" w:hAnsi="Arial"/>
          <w:sz w:val="28"/>
          <w:szCs w:val="28"/>
          <w:color w:val="auto"/>
          <w:vertAlign w:val="superscript"/>
        </w:rPr>
        <w:t>1</w:t>
      </w:r>
      <w:r>
        <w:rPr>
          <w:rFonts w:ascii="Arial" w:cs="Arial" w:eastAsia="Arial" w:hAnsi="Arial"/>
          <w:sz w:val="22"/>
          <w:szCs w:val="22"/>
          <w:color w:val="auto"/>
        </w:rPr>
        <w:t>:</w:t>
      </w:r>
    </w:p>
    <w:p>
      <w:pPr>
        <w:spacing w:after="0" w:line="161" w:lineRule="exact"/>
        <w:rPr>
          <w:rFonts w:ascii="Arial" w:cs="Arial" w:eastAsia="Arial" w:hAnsi="Arial"/>
          <w:sz w:val="19"/>
          <w:szCs w:val="19"/>
          <w:color w:val="auto"/>
        </w:rPr>
      </w:pPr>
    </w:p>
    <w:p>
      <w:pPr>
        <w:jc w:val="both"/>
        <w:spacing w:after="0" w:line="257" w:lineRule="auto"/>
        <w:rPr>
          <w:sz w:val="20"/>
          <w:szCs w:val="20"/>
          <w:color w:val="auto"/>
        </w:rPr>
      </w:pPr>
      <w:r>
        <w:rPr>
          <w:rFonts w:ascii="Arial" w:cs="Arial" w:eastAsia="Arial" w:hAnsi="Arial"/>
          <w:sz w:val="21"/>
          <w:szCs w:val="21"/>
          <w:b w:val="1"/>
          <w:bCs w:val="1"/>
          <w:i w:val="1"/>
          <w:iCs w:val="1"/>
          <w:color w:val="auto"/>
        </w:rPr>
        <w:t>RESIDENTS OF THE U.S. AND PUERTO RICO</w:t>
      </w:r>
      <w:r>
        <w:rPr>
          <w:rFonts w:ascii="Arial" w:cs="Arial" w:eastAsia="Arial" w:hAnsi="Arial"/>
          <w:sz w:val="21"/>
          <w:szCs w:val="21"/>
          <w:color w:val="auto"/>
        </w:rPr>
        <w:t>: Please read this Award Notice, the Plan and the Agreement (collectively,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u w:val="single" w:color="auto"/>
          <w:color w:val="auto"/>
        </w:rPr>
        <w:t>Grant Documents</w:t>
      </w:r>
      <w:r>
        <w:rPr>
          <w:rFonts w:ascii="Arial" w:cs="Arial" w:eastAsia="Arial" w:hAnsi="Arial"/>
          <w:sz w:val="21"/>
          <w:szCs w:val="21"/>
          <w:color w:val="auto"/>
        </w:rPr>
        <w:t xml:space="preserve">”) carefully. If you, as a resident of the U.S. or Puerto Rico,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wish to receive this Award and/or you do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consent and agree to the terms and conditions on which this Award is offered, as set forth in the Grant Documents, then you must reject the Award by contacting the Merrill Lynch call center (800) 97AMGEN (800-972-6436) within the U.S., Puerto Rico and Canada or +1 (609) 818-8910 from all other countries (Merrill Lynch will accept the charges for your call) no later than the forty-fifth calendar day following the day on which this Award Notice is made available to you, in which case the Award will be cancelled. For the purpose of determining the forty-five calendar days, Day 1 will be the day immediately following the day on which this Award Notice is made available to you. Your failure</w:t>
      </w:r>
    </w:p>
    <w:p>
      <w:pPr>
        <w:spacing w:after="0" w:line="229" w:lineRule="auto"/>
        <w:rPr>
          <w:sz w:val="20"/>
          <w:szCs w:val="20"/>
          <w:color w:val="auto"/>
        </w:rPr>
      </w:pPr>
      <w:r>
        <w:rPr>
          <w:rFonts w:ascii="Arial" w:cs="Arial" w:eastAsia="Arial" w:hAnsi="Arial"/>
          <w:sz w:val="22"/>
          <w:szCs w:val="22"/>
          <w:color w:val="auto"/>
        </w:rPr>
        <w:t>_________________________</w:t>
      </w:r>
    </w:p>
    <w:p>
      <w:pPr>
        <w:ind w:left="120" w:hanging="112"/>
        <w:spacing w:after="0" w:line="197" w:lineRule="auto"/>
        <w:tabs>
          <w:tab w:leader="none" w:pos="120" w:val="left"/>
        </w:tabs>
        <w:numPr>
          <w:ilvl w:val="0"/>
          <w:numId w:val="44"/>
        </w:numPr>
        <w:rPr>
          <w:rFonts w:ascii="Arial" w:cs="Arial" w:eastAsia="Arial" w:hAnsi="Arial"/>
          <w:sz w:val="29"/>
          <w:szCs w:val="29"/>
          <w:i w:val="1"/>
          <w:iCs w:val="1"/>
          <w:color w:val="auto"/>
          <w:vertAlign w:val="superscript"/>
        </w:rPr>
      </w:pPr>
      <w:r>
        <w:rPr>
          <w:rFonts w:ascii="Arial" w:cs="Arial" w:eastAsia="Arial" w:hAnsi="Arial"/>
          <w:sz w:val="22"/>
          <w:szCs w:val="22"/>
          <w:i w:val="1"/>
          <w:iCs w:val="1"/>
          <w:color w:val="auto"/>
        </w:rPr>
        <w:t>.This provision is only for use on the form of grant used for the U.S. and Puerto Rico.</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notify the Company of your rejection of the Award within this specified period will constitute your acceptance of the Award and your agreement with all terms and conditions of the Award, as set forth in the Grant Documents.</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THE SPECIFIC TERMS OF YOUR GRANT OF PERFORMANCE UNITS ARE FOUND IN THE PAGES RELATING TO THE GRANT OF PERFORMANCE UNITS FOUND ON MERRILL LYNCH BENEFITS WEBSITE (OR THE WEBSITE OF ANY SUCCESSOR COMPANY TO MERRILL LYNCH BANK &amp; TRUST CO., FSB) (THE “</w:t>
      </w: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NOTICE</w:t>
      </w:r>
      <w:r>
        <w:rPr>
          <w:rFonts w:ascii="Arial" w:cs="Arial" w:eastAsia="Arial" w:hAnsi="Arial"/>
          <w:sz w:val="22"/>
          <w:szCs w:val="22"/>
          <w:b w:val="1"/>
          <w:bCs w:val="1"/>
          <w:color w:val="auto"/>
        </w:rPr>
        <w:t>”) WHICH ACCOMPANIES THIS DOCUMENT. THE TERMS OF THE AWARD NOTICE ARE INCORPORATED INTO THIS PERFORMANCE UNIT AGREEMENT.</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On the Grant Date specified in the Award Notice, Amgen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has granted to you, the grantee named in the Award Notice, under the Amgen Inc. Amended and Restated 2009 Equity Incentive Plan, as amended and/or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the Number of Performance Units (the “</w:t>
      </w:r>
      <w:r>
        <w:rPr>
          <w:rFonts w:ascii="Arial" w:cs="Arial" w:eastAsia="Arial" w:hAnsi="Arial"/>
          <w:sz w:val="19"/>
          <w:szCs w:val="19"/>
          <w:u w:val="single" w:color="auto"/>
          <w:color w:val="auto"/>
        </w:rPr>
        <w:t>Performance Units</w:t>
      </w:r>
      <w:r>
        <w:rPr>
          <w:rFonts w:ascii="Arial" w:cs="Arial" w:eastAsia="Arial" w:hAnsi="Arial"/>
          <w:sz w:val="19"/>
          <w:szCs w:val="19"/>
          <w:color w:val="auto"/>
        </w:rPr>
        <w:t xml:space="preserve">”) specified in the Award Notice on the terms and conditions set forth in this Performance Unit Agreement (and any applicable special terms and conditions for your country set forth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(as described in greater detail in Section XIV below)) (collectively, this “</w:t>
      </w:r>
      <w:r>
        <w:rPr>
          <w:rFonts w:ascii="Arial" w:cs="Arial" w:eastAsia="Arial" w:hAnsi="Arial"/>
          <w:sz w:val="19"/>
          <w:szCs w:val="19"/>
          <w:u w:val="single" w:color="auto"/>
          <w:color w:val="auto"/>
        </w:rPr>
        <w:t>Agreement</w:t>
      </w:r>
      <w:r>
        <w:rPr>
          <w:rFonts w:ascii="Arial" w:cs="Arial" w:eastAsia="Arial" w:hAnsi="Arial"/>
          <w:sz w:val="19"/>
          <w:szCs w:val="19"/>
          <w:color w:val="auto"/>
        </w:rPr>
        <w:t>”), the Plan, the Amgen Inc. 2009 Performance Award Program (the “</w:t>
      </w:r>
      <w:r>
        <w:rPr>
          <w:rFonts w:ascii="Arial" w:cs="Arial" w:eastAsia="Arial" w:hAnsi="Arial"/>
          <w:sz w:val="19"/>
          <w:szCs w:val="19"/>
          <w:u w:val="single" w:color="auto"/>
          <w:color w:val="auto"/>
        </w:rPr>
        <w:t>Program</w:t>
      </w:r>
      <w:r>
        <w:rPr>
          <w:rFonts w:ascii="Arial" w:cs="Arial" w:eastAsia="Arial" w:hAnsi="Arial"/>
          <w:sz w:val="19"/>
          <w:szCs w:val="19"/>
          <w:color w:val="auto"/>
        </w:rPr>
        <w:t>”) and the Resolutions (as defined below). Capitalized terms not defined herein shall have the meanings assigned to such terms in the Program.</w:t>
      </w:r>
    </w:p>
    <w:p>
      <w:pPr>
        <w:spacing w:after="0" w:line="192" w:lineRule="exact"/>
        <w:rPr>
          <w:sz w:val="20"/>
          <w:szCs w:val="20"/>
          <w:color w:val="auto"/>
        </w:rPr>
      </w:pPr>
    </w:p>
    <w:p>
      <w:pPr>
        <w:ind w:left="1440" w:hanging="784"/>
        <w:spacing w:after="0"/>
        <w:tabs>
          <w:tab w:leader="none" w:pos="144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Performance Period</w:t>
      </w:r>
      <w:r>
        <w:rPr>
          <w:rFonts w:ascii="Arial" w:cs="Arial" w:eastAsia="Arial" w:hAnsi="Arial"/>
          <w:sz w:val="22"/>
          <w:szCs w:val="22"/>
          <w:color w:val="auto"/>
        </w:rPr>
        <w:t>. The Performance Period shall have the meaning set forth in the Award Notice.</w:t>
      </w:r>
    </w:p>
    <w:p>
      <w:pPr>
        <w:spacing w:after="0" w:line="260" w:lineRule="exact"/>
        <w:rPr>
          <w:sz w:val="20"/>
          <w:szCs w:val="20"/>
          <w:color w:val="auto"/>
        </w:rPr>
      </w:pPr>
    </w:p>
    <w:p>
      <w:pPr>
        <w:ind w:left="1500" w:hanging="844"/>
        <w:spacing w:after="0"/>
        <w:tabs>
          <w:tab w:leader="none" w:pos="1500"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Value of Performance Units</w:t>
      </w:r>
      <w:r>
        <w:rPr>
          <w:rFonts w:ascii="Arial" w:cs="Arial" w:eastAsia="Arial" w:hAnsi="Arial"/>
          <w:sz w:val="21"/>
          <w:szCs w:val="21"/>
          <w:color w:val="auto"/>
        </w:rPr>
        <w:t>. The value of each Performance Unit is equal to a share of Common Stock.</w:t>
      </w:r>
    </w:p>
    <w:p>
      <w:pPr>
        <w:spacing w:after="0" w:line="272" w:lineRule="exact"/>
        <w:rPr>
          <w:sz w:val="20"/>
          <w:szCs w:val="20"/>
          <w:color w:val="auto"/>
        </w:rPr>
      </w:pPr>
    </w:p>
    <w:p>
      <w:pPr>
        <w:jc w:val="both"/>
        <w:ind w:firstLine="656"/>
        <w:spacing w:after="0" w:line="250" w:lineRule="auto"/>
        <w:tabs>
          <w:tab w:leader="none" w:pos="1566"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Performance Goals</w:t>
      </w:r>
      <w:r>
        <w:rPr>
          <w:rFonts w:ascii="Arial" w:cs="Arial" w:eastAsia="Arial" w:hAnsi="Arial"/>
          <w:sz w:val="22"/>
          <w:szCs w:val="22"/>
          <w:color w:val="auto"/>
        </w:rPr>
        <w:t xml:space="preserve">. An amount of the Performance Units up to the maximum amount specified in the Resolutions shall be earned, depending on the extent to which the Company </w:t>
      </w:r>
      <w:r>
        <w:rPr>
          <w:rFonts w:ascii="Arial" w:cs="Arial" w:eastAsia="Arial" w:hAnsi="Arial"/>
          <w:sz w:val="22"/>
          <w:szCs w:val="22"/>
          <w:u w:val="single" w:color="auto"/>
          <w:color w:val="auto"/>
        </w:rPr>
        <w:t>achieves</w:t>
      </w:r>
      <w:r>
        <w:rPr>
          <w:rFonts w:ascii="Arial" w:cs="Arial" w:eastAsia="Arial" w:hAnsi="Arial"/>
          <w:sz w:val="22"/>
          <w:szCs w:val="22"/>
          <w:color w:val="auto"/>
        </w:rPr>
        <w:t xml:space="preserve"> objectively determinable Performance Goals established by the Committee pursuant to the Resolutions. The Performance Units earned shall be calculated in accordance with the Resolutions and the Program.</w:t>
      </w:r>
    </w:p>
    <w:p>
      <w:pPr>
        <w:spacing w:after="0" w:line="22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IV. </w:t>
      </w:r>
      <w:r>
        <w:rPr>
          <w:rFonts w:ascii="Arial" w:cs="Arial" w:eastAsia="Arial" w:hAnsi="Arial"/>
          <w:sz w:val="21"/>
          <w:szCs w:val="21"/>
          <w:u w:val="single" w:color="auto"/>
          <w:color w:val="auto"/>
        </w:rPr>
        <w:t>Form and Timing of Payment</w:t>
      </w:r>
      <w:r>
        <w:rPr>
          <w:rFonts w:ascii="Arial" w:cs="Arial" w:eastAsia="Arial" w:hAnsi="Arial"/>
          <w:sz w:val="21"/>
          <w:szCs w:val="21"/>
          <w:color w:val="auto"/>
        </w:rPr>
        <w:t>. Subject to Section XIII and except as set forth in the Program, for any Performance Units earned pursuant to Section III above, the specified payment date applicable to such Performance Units shall be the year immediately following the end of the Performance Period. Shares issued in respect of a Performance Unit shall be deemed to be issued in consideration of past services actually rendered by you to the Company or an Affiliate or for its benefit for which you have not previously been compensated or for future services to be rendered, as the case may be, which the Company deems to have a value at least equal to the aggregate par value thereof.</w:t>
      </w:r>
    </w:p>
    <w:p>
      <w:pPr>
        <w:spacing w:after="0" w:line="221" w:lineRule="exact"/>
        <w:rPr>
          <w:sz w:val="20"/>
          <w:szCs w:val="20"/>
          <w:color w:val="auto"/>
        </w:rPr>
      </w:pPr>
    </w:p>
    <w:p>
      <w:pPr>
        <w:jc w:val="both"/>
        <w:ind w:firstLine="656"/>
        <w:spacing w:after="0" w:line="258" w:lineRule="auto"/>
        <w:tabs>
          <w:tab w:leader="none" w:pos="1479"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Issuance of Certificates; Tax Withholding</w:t>
      </w:r>
      <w:r>
        <w:rPr>
          <w:rFonts w:ascii="Arial" w:cs="Arial" w:eastAsia="Arial" w:hAnsi="Arial"/>
          <w:sz w:val="21"/>
          <w:szCs w:val="21"/>
          <w:color w:val="auto"/>
        </w:rPr>
        <w:t>. Regardless of any action the Company or your actual employer (the “</w:t>
      </w:r>
      <w:r>
        <w:rPr>
          <w:rFonts w:ascii="Arial" w:cs="Arial" w:eastAsia="Arial" w:hAnsi="Arial"/>
          <w:sz w:val="21"/>
          <w:szCs w:val="21"/>
          <w:u w:val="single" w:color="auto"/>
          <w:color w:val="auto"/>
        </w:rPr>
        <w:t>Employer</w:t>
      </w:r>
      <w:r>
        <w:rPr>
          <w:rFonts w:ascii="Arial" w:cs="Arial" w:eastAsia="Arial" w:hAnsi="Arial"/>
          <w:sz w:val="21"/>
          <w:szCs w:val="21"/>
          <w:color w:val="auto"/>
        </w:rPr>
        <w:t>”) takes with respect to any or all income tax (including federal, state and local taxes), social insurance, payroll tax, fringe benefit tax, payment on account or other tax-related items related to your participation in the Plan and the Program and legally applicable to you (the “</w:t>
      </w:r>
      <w:r>
        <w:rPr>
          <w:rFonts w:ascii="Arial" w:cs="Arial" w:eastAsia="Arial" w:hAnsi="Arial"/>
          <w:sz w:val="21"/>
          <w:szCs w:val="21"/>
          <w:u w:val="single" w:color="auto"/>
          <w:color w:val="auto"/>
        </w:rPr>
        <w:t>Tax Obligations</w:t>
      </w:r>
      <w:r>
        <w:rPr>
          <w:rFonts w:ascii="Arial" w:cs="Arial" w:eastAsia="Arial" w:hAnsi="Arial"/>
          <w:sz w:val="21"/>
          <w:szCs w:val="21"/>
          <w:color w:val="auto"/>
        </w:rPr>
        <w:t>”), you acknowledge that the ultimate liability for all Tax Obligations is and remains your responsibility and may exceed the amount actually withheld by the Company and/or your Employer. You further acknowledge that the Company and/or your Employer (i) make no representations or undertakings regarding the treatment of any Tax Obligations in connection with any aspect of the Performance Units, including the grant of the Performance Units, the vesting of the Performance Units, the conversion of the Performance Units into shares or the receipt of an equivalent cash payment, the subsequent sale of any shares acquired at settlement and the receipt of any dividends; and (ii) do not commit to and are under no obligation to structure the terms of</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80" w:name="page81"/>
    <w:bookmarkEnd w:id="80"/>
    <w:p>
      <w:pPr>
        <w:jc w:val="both"/>
        <w:spacing w:after="0" w:line="265" w:lineRule="auto"/>
        <w:rPr>
          <w:sz w:val="20"/>
          <w:szCs w:val="20"/>
          <w:color w:val="auto"/>
        </w:rPr>
      </w:pPr>
      <w:r>
        <w:rPr>
          <w:rFonts w:ascii="Arial" w:cs="Arial" w:eastAsia="Arial" w:hAnsi="Arial"/>
          <w:sz w:val="21"/>
          <w:szCs w:val="21"/>
          <w:color w:val="auto"/>
        </w:rPr>
        <w:t>the grant or any aspect of the Performance Units to reduce or eliminate your liability for Tax Obligations or to achieve any particular tax result. Furthermore, if you become subject to tax in more than one jurisdiction between the Grant Date and the date of any relevant taxable event, you acknowledge that the Company and/or your Employer (or former employer, as applicable) may be required to withhold or account for Tax Obligations in more than one jurisdiction.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Prior to any relevant taxable or tax withholding event, as applicable, you shall pay or make adequate arrangements satisfactory to the Company or to your Employer (in their sole discretion) to satisfy all Tax Obligations. In this regard, you authorize the Company and/ or your Employer, or their respective agents, at their discretion, to satisfy all applicable Tax Obligations by one or a combination of the following:</w:t>
      </w:r>
    </w:p>
    <w:p>
      <w:pPr>
        <w:spacing w:after="0" w:line="188" w:lineRule="exact"/>
        <w:rPr>
          <w:sz w:val="20"/>
          <w:szCs w:val="20"/>
          <w:color w:val="auto"/>
        </w:rPr>
      </w:pPr>
    </w:p>
    <w:p>
      <w:pPr>
        <w:ind w:left="1840" w:hanging="535"/>
        <w:spacing w:after="0"/>
        <w:tabs>
          <w:tab w:leader="none" w:pos="18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withholding from your wages or other cash compensation paid to you by the Company and/or your Employer;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or</w:t>
      </w:r>
    </w:p>
    <w:p>
      <w:pPr>
        <w:spacing w:after="0" w:line="202" w:lineRule="exact"/>
        <w:rPr>
          <w:sz w:val="20"/>
          <w:szCs w:val="20"/>
          <w:color w:val="auto"/>
        </w:rPr>
      </w:pPr>
    </w:p>
    <w:p>
      <w:pPr>
        <w:ind w:right="20" w:firstLine="1305"/>
        <w:spacing w:after="0" w:line="343" w:lineRule="auto"/>
        <w:tabs>
          <w:tab w:leader="none" w:pos="1898"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withholding from proceeds of the sale of Shares issued upon settlement of the Performance Units, either through a voluntary sale or through a mandatory sale arranged by the Company (on your behalf pursuant to this authorization); or</w:t>
      </w:r>
    </w:p>
    <w:p>
      <w:pPr>
        <w:spacing w:after="0" w:line="104" w:lineRule="exact"/>
        <w:rPr>
          <w:rFonts w:ascii="Arial" w:cs="Arial" w:eastAsia="Arial" w:hAnsi="Arial"/>
          <w:sz w:val="19"/>
          <w:szCs w:val="19"/>
          <w:color w:val="auto"/>
        </w:rPr>
      </w:pPr>
    </w:p>
    <w:p>
      <w:pPr>
        <w:ind w:firstLine="1305"/>
        <w:spacing w:after="0" w:line="343" w:lineRule="auto"/>
        <w:tabs>
          <w:tab w:leader="none" w:pos="1801" w:val="left"/>
        </w:tabs>
        <w:numPr>
          <w:ilvl w:val="0"/>
          <w:numId w:val="50"/>
        </w:numPr>
        <w:rPr>
          <w:rFonts w:ascii="Arial" w:cs="Arial" w:eastAsia="Arial" w:hAnsi="Arial"/>
          <w:sz w:val="19"/>
          <w:szCs w:val="19"/>
          <w:color w:val="auto"/>
        </w:rPr>
      </w:pPr>
      <w:r>
        <w:rPr>
          <w:rFonts w:ascii="Arial" w:cs="Arial" w:eastAsia="Arial" w:hAnsi="Arial"/>
          <w:sz w:val="19"/>
          <w:szCs w:val="19"/>
          <w:color w:val="auto"/>
        </w:rPr>
        <w:t>withholding in Shares to be issued upon settlement of the Performance Units provided that the Company and your Employer shall only withhold an amount of Shares with a fair market value equal to the Tax Obligations.</w:t>
      </w:r>
    </w:p>
    <w:p>
      <w:pPr>
        <w:spacing w:after="0" w:line="105" w:lineRule="exact"/>
        <w:rPr>
          <w:sz w:val="20"/>
          <w:szCs w:val="20"/>
          <w:color w:val="auto"/>
        </w:rPr>
      </w:pPr>
    </w:p>
    <w:p>
      <w:pPr>
        <w:jc w:val="both"/>
        <w:ind w:firstLine="1297"/>
        <w:spacing w:after="0" w:line="294" w:lineRule="auto"/>
        <w:rPr>
          <w:sz w:val="20"/>
          <w:szCs w:val="20"/>
          <w:color w:val="auto"/>
        </w:rPr>
      </w:pPr>
      <w:r>
        <w:rPr>
          <w:rFonts w:ascii="Arial" w:cs="Arial" w:eastAsia="Arial" w:hAnsi="Arial"/>
          <w:sz w:val="19"/>
          <w:szCs w:val="19"/>
          <w:color w:val="auto"/>
        </w:rPr>
        <w:t>To avoid adverse accounting treatment, the Company may withhold or account for Tax Obligations not to exceed the applicable minimum statutory withholding rates or other applicable withholding rates. If the Tax Obligations are satisfied by withholding in Shares, for tax purposes, you are deemed to have been issued the full number of shares subject to the earned Performance Units, notwithstanding that a number of Shares is held back solely for the purpose of paying the Tax Obligations due as a result of any aspect of your participation in the Plan (any Shares withheld by the Company hereunder shall not be deemed to have been issued by the Company for any purpose under the Plan and shall remain available for issuance thereunder).</w:t>
      </w:r>
    </w:p>
    <w:p>
      <w:pPr>
        <w:spacing w:after="0" w:line="150"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Finally, you shall pay to the Company or your Employer any amount of Tax Obligations that the Company or your Employer may be required to withhold or account for as a result of your participation in the Plan and the Program that cannot be satisfied by the means previously described. You agree to take any further actions and to execute any additional documents as may be necessary to effectuate the provisions of this Section V. Notwithstanding Section IV above, the Company may refuse to issue or deliver the Shares or the proceeds of the sale of Shares if you fail to comply with your obligations in connection with the Tax Obligations.</w:t>
      </w:r>
    </w:p>
    <w:p>
      <w:pPr>
        <w:spacing w:after="0" w:line="23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22"/>
          <w:szCs w:val="22"/>
          <w:u w:val="single" w:color="auto"/>
          <w:color w:val="auto"/>
        </w:rPr>
        <w:t>Dividend Equivalents</w:t>
      </w:r>
    </w:p>
    <w:p>
      <w:pPr>
        <w:spacing w:after="0" w:line="260" w:lineRule="exact"/>
        <w:rPr>
          <w:sz w:val="20"/>
          <w:szCs w:val="20"/>
          <w:color w:val="auto"/>
        </w:rPr>
      </w:pPr>
    </w:p>
    <w:p>
      <w:pPr>
        <w:jc w:val="both"/>
        <w:ind w:firstLine="1305"/>
        <w:spacing w:after="0" w:line="259" w:lineRule="auto"/>
        <w:tabs>
          <w:tab w:leader="none" w:pos="1833"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Crediting of Dividend Equivalents</w:t>
      </w:r>
      <w:r>
        <w:rPr>
          <w:rFonts w:ascii="Arial" w:cs="Arial" w:eastAsia="Arial" w:hAnsi="Arial"/>
          <w:sz w:val="21"/>
          <w:szCs w:val="21"/>
          <w:color w:val="auto"/>
        </w:rPr>
        <w:t>. Subject to this Section VI, Dividend Equivalents shall be credited on each Performance Unit granted to you under this Agreement in the manner set forth in the remainder of this Section VI. If the Company declares one or more dividends or distributions (each, a “</w:t>
      </w:r>
      <w:r>
        <w:rPr>
          <w:rFonts w:ascii="Arial" w:cs="Arial" w:eastAsia="Arial" w:hAnsi="Arial"/>
          <w:sz w:val="21"/>
          <w:szCs w:val="21"/>
          <w:u w:val="single" w:color="auto"/>
          <w:color w:val="auto"/>
        </w:rPr>
        <w:t>Dividend</w:t>
      </w:r>
      <w:r>
        <w:rPr>
          <w:rFonts w:ascii="Arial" w:cs="Arial" w:eastAsia="Arial" w:hAnsi="Arial"/>
          <w:sz w:val="21"/>
          <w:szCs w:val="21"/>
          <w:color w:val="auto"/>
        </w:rPr>
        <w:t>”) on its Common Stock with a record date which occurs during the period commencing on the Grant Date through and including the day immediately preceding the day the Shares subject to the Performance Units are issued to you, whether in the form of cash, Common Stock or other property, then, on the date such Dividend is paid to the Company’s stockholders, you shall be credited with an amount equal to the amount or fair market value of such Dividend which would have been payable to you if you held a number of Shares equal to the number of Performance Units granted to you on the Grant Date (including any previou</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81" w:name="page82"/>
    <w:bookmarkEnd w:id="81"/>
    <w:p>
      <w:pPr>
        <w:jc w:val="both"/>
        <w:spacing w:after="0" w:line="292" w:lineRule="auto"/>
        <w:rPr>
          <w:sz w:val="20"/>
          <w:szCs w:val="20"/>
          <w:color w:val="auto"/>
        </w:rPr>
      </w:pPr>
      <w:r>
        <w:rPr>
          <w:rFonts w:ascii="Arial" w:cs="Arial" w:eastAsia="Arial" w:hAnsi="Arial"/>
          <w:sz w:val="19"/>
          <w:szCs w:val="19"/>
          <w:color w:val="auto"/>
        </w:rPr>
        <w:t>sly credited Dividends which have been deemed to have been reinvested in Common Stock as provided by the next succeeding sentence), as of each such record date for each such Dividend (not including on any Performance Units which were previously paid or forfeited) as if each such amount had been reinvested in Common Stock as of the date of the payment of such Dividend (such accumulated dividends, the “</w:t>
      </w:r>
      <w:r>
        <w:rPr>
          <w:rFonts w:ascii="Arial" w:cs="Arial" w:eastAsia="Arial" w:hAnsi="Arial"/>
          <w:sz w:val="19"/>
          <w:szCs w:val="19"/>
          <w:u w:val="single" w:color="auto"/>
          <w:color w:val="auto"/>
        </w:rPr>
        <w:t>Target Accumulated Dividends</w:t>
      </w:r>
      <w:r>
        <w:rPr>
          <w:rFonts w:ascii="Arial" w:cs="Arial" w:eastAsia="Arial" w:hAnsi="Arial"/>
          <w:sz w:val="19"/>
          <w:szCs w:val="19"/>
          <w:color w:val="auto"/>
        </w:rPr>
        <w:t>”). Each such Dividend Equivalent shall be deemed to have been reinvested in Common Stock as of the Dividend payment date. Dividend Equivalents shall be payable in full Shares, unless the Administrator determines, at any time prior to payment and in its discretion, that they shall be payable in cash. Dividend Equivalents payable with respect to fractional Shares shall be paid in cash.</w:t>
      </w:r>
    </w:p>
    <w:p>
      <w:pPr>
        <w:spacing w:after="0" w:line="192" w:lineRule="exact"/>
        <w:rPr>
          <w:sz w:val="20"/>
          <w:szCs w:val="20"/>
          <w:color w:val="auto"/>
        </w:rPr>
      </w:pPr>
    </w:p>
    <w:p>
      <w:pPr>
        <w:jc w:val="both"/>
        <w:ind w:firstLine="1305"/>
        <w:spacing w:after="0" w:line="248" w:lineRule="auto"/>
        <w:tabs>
          <w:tab w:leader="none" w:pos="181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Treatment of Dividend Equivalents.</w:t>
      </w:r>
      <w:r>
        <w:rPr>
          <w:rFonts w:ascii="Arial" w:cs="Arial" w:eastAsia="Arial" w:hAnsi="Arial"/>
          <w:sz w:val="22"/>
          <w:szCs w:val="22"/>
          <w:color w:val="auto"/>
        </w:rPr>
        <w:t xml:space="preserve"> Except as otherwise expressly provided in this Section VI any Dividend Equivalents credited to you shall be subject to all of the provisions of this Agreement which apply to the Performance Units with respect to which they have been credited and shall be payable, if at all, at the time and to the extent that the underlying Performance Unit becomes payable. Dividend Equivalents shall not be payable on any Performance Units that do not vest, or are forfeited, pursuant to the terms of this Agreement.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VII. </w:t>
      </w:r>
      <w:r>
        <w:rPr>
          <w:rFonts w:ascii="Arial" w:cs="Arial" w:eastAsia="Arial" w:hAnsi="Arial"/>
          <w:sz w:val="21"/>
          <w:szCs w:val="21"/>
          <w:u w:val="single" w:color="auto"/>
          <w:color w:val="auto"/>
        </w:rPr>
        <w:t>Nontransferability</w:t>
      </w:r>
      <w:r>
        <w:rPr>
          <w:rFonts w:ascii="Arial" w:cs="Arial" w:eastAsia="Arial" w:hAnsi="Arial"/>
          <w:sz w:val="21"/>
          <w:szCs w:val="21"/>
          <w:color w:val="auto"/>
        </w:rPr>
        <w:t xml:space="preserve">. No benefit payable under, or interest in, this Agreement or in the Shares that may become issuable to you hereunder shall be subject in any manner to anticipation, alienation, sale, transfer, assignment, pledge, encumbrance or charge and any such attempted action shall be void and no such benefit or interest shall be, in any manner, liable for, or subject to, your or your beneficiary’s debts, contracts, liabilities or torts; </w:t>
      </w:r>
      <w:r>
        <w:rPr>
          <w:rFonts w:ascii="Arial" w:cs="Arial" w:eastAsia="Arial" w:hAnsi="Arial"/>
          <w:sz w:val="21"/>
          <w:szCs w:val="21"/>
          <w:i w:val="1"/>
          <w:iCs w:val="1"/>
          <w:color w:val="auto"/>
        </w:rPr>
        <w:t>provided, however</w:t>
      </w:r>
      <w:r>
        <w:rPr>
          <w:rFonts w:ascii="Arial" w:cs="Arial" w:eastAsia="Arial" w:hAnsi="Arial"/>
          <w:sz w:val="21"/>
          <w:szCs w:val="21"/>
          <w:color w:val="auto"/>
        </w:rPr>
        <w:t>, nothing in this Section VII shall prevent transfer (i) by will or (ii) by applicable laws of descent and distribution.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VIII. </w:t>
      </w:r>
      <w:r>
        <w:rPr>
          <w:rFonts w:ascii="Arial" w:cs="Arial" w:eastAsia="Arial" w:hAnsi="Arial"/>
          <w:sz w:val="22"/>
          <w:szCs w:val="22"/>
          <w:u w:val="single" w:color="auto"/>
          <w:color w:val="auto"/>
        </w:rPr>
        <w:t>No Contract for Employment</w:t>
      </w:r>
      <w:r>
        <w:rPr>
          <w:rFonts w:ascii="Arial" w:cs="Arial" w:eastAsia="Arial" w:hAnsi="Arial"/>
          <w:sz w:val="22"/>
          <w:szCs w:val="22"/>
          <w:color w:val="auto"/>
        </w:rPr>
        <w:t>. This Agreement is not an employment or service contract with the Company or an Affiliate and nothing in this Agreement shall be deemed to create in any way whatsoever any obligation on your part to continue in the employ or service of the Company or an Affiliate, or of the Company or an Affiliate to continue your employment or service with the Company or an Affiliate.</w:t>
      </w:r>
    </w:p>
    <w:p>
      <w:pPr>
        <w:spacing w:after="0" w:line="22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IX.</w:t>
      </w:r>
      <w:r>
        <w:rPr>
          <w:sz w:val="20"/>
          <w:szCs w:val="20"/>
          <w:color w:val="auto"/>
        </w:rPr>
        <w:tab/>
      </w:r>
      <w:r>
        <w:rPr>
          <w:rFonts w:ascii="Arial" w:cs="Arial" w:eastAsia="Arial" w:hAnsi="Arial"/>
          <w:sz w:val="22"/>
          <w:szCs w:val="22"/>
          <w:u w:val="single" w:color="auto"/>
          <w:color w:val="auto"/>
        </w:rPr>
        <w:t>Nature of Grant</w:t>
      </w:r>
      <w:r>
        <w:rPr>
          <w:rFonts w:ascii="Arial" w:cs="Arial" w:eastAsia="Arial" w:hAnsi="Arial"/>
          <w:sz w:val="22"/>
          <w:szCs w:val="22"/>
          <w:color w:val="auto"/>
        </w:rPr>
        <w:t>. In accepting the grant of Performance Units, you acknowledge that:</w:t>
      </w:r>
    </w:p>
    <w:p>
      <w:pPr>
        <w:spacing w:after="0" w:line="260" w:lineRule="exact"/>
        <w:rPr>
          <w:sz w:val="20"/>
          <w:szCs w:val="20"/>
          <w:color w:val="auto"/>
        </w:rPr>
      </w:pPr>
    </w:p>
    <w:p>
      <w:pPr>
        <w:ind w:firstLine="1305"/>
        <w:spacing w:after="0" w:line="343" w:lineRule="auto"/>
        <w:tabs>
          <w:tab w:leader="none" w:pos="1799"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Plan and the Program are established voluntarily by the Company, are discretionary in nature and may be modified, amended, suspended or terminated by the Company at any time, as provided in the Plan and in the Program;</w:t>
      </w:r>
    </w:p>
    <w:p>
      <w:pPr>
        <w:spacing w:after="0" w:line="145" w:lineRule="exact"/>
        <w:rPr>
          <w:rFonts w:ascii="Arial" w:cs="Arial" w:eastAsia="Arial" w:hAnsi="Arial"/>
          <w:sz w:val="19"/>
          <w:szCs w:val="19"/>
          <w:color w:val="auto"/>
        </w:rPr>
      </w:pPr>
    </w:p>
    <w:p>
      <w:pPr>
        <w:jc w:val="both"/>
        <w:ind w:firstLine="1305"/>
        <w:spacing w:after="0" w:line="253" w:lineRule="auto"/>
        <w:tabs>
          <w:tab w:leader="none" w:pos="1842"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grant of the Performance Units is voluntary and occasional and does not create any contractual or other right to receive future awards of Performance Units, or benefits in lieu of Performance Units, even if Performance Units have been awarded in the past;</w:t>
      </w:r>
    </w:p>
    <w:p>
      <w:pPr>
        <w:spacing w:after="0" w:line="226" w:lineRule="exact"/>
        <w:rPr>
          <w:rFonts w:ascii="Arial" w:cs="Arial" w:eastAsia="Arial" w:hAnsi="Arial"/>
          <w:sz w:val="22"/>
          <w:szCs w:val="22"/>
          <w:color w:val="auto"/>
        </w:rPr>
      </w:pPr>
    </w:p>
    <w:p>
      <w:pPr>
        <w:ind w:left="1760" w:hanging="455"/>
        <w:spacing w:after="0"/>
        <w:tabs>
          <w:tab w:leader="none" w:pos="1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all decisions with respect to future awards, if any, will be at the sole discretion of the Company;</w:t>
      </w:r>
    </w:p>
    <w:p>
      <w:pPr>
        <w:spacing w:after="0" w:line="260" w:lineRule="exact"/>
        <w:rPr>
          <w:rFonts w:ascii="Arial" w:cs="Arial" w:eastAsia="Arial" w:hAnsi="Arial"/>
          <w:sz w:val="22"/>
          <w:szCs w:val="22"/>
          <w:color w:val="auto"/>
        </w:rPr>
      </w:pPr>
    </w:p>
    <w:p>
      <w:pPr>
        <w:ind w:firstLine="1305"/>
        <w:spacing w:after="0" w:line="343" w:lineRule="auto"/>
        <w:tabs>
          <w:tab w:leader="none" w:pos="1765" w:val="left"/>
        </w:tabs>
        <w:numPr>
          <w:ilvl w:val="0"/>
          <w:numId w:val="53"/>
        </w:numPr>
        <w:rPr>
          <w:rFonts w:ascii="Arial" w:cs="Arial" w:eastAsia="Arial" w:hAnsi="Arial"/>
          <w:sz w:val="19"/>
          <w:szCs w:val="19"/>
          <w:color w:val="auto"/>
        </w:rPr>
      </w:pPr>
      <w:r>
        <w:rPr>
          <w:rFonts w:ascii="Arial" w:cs="Arial" w:eastAsia="Arial" w:hAnsi="Arial"/>
          <w:sz w:val="19"/>
          <w:szCs w:val="19"/>
          <w:color w:val="auto"/>
        </w:rPr>
        <w:t>your participation in the Plan and the Program shall not create a right to further employment with the Employer and shall not interfere with the ability of the Employer to terminate your employment or service relationship (if any) at any time;</w:t>
      </w:r>
    </w:p>
    <w:p>
      <w:pPr>
        <w:spacing w:after="0" w:line="145" w:lineRule="exact"/>
        <w:rPr>
          <w:rFonts w:ascii="Arial" w:cs="Arial" w:eastAsia="Arial" w:hAnsi="Arial"/>
          <w:sz w:val="19"/>
          <w:szCs w:val="19"/>
          <w:color w:val="auto"/>
        </w:rPr>
      </w:pPr>
    </w:p>
    <w:p>
      <w:pPr>
        <w:ind w:left="1760" w:hanging="455"/>
        <w:spacing w:after="0"/>
        <w:tabs>
          <w:tab w:leader="none" w:pos="17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your participation in the Plan and the Program is voluntary;</w:t>
      </w:r>
    </w:p>
    <w:p>
      <w:pPr>
        <w:spacing w:after="0" w:line="260" w:lineRule="exact"/>
        <w:rPr>
          <w:rFonts w:ascii="Arial" w:cs="Arial" w:eastAsia="Arial" w:hAnsi="Arial"/>
          <w:sz w:val="22"/>
          <w:szCs w:val="22"/>
          <w:color w:val="auto"/>
        </w:rPr>
      </w:pPr>
    </w:p>
    <w:p>
      <w:pPr>
        <w:ind w:firstLine="1305"/>
        <w:spacing w:after="0" w:line="263" w:lineRule="auto"/>
        <w:tabs>
          <w:tab w:leader="none" w:pos="1746"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grant of Performance Units and the Shares subject to the Performance Units are not intended to replace any pension rights or compensation;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82" w:name="page83"/>
    <w:bookmarkEnd w:id="82"/>
    <w:p>
      <w:pPr>
        <w:jc w:val="both"/>
        <w:ind w:firstLine="1305"/>
        <w:spacing w:after="0" w:line="250" w:lineRule="auto"/>
        <w:tabs>
          <w:tab w:leader="none" w:pos="1875" w:val="left"/>
        </w:tabs>
        <w:numPr>
          <w:ilvl w:val="1"/>
          <w:numId w:val="54"/>
        </w:numPr>
        <w:rPr>
          <w:rFonts w:ascii="Arial" w:cs="Arial" w:eastAsia="Arial" w:hAnsi="Arial"/>
          <w:sz w:val="22"/>
          <w:szCs w:val="22"/>
          <w:color w:val="auto"/>
        </w:rPr>
      </w:pPr>
      <w:r>
        <w:rPr>
          <w:rFonts w:ascii="Arial" w:cs="Arial" w:eastAsia="Arial" w:hAnsi="Arial"/>
          <w:sz w:val="22"/>
          <w:szCs w:val="22"/>
          <w:color w:val="auto"/>
        </w:rPr>
        <w:t>neither the grant of Performance Units nor any provision of this Agreement, the Plan, the Program or the policies adopted pursuant to the Plan or Program confer upon you any right with respect to employment or continuation of current employment and shall not be interpreted to form an employment contract or relationship with the Company or any Affiliate of the Company;</w:t>
      </w:r>
    </w:p>
    <w:p>
      <w:pPr>
        <w:spacing w:after="0" w:line="228" w:lineRule="exact"/>
        <w:rPr>
          <w:rFonts w:ascii="Arial" w:cs="Arial" w:eastAsia="Arial" w:hAnsi="Arial"/>
          <w:sz w:val="22"/>
          <w:szCs w:val="22"/>
          <w:color w:val="auto"/>
        </w:rPr>
      </w:pPr>
    </w:p>
    <w:p>
      <w:pPr>
        <w:ind w:right="20" w:firstLine="1305"/>
        <w:spacing w:after="0" w:line="263" w:lineRule="auto"/>
        <w:tabs>
          <w:tab w:leader="none" w:pos="1849"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future value of the Shares that may be earned upon the end of the Performance Period is unknown and cannot be predicted with certainty;</w:t>
      </w:r>
    </w:p>
    <w:p>
      <w:pPr>
        <w:spacing w:after="0" w:line="215" w:lineRule="exact"/>
        <w:rPr>
          <w:rFonts w:ascii="Arial" w:cs="Arial" w:eastAsia="Arial" w:hAnsi="Arial"/>
          <w:sz w:val="22"/>
          <w:szCs w:val="22"/>
          <w:color w:val="auto"/>
        </w:rPr>
      </w:pPr>
    </w:p>
    <w:p>
      <w:pPr>
        <w:jc w:val="both"/>
        <w:ind w:firstLine="1305"/>
        <w:spacing w:after="0" w:line="247" w:lineRule="auto"/>
        <w:tabs>
          <w:tab w:leader="none" w:pos="1842" w:val="left"/>
        </w:tabs>
        <w:numPr>
          <w:ilvl w:val="1"/>
          <w:numId w:val="54"/>
        </w:numPr>
        <w:rPr>
          <w:rFonts w:ascii="Arial" w:cs="Arial" w:eastAsia="Arial" w:hAnsi="Arial"/>
          <w:sz w:val="22"/>
          <w:szCs w:val="22"/>
          <w:color w:val="auto"/>
        </w:rPr>
      </w:pPr>
      <w:r>
        <w:rPr>
          <w:rFonts w:ascii="Arial" w:cs="Arial" w:eastAsia="Arial" w:hAnsi="Arial"/>
          <w:sz w:val="22"/>
          <w:szCs w:val="22"/>
          <w:color w:val="auto"/>
        </w:rPr>
        <w:t>in consideration of the grant of Performance Units hereunder, no claim or entitlement to compensation or damages shall arise from forfeiture of the Performance Units resulting from termination of your employment by the Company or an Affiliate of the Company (for any reason whatsoever and whether or not in breach of local labor laws) and you irrevocably release the Company and your Employer from any such claim that may arise; if, notwithstanding the foregoing, any such claim is found by a court of competent jurisdiction to have arisen, you shall be deemed irrevocably to have waived your entitlement to pursue such claim;</w:t>
      </w:r>
    </w:p>
    <w:p>
      <w:pPr>
        <w:spacing w:after="0" w:line="234" w:lineRule="exact"/>
        <w:rPr>
          <w:rFonts w:ascii="Arial" w:cs="Arial" w:eastAsia="Arial" w:hAnsi="Arial"/>
          <w:sz w:val="22"/>
          <w:szCs w:val="22"/>
          <w:color w:val="auto"/>
        </w:rPr>
      </w:pPr>
    </w:p>
    <w:p>
      <w:pPr>
        <w:jc w:val="both"/>
        <w:ind w:firstLine="1305"/>
        <w:spacing w:after="0" w:line="265" w:lineRule="auto"/>
        <w:tabs>
          <w:tab w:leader="none" w:pos="1789" w:val="left"/>
        </w:tabs>
        <w:numPr>
          <w:ilvl w:val="1"/>
          <w:numId w:val="54"/>
        </w:numPr>
        <w:rPr>
          <w:rFonts w:ascii="Arial" w:cs="Arial" w:eastAsia="Arial" w:hAnsi="Arial"/>
          <w:sz w:val="21"/>
          <w:szCs w:val="21"/>
          <w:color w:val="auto"/>
        </w:rPr>
      </w:pPr>
      <w:r>
        <w:rPr>
          <w:rFonts w:ascii="Arial" w:cs="Arial" w:eastAsia="Arial" w:hAnsi="Arial"/>
          <w:sz w:val="21"/>
          <w:szCs w:val="21"/>
          <w:color w:val="auto"/>
        </w:rPr>
        <w:t>in the event of termination of your employment (whether or not in breach of local labor laws), your right to receive Performance Units and receive shares under the Plan and the Program, if any, will terminate effective as of the date that you are no longer actively employed and will not be extended by any notice period mandated under local law (</w:t>
      </w:r>
      <w:r>
        <w:rPr>
          <w:rFonts w:ascii="Arial" w:cs="Arial" w:eastAsia="Arial" w:hAnsi="Arial"/>
          <w:sz w:val="21"/>
          <w:szCs w:val="21"/>
          <w:i w:val="1"/>
          <w:iCs w:val="1"/>
          <w:color w:val="auto"/>
        </w:rPr>
        <w:t>e.g.</w:t>
      </w:r>
      <w:r>
        <w:rPr>
          <w:rFonts w:ascii="Arial" w:cs="Arial" w:eastAsia="Arial" w:hAnsi="Arial"/>
          <w:sz w:val="21"/>
          <w:szCs w:val="21"/>
          <w:color w:val="auto"/>
        </w:rPr>
        <w:t>, active employment would not include a period of “garden leave” or similar period pursuant to local law);</w:t>
      </w:r>
    </w:p>
    <w:p>
      <w:pPr>
        <w:spacing w:after="0" w:line="216" w:lineRule="exact"/>
        <w:rPr>
          <w:rFonts w:ascii="Arial" w:cs="Arial" w:eastAsia="Arial" w:hAnsi="Arial"/>
          <w:sz w:val="21"/>
          <w:szCs w:val="21"/>
          <w:color w:val="auto"/>
        </w:rPr>
      </w:pPr>
    </w:p>
    <w:p>
      <w:pPr>
        <w:jc w:val="both"/>
        <w:ind w:firstLine="1305"/>
        <w:spacing w:after="0" w:line="250" w:lineRule="auto"/>
        <w:tabs>
          <w:tab w:leader="none" w:pos="1792" w:val="left"/>
        </w:tabs>
        <w:numPr>
          <w:ilvl w:val="1"/>
          <w:numId w:val="54"/>
        </w:numPr>
        <w:rPr>
          <w:rFonts w:ascii="Arial" w:cs="Arial" w:eastAsia="Arial" w:hAnsi="Arial"/>
          <w:sz w:val="22"/>
          <w:szCs w:val="22"/>
          <w:color w:val="auto"/>
        </w:rPr>
      </w:pPr>
      <w:r>
        <w:rPr>
          <w:rFonts w:ascii="Arial" w:cs="Arial" w:eastAsia="Arial" w:hAnsi="Arial"/>
          <w:sz w:val="22"/>
          <w:szCs w:val="22"/>
          <w:color w:val="auto"/>
        </w:rPr>
        <w:t>except as otherwise provided in this Agreement or the Plan, the Performance Units and the benefits evidenced by this Agreement do not create any entitlement to have the Performance Units or any such benefits transferred to, or assumed by, another company nor to be exchanged, cashed out or substituted for, in connection with any corporate transaction affecting the shares of the Company; and</w:t>
      </w:r>
    </w:p>
    <w:p>
      <w:pPr>
        <w:spacing w:after="0" w:line="228" w:lineRule="exact"/>
        <w:rPr>
          <w:rFonts w:ascii="Arial" w:cs="Arial" w:eastAsia="Arial" w:hAnsi="Arial"/>
          <w:sz w:val="22"/>
          <w:szCs w:val="22"/>
          <w:color w:val="auto"/>
        </w:rPr>
      </w:pPr>
    </w:p>
    <w:p>
      <w:pPr>
        <w:ind w:left="1720" w:hanging="415"/>
        <w:spacing w:after="0"/>
        <w:tabs>
          <w:tab w:leader="none" w:pos="172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following provisions apply only if you are providing services outside the United States:</w:t>
      </w:r>
    </w:p>
    <w:p>
      <w:pPr>
        <w:spacing w:after="0" w:line="260" w:lineRule="exact"/>
        <w:rPr>
          <w:rFonts w:ascii="Arial" w:cs="Arial" w:eastAsia="Arial" w:hAnsi="Arial"/>
          <w:sz w:val="22"/>
          <w:szCs w:val="22"/>
          <w:color w:val="auto"/>
        </w:rPr>
      </w:pPr>
    </w:p>
    <w:p>
      <w:pPr>
        <w:jc w:val="both"/>
        <w:ind w:firstLine="1953"/>
        <w:spacing w:after="0" w:line="250" w:lineRule="auto"/>
        <w:tabs>
          <w:tab w:leader="none" w:pos="2489" w:val="left"/>
        </w:tabs>
        <w:numPr>
          <w:ilvl w:val="2"/>
          <w:numId w:val="54"/>
        </w:numPr>
        <w:rPr>
          <w:rFonts w:ascii="Arial" w:cs="Arial" w:eastAsia="Arial" w:hAnsi="Arial"/>
          <w:sz w:val="22"/>
          <w:szCs w:val="22"/>
          <w:color w:val="auto"/>
        </w:rPr>
      </w:pPr>
      <w:r>
        <w:rPr>
          <w:rFonts w:ascii="Arial" w:cs="Arial" w:eastAsia="Arial" w:hAnsi="Arial"/>
          <w:sz w:val="22"/>
          <w:szCs w:val="22"/>
          <w:color w:val="auto"/>
        </w:rPr>
        <w:t>for employment law purposes outside the United States, the Performance Units and underlying Shares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payments; and</w:t>
      </w:r>
    </w:p>
    <w:p>
      <w:pPr>
        <w:spacing w:after="0" w:line="228" w:lineRule="exact"/>
        <w:rPr>
          <w:rFonts w:ascii="Arial" w:cs="Arial" w:eastAsia="Arial" w:hAnsi="Arial"/>
          <w:sz w:val="22"/>
          <w:szCs w:val="22"/>
          <w:color w:val="auto"/>
        </w:rPr>
      </w:pPr>
    </w:p>
    <w:p>
      <w:pPr>
        <w:jc w:val="both"/>
        <w:ind w:firstLine="1953"/>
        <w:spacing w:after="0" w:line="250" w:lineRule="auto"/>
        <w:tabs>
          <w:tab w:leader="none" w:pos="2516" w:val="left"/>
        </w:tabs>
        <w:numPr>
          <w:ilvl w:val="2"/>
          <w:numId w:val="54"/>
        </w:numPr>
        <w:rPr>
          <w:rFonts w:ascii="Arial" w:cs="Arial" w:eastAsia="Arial" w:hAnsi="Arial"/>
          <w:sz w:val="22"/>
          <w:szCs w:val="22"/>
          <w:color w:val="auto"/>
        </w:rPr>
      </w:pPr>
      <w:r>
        <w:rPr>
          <w:rFonts w:ascii="Arial" w:cs="Arial" w:eastAsia="Arial" w:hAnsi="Arial"/>
          <w:sz w:val="22"/>
          <w:szCs w:val="22"/>
          <w:color w:val="auto"/>
        </w:rPr>
        <w:t>neither the Company, the Employer nor any Affiliate of the Company shall be liable for any foreign exchange rate fluctuation between your local currency and the United States Dollar that may affect the value of the Performance Units or of any amounts due to you pursuant to the settlement of the Performance Units or the subsequent sale of any Shares acquired upon settlement.</w:t>
      </w:r>
    </w:p>
    <w:p>
      <w:pPr>
        <w:spacing w:after="0" w:line="228" w:lineRule="exact"/>
        <w:rPr>
          <w:rFonts w:ascii="Arial" w:cs="Arial" w:eastAsia="Arial" w:hAnsi="Arial"/>
          <w:sz w:val="22"/>
          <w:szCs w:val="22"/>
          <w:color w:val="auto"/>
        </w:rPr>
      </w:pPr>
    </w:p>
    <w:p>
      <w:pPr>
        <w:jc w:val="both"/>
        <w:ind w:firstLine="656"/>
        <w:spacing w:after="0" w:line="250" w:lineRule="auto"/>
        <w:tabs>
          <w:tab w:leader="none" w:pos="1507"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 Advice Regarding Grant</w:t>
      </w:r>
      <w:r>
        <w:rPr>
          <w:rFonts w:ascii="Arial" w:cs="Arial" w:eastAsia="Arial" w:hAnsi="Arial"/>
          <w:sz w:val="22"/>
          <w:szCs w:val="22"/>
          <w:color w:val="auto"/>
        </w:rPr>
        <w:t>. The Company is not providing any tax, legal or financial advice, nor is the Company making any recommendations regarding your participation in the Plan and the Program, or your acquisition or sale of the underlying Shares. You are hereby advised to consult with your personal tax, legal and financial advisors regarding your participation in the Plan and the Program before taking any action related thereto.</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XI. </w:t>
      </w:r>
      <w:r>
        <w:rPr>
          <w:rFonts w:ascii="Arial" w:cs="Arial" w:eastAsia="Arial" w:hAnsi="Arial"/>
          <w:sz w:val="22"/>
          <w:szCs w:val="22"/>
          <w:u w:val="single" w:color="auto"/>
          <w:color w:val="auto"/>
        </w:rPr>
        <w:t>Notices</w:t>
      </w:r>
      <w:r>
        <w:rPr>
          <w:rFonts w:ascii="Arial" w:cs="Arial" w:eastAsia="Arial" w:hAnsi="Arial"/>
          <w:sz w:val="22"/>
          <w:szCs w:val="22"/>
          <w:color w:val="auto"/>
        </w:rPr>
        <w:t>. Any notices provided for in this Agreement, the Plan or the Program shall be given in writing or electronically and shall be deemed effectively given upon receipt or, in the case of notices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83" w:name="page84"/>
    <w:bookmarkEnd w:id="83"/>
    <w:p>
      <w:pPr>
        <w:jc w:val="both"/>
        <w:spacing w:after="0" w:line="248" w:lineRule="auto"/>
        <w:rPr>
          <w:sz w:val="20"/>
          <w:szCs w:val="20"/>
          <w:color w:val="auto"/>
        </w:rPr>
      </w:pPr>
      <w:r>
        <w:rPr>
          <w:rFonts w:ascii="Arial" w:cs="Arial" w:eastAsia="Arial" w:hAnsi="Arial"/>
          <w:sz w:val="22"/>
          <w:szCs w:val="22"/>
          <w:color w:val="auto"/>
        </w:rPr>
        <w:t>delivered by the Company to you, five (5) days after deposit in the United States mail or equivalent foreign postal service, postage prepaid, addressed to you at such address as is currently maintained in the Company’s records or at such other address as you hereafter designate by written notice to the Company Stock Administrator. Such notices may be given using any automated system for the documentation, granting or exercise of Awards, such as a system using an internet website or interactive voice response, as approved by the Company.</w:t>
      </w:r>
    </w:p>
    <w:p>
      <w:pPr>
        <w:spacing w:after="0" w:line="233"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21"/>
          <w:szCs w:val="21"/>
          <w:color w:val="auto"/>
        </w:rPr>
        <w:t xml:space="preserve">XII. </w:t>
      </w:r>
      <w:r>
        <w:rPr>
          <w:rFonts w:ascii="Arial" w:cs="Arial" w:eastAsia="Arial" w:hAnsi="Arial"/>
          <w:sz w:val="21"/>
          <w:szCs w:val="21"/>
          <w:u w:val="single" w:color="auto"/>
          <w:color w:val="auto"/>
        </w:rPr>
        <w:t>Resolutions, Plan and Program</w:t>
      </w:r>
      <w:r>
        <w:rPr>
          <w:rFonts w:ascii="Arial" w:cs="Arial" w:eastAsia="Arial" w:hAnsi="Arial"/>
          <w:sz w:val="21"/>
          <w:szCs w:val="21"/>
          <w:color w:val="auto"/>
        </w:rPr>
        <w:t>. This Agreement is subject to all the provisions of the Resolutions, the Plan and the Program and their provisions are hereby made a part of this Agreement and incorporated herein by reference, including, without limitation, the provisions of Articles 5 and 9 of the Plan (relating to Performance-Based Compensation and Performance Awards, respectively) and Section 13.2 of the Plan (relating to adjustments upon changes in the Common Stock), and is further subject to all interpretations, amendments, rules and regulations which may from time to time be promulgated and adopted pursuant to the Plan. In the event of any conflict between the provisions of this Agreement and those of the Resolutions, the Plan and the Program, the provisions of the Plan shall control. Notwithstanding any provision of this Agreement or the Program to the contrary, any earned Performance Units paid in cash rather than Shares shall not be deemed to have been issued by the Company for any purpose under the Plan.</w:t>
      </w:r>
    </w:p>
    <w:p>
      <w:pPr>
        <w:spacing w:after="0" w:line="2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XIII. </w:t>
      </w:r>
      <w:r>
        <w:rPr>
          <w:rFonts w:ascii="Arial" w:cs="Arial" w:eastAsia="Arial" w:hAnsi="Arial"/>
          <w:sz w:val="19"/>
          <w:szCs w:val="19"/>
          <w:u w:val="single" w:color="auto"/>
          <w:color w:val="auto"/>
        </w:rPr>
        <w:t>No Compensation Deferral</w:t>
      </w:r>
      <w:r>
        <w:rPr>
          <w:rFonts w:ascii="Arial" w:cs="Arial" w:eastAsia="Arial" w:hAnsi="Arial"/>
          <w:sz w:val="19"/>
          <w:szCs w:val="19"/>
          <w:color w:val="auto"/>
        </w:rPr>
        <w:t>. The Performance Units are not intended to constitute “nonqualified deferred compensation” within the meaning of Section 409A of the U.S. Internal Revenue Code of 1986, as amended from time to time (together with the regulations and official guidance promulgated thereunder, the “</w:t>
      </w:r>
      <w:r>
        <w:rPr>
          <w:rFonts w:ascii="Arial" w:cs="Arial" w:eastAsia="Arial" w:hAnsi="Arial"/>
          <w:sz w:val="19"/>
          <w:szCs w:val="19"/>
          <w:u w:val="single" w:color="auto"/>
          <w:color w:val="auto"/>
        </w:rPr>
        <w:t>Code</w:t>
      </w:r>
      <w:r>
        <w:rPr>
          <w:rFonts w:ascii="Arial" w:cs="Arial" w:eastAsia="Arial" w:hAnsi="Arial"/>
          <w:sz w:val="19"/>
          <w:szCs w:val="19"/>
          <w:color w:val="auto"/>
        </w:rPr>
        <w:t>”). However, if at any time the Committee determines that the Performance Units may be subject to Section 409A of the Code, the Committee shall have the right, in its sole discretion, and without your prior consent to amend the Program as it may determine is necessary or desirable either for the Performance Units to be exempt from the application of Section 409A of the Code or to satisfy the requirements of Section 409A of the Code, including by adding conditions with respect to the vesting and/or the payment of the Performance Units, provided that no such amendment may change the Program’s “performance goals,” within the meaning of Section 162(m) of the Code, with respect to any person who is a “covered employee,” within the meaning of Section 162(m) of the Code. Any such amendment to the Program may in the Committee’s sole discretion apply retroactively to this award of Performance Units.</w:t>
      </w:r>
    </w:p>
    <w:p>
      <w:pPr>
        <w:spacing w:after="0" w:line="201"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9"/>
          <w:szCs w:val="19"/>
          <w:color w:val="auto"/>
        </w:rPr>
        <w:t>XIV.</w:t>
      </w:r>
      <w:r>
        <w:rPr>
          <w:sz w:val="20"/>
          <w:szCs w:val="20"/>
          <w:color w:val="auto"/>
        </w:rPr>
        <w:tab/>
      </w:r>
      <w:r>
        <w:rPr>
          <w:rFonts w:ascii="Arial" w:cs="Arial" w:eastAsia="Arial" w:hAnsi="Arial"/>
          <w:sz w:val="19"/>
          <w:szCs w:val="19"/>
          <w:u w:val="single" w:color="auto"/>
          <w:color w:val="auto"/>
        </w:rPr>
        <w:t>Provisions Applicable to Participants in Foreign Jurisdictions</w:t>
      </w:r>
      <w:r>
        <w:rPr>
          <w:rFonts w:ascii="Arial" w:cs="Arial" w:eastAsia="Arial" w:hAnsi="Arial"/>
          <w:sz w:val="19"/>
          <w:szCs w:val="19"/>
          <w:color w:val="auto"/>
        </w:rPr>
        <w:t>. Notwithstanding any provision of this Agreement</w:t>
      </w:r>
    </w:p>
    <w:p>
      <w:pPr>
        <w:spacing w:after="0" w:line="5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 xml:space="preserve">or the Program to the contrary, if you are employed by the Company or an Affiliate in any of the countries identified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(which constitutes a part of this Agreement), are subject to the laws of any foreign jurisdiction, or relocate to one of the countries included in the attached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your award of Performance Units shall be subject to any special terms and conditions for such country set forth in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to the following additional terms and conditions:</w:t>
      </w:r>
    </w:p>
    <w:p>
      <w:pPr>
        <w:spacing w:after="0" w:line="191" w:lineRule="exact"/>
        <w:rPr>
          <w:sz w:val="20"/>
          <w:szCs w:val="20"/>
          <w:color w:val="auto"/>
        </w:rPr>
      </w:pPr>
    </w:p>
    <w:p>
      <w:pPr>
        <w:ind w:firstLine="1305"/>
        <w:spacing w:after="0" w:line="287" w:lineRule="auto"/>
        <w:tabs>
          <w:tab w:leader="none" w:pos="1924"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the terms and conditions of this Agreement, including </w:t>
      </w:r>
      <w:r>
        <w:rPr>
          <w:rFonts w:ascii="Arial" w:cs="Arial" w:eastAsia="Arial" w:hAnsi="Arial"/>
          <w:sz w:val="21"/>
          <w:szCs w:val="21"/>
          <w:u w:val="single" w:color="auto"/>
          <w:color w:val="auto"/>
        </w:rPr>
        <w:t>Appendix A</w:t>
      </w:r>
      <w:r>
        <w:rPr>
          <w:rFonts w:ascii="Arial" w:cs="Arial" w:eastAsia="Arial" w:hAnsi="Arial"/>
          <w:sz w:val="21"/>
          <w:szCs w:val="21"/>
          <w:color w:val="auto"/>
        </w:rPr>
        <w:t>, are deemed modified to the extent necessary or advisable to comply with applicable foreign laws or facilitate the administration of the Plan and the Program;</w:t>
      </w:r>
    </w:p>
    <w:p>
      <w:pPr>
        <w:spacing w:after="0" w:line="192" w:lineRule="exact"/>
        <w:rPr>
          <w:rFonts w:ascii="Arial" w:cs="Arial" w:eastAsia="Arial" w:hAnsi="Arial"/>
          <w:sz w:val="21"/>
          <w:szCs w:val="21"/>
          <w:color w:val="auto"/>
        </w:rPr>
      </w:pPr>
    </w:p>
    <w:p>
      <w:pPr>
        <w:jc w:val="both"/>
        <w:ind w:firstLine="1305"/>
        <w:spacing w:after="0" w:line="253" w:lineRule="auto"/>
        <w:tabs>
          <w:tab w:leader="none" w:pos="181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applicable, the effectiveness of your Award is conditioned upon its compliance with any applicable foreign laws, regulations, rules or local governmental regulatory exemption and subject to receipt of any required foreign regulatory approvals;</w:t>
      </w:r>
    </w:p>
    <w:p>
      <w:pPr>
        <w:spacing w:after="0" w:line="185" w:lineRule="exact"/>
        <w:rPr>
          <w:rFonts w:ascii="Arial" w:cs="Arial" w:eastAsia="Arial" w:hAnsi="Arial"/>
          <w:sz w:val="22"/>
          <w:szCs w:val="22"/>
          <w:color w:val="auto"/>
        </w:rPr>
      </w:pPr>
    </w:p>
    <w:p>
      <w:pPr>
        <w:ind w:firstLine="1305"/>
        <w:spacing w:after="0" w:line="263" w:lineRule="auto"/>
        <w:tabs>
          <w:tab w:leader="none" w:pos="1788" w:val="left"/>
        </w:tabs>
        <w:numPr>
          <w:ilvl w:val="0"/>
          <w:numId w:val="56"/>
        </w:numPr>
        <w:rPr>
          <w:rFonts w:ascii="Arial" w:cs="Arial" w:eastAsia="Arial" w:hAnsi="Arial"/>
          <w:sz w:val="22"/>
          <w:szCs w:val="22"/>
          <w:color w:val="auto"/>
        </w:rPr>
      </w:pPr>
      <w:r>
        <w:rPr>
          <w:rFonts w:ascii="Arial" w:cs="Arial" w:eastAsia="Arial" w:hAnsi="Arial"/>
          <w:sz w:val="22"/>
          <w:szCs w:val="22"/>
          <w:color w:val="auto"/>
        </w:rPr>
        <w:t>to the extent necessary to comply with applicable foreign laws, the payment of any earned Performance Units shall be made in cash or Common Stock, at the Company’s election;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84" w:name="page85"/>
    <w:bookmarkEnd w:id="84"/>
    <w:p>
      <w:pPr>
        <w:ind w:right="20" w:firstLine="1305"/>
        <w:spacing w:after="0" w:line="343" w:lineRule="auto"/>
        <w:tabs>
          <w:tab w:leader="none" w:pos="1772"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Committee may take any other action, before or after an award of Performance Units is made, that it deems necessary or advisable to obtain approval or comply with any necessary local governmental regulatory exemptions or approvals.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Notwithstanding anything to the contrary contained herein, the Company shall not take any actions hereunder, and no Award of Performance Units shall be granted, and no Shares payable with respect to an Award shall be issued, that would violate the Securities Act, the Exchange Act, the Code, or any other securities or tax or other applicable law or regulation, or the rules of any Securities Exchange. Notwithstanding anything to the contrary contained herein, no Shares issuable with respect to an Award shall be issued unless such shares are then registered under the Securities Act, or, if such shares are not then so registered, the Company has determined that such issuance would be exempt from the registration requirements of the Securities Act and that the issuance satisfied all other applicable legal requirements.</w:t>
      </w:r>
    </w:p>
    <w:p>
      <w:pPr>
        <w:spacing w:after="0" w:line="22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XV. </w:t>
      </w:r>
      <w:r>
        <w:rPr>
          <w:rFonts w:ascii="Arial" w:cs="Arial" w:eastAsia="Arial" w:hAnsi="Arial"/>
          <w:sz w:val="21"/>
          <w:szCs w:val="21"/>
          <w:b w:val="1"/>
          <w:bCs w:val="1"/>
          <w:i w:val="1"/>
          <w:iCs w:val="1"/>
          <w:u w:val="single" w:color="auto"/>
          <w:color w:val="auto"/>
        </w:rPr>
        <w:t>Data Privacy and Notice of Consent</w:t>
      </w:r>
      <w:r>
        <w:rPr>
          <w:rFonts w:ascii="Arial" w:cs="Arial" w:eastAsia="Arial" w:hAnsi="Arial"/>
          <w:sz w:val="21"/>
          <w:szCs w:val="21"/>
          <w:b w:val="1"/>
          <w:bCs w:val="1"/>
          <w:i w:val="1"/>
          <w:iCs w:val="1"/>
          <w:color w:val="auto"/>
        </w:rPr>
        <w:t>. You hereby explicitly and unambiguously consent to the collection, use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and transfer, in electronic or other form, of your personal data as described in this Agreement by and among, as applicable, the Employer, the Company, and any Affiliates of the Company for the exclusive purpose of implementing, administering and managing your participation in the Plan and the Program.</w:t>
      </w:r>
    </w:p>
    <w:p>
      <w:pPr>
        <w:spacing w:after="0" w:line="176"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b w:val="1"/>
          <w:bCs w:val="1"/>
          <w:i w:val="1"/>
          <w:iCs w:val="1"/>
          <w:color w:val="auto"/>
        </w:rPr>
        <w:t>You understand that the Company and the Employer may hold certain personal information about you, including, but not limited to, your name, home address and telephone number, date of birth, social insurance number (to the extent permitted under applicable local law) or other identification number, salary, nationality, job title, residency status, any shares of stock or directorships held in the Company, details of all equity compensation or any other entitlement to shares awarded, canceled, vested, unvested or outstanding in your favor, for the purpose of implementing, administering and managing the Plan and the Program (“</w:t>
      </w:r>
      <w:r>
        <w:rPr>
          <w:rFonts w:ascii="Arial" w:cs="Arial" w:eastAsia="Arial" w:hAnsi="Arial"/>
          <w:sz w:val="21"/>
          <w:szCs w:val="21"/>
          <w:b w:val="1"/>
          <w:bCs w:val="1"/>
          <w:i w:val="1"/>
          <w:iCs w:val="1"/>
          <w:u w:val="single" w:color="auto"/>
          <w:color w:val="auto"/>
        </w:rPr>
        <w:t>Data</w:t>
      </w:r>
      <w:r>
        <w:rPr>
          <w:rFonts w:ascii="Arial" w:cs="Arial" w:eastAsia="Arial" w:hAnsi="Arial"/>
          <w:sz w:val="21"/>
          <w:szCs w:val="21"/>
          <w:b w:val="1"/>
          <w:bCs w:val="1"/>
          <w:i w:val="1"/>
          <w:iCs w:val="1"/>
          <w:color w:val="auto"/>
        </w:rPr>
        <w:t>”).</w:t>
      </w:r>
    </w:p>
    <w:p>
      <w:pPr>
        <w:spacing w:after="0" w:line="18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b w:val="1"/>
          <w:bCs w:val="1"/>
          <w:i w:val="1"/>
          <w:iCs w:val="1"/>
          <w:color w:val="auto"/>
        </w:rPr>
        <w:t>You understand that Data may be transferred to Merrill Lynch Bank &amp; Trust Co., FSB (or any successor thereto), any third parties assisting in the implementation, administration and management of the Plan and the Program, that these recipients may be located in your country, or elsewhere, including outside the European Economic Area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Employer, the Company, Affiliates of the Company, Merrill Lynch Bank &amp; Trust Co., FSB (or any successor thereto), and any other possible recipients which may assist the Company (presently or in the future) with implementing, administering and managing your participation in the Plan and the Program to receive, possess, use, retain and transfer the Data, in electronic or other form, for the purposes of implementing, administering and managing your participation in the Plan and the Program, including any requisite transfer of such Data as may be required to a broker, escrow agent or other third party with whom the shares received upon vesting of the Performance Units may be deposited. You understand that Data will be held only as long as is necessary to implement, administer and manage your participation in the Plan and the Program. You understand that if you reside outside the United States,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or if you later seek to revoke your consent, your employment status or service and career with the Employer will not be adversely affected; the only adverse consequence of refusing or withdrawing your consent is that the Company would not be able to grant you</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22"/>
          <w:szCs w:val="22"/>
          <w:b w:val="1"/>
          <w:bCs w:val="1"/>
          <w:i w:val="1"/>
          <w:iCs w:val="1"/>
          <w:color w:val="auto"/>
        </w:rPr>
        <w:t>Performance Units or other equity awards or administer or maintain such awards. Therefore, you understand that refusing or withdrawing your consent may affect your ability to participate in the Plan and the Program. For more information on the consequences of your refusal to consent or withdrawal of consent, you understand that you may contact your local human resources representative.</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XVI. </w:t>
      </w:r>
      <w:r>
        <w:rPr>
          <w:rFonts w:ascii="Arial" w:cs="Arial" w:eastAsia="Arial" w:hAnsi="Arial"/>
          <w:sz w:val="22"/>
          <w:szCs w:val="22"/>
          <w:u w:val="single" w:color="auto"/>
          <w:color w:val="auto"/>
        </w:rPr>
        <w:t>Language</w:t>
      </w:r>
      <w:r>
        <w:rPr>
          <w:rFonts w:ascii="Arial" w:cs="Arial" w:eastAsia="Arial" w:hAnsi="Arial"/>
          <w:sz w:val="22"/>
          <w:szCs w:val="22"/>
          <w:color w:val="auto"/>
        </w:rPr>
        <w:t>. If you have received this Agreement or any other document related to the Plan and/or the Program translated into a language other than English and if the meaning of the translated version is different than the English version, the English version will control.</w:t>
      </w:r>
    </w:p>
    <w:p>
      <w:pPr>
        <w:spacing w:after="0" w:line="22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XVII. </w:t>
      </w:r>
      <w:r>
        <w:rPr>
          <w:rFonts w:ascii="Arial" w:cs="Arial" w:eastAsia="Arial" w:hAnsi="Arial"/>
          <w:sz w:val="22"/>
          <w:szCs w:val="22"/>
          <w:u w:val="single" w:color="auto"/>
          <w:color w:val="auto"/>
        </w:rPr>
        <w:t>Governing Law</w:t>
      </w:r>
      <w:r>
        <w:rPr>
          <w:rFonts w:ascii="Arial" w:cs="Arial" w:eastAsia="Arial" w:hAnsi="Arial"/>
          <w:sz w:val="22"/>
          <w:szCs w:val="22"/>
          <w:color w:val="auto"/>
        </w:rPr>
        <w:t>. The terms of this Agreement shall be governed by the laws of the State of Delaware without giving effect to principles of conflicts of laws. For purposes of litigating any dispute that arises hereunder, the parties hereby submit to and consent to the jurisdiction of the State of Delaware, and agree that such litigation shall be conducted in the courts of the State of Delaware, or the federal courts for the United States for the federal district located in the State of Delaware, and no other courts, where this Agreement is made and/or to be performed.</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XVIII. </w:t>
      </w:r>
      <w:r>
        <w:rPr>
          <w:rFonts w:ascii="Arial" w:cs="Arial" w:eastAsia="Arial" w:hAnsi="Arial"/>
          <w:sz w:val="21"/>
          <w:szCs w:val="21"/>
          <w:u w:val="single" w:color="auto"/>
          <w:color w:val="auto"/>
        </w:rPr>
        <w:t>Severability</w:t>
      </w:r>
      <w:r>
        <w:rPr>
          <w:rFonts w:ascii="Arial" w:cs="Arial" w:eastAsia="Arial" w:hAnsi="Arial"/>
          <w:sz w:val="21"/>
          <w:szCs w:val="21"/>
          <w:color w:val="auto"/>
        </w:rPr>
        <w:t>. If one or more of the provisions of this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XIX. </w:t>
      </w:r>
      <w:r>
        <w:rPr>
          <w:rFonts w:ascii="Arial" w:cs="Arial" w:eastAsia="Arial" w:hAnsi="Arial"/>
          <w:sz w:val="22"/>
          <w:szCs w:val="22"/>
          <w:u w:val="single" w:color="auto"/>
          <w:color w:val="auto"/>
        </w:rPr>
        <w:t>Electronic Delivery</w:t>
      </w:r>
      <w:r>
        <w:rPr>
          <w:rFonts w:ascii="Arial" w:cs="Arial" w:eastAsia="Arial" w:hAnsi="Arial"/>
          <w:sz w:val="22"/>
          <w:szCs w:val="22"/>
          <w:color w:val="auto"/>
        </w:rPr>
        <w:t>. The Company may, in its sole discretion, decide to deliver any documents related to current or future participation in the Plan and/or the Program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229" w:lineRule="exact"/>
        <w:rPr>
          <w:sz w:val="20"/>
          <w:szCs w:val="20"/>
          <w:color w:val="auto"/>
        </w:rPr>
      </w:pPr>
    </w:p>
    <w:p>
      <w:pPr>
        <w:jc w:val="both"/>
        <w:ind w:firstLine="656"/>
        <w:spacing w:after="0" w:line="265" w:lineRule="auto"/>
        <w:tabs>
          <w:tab w:leader="none" w:pos="1663"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Imposition of Other Requirements</w:t>
      </w:r>
      <w:r>
        <w:rPr>
          <w:rFonts w:ascii="Arial" w:cs="Arial" w:eastAsia="Arial" w:hAnsi="Arial"/>
          <w:sz w:val="21"/>
          <w:szCs w:val="21"/>
          <w:color w:val="auto"/>
        </w:rPr>
        <w:t>. The Company reserves the right to impose other requirements on your participation in the Plan and the Program, on the Performance Units and on any Shares acquired under the Plan and the Program,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3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XXI. </w:t>
      </w:r>
      <w:r>
        <w:rPr>
          <w:rFonts w:ascii="Arial" w:cs="Arial" w:eastAsia="Arial" w:hAnsi="Arial"/>
          <w:sz w:val="22"/>
          <w:szCs w:val="22"/>
          <w:u w:val="single" w:color="auto"/>
          <w:color w:val="auto"/>
        </w:rPr>
        <w:t>Waiver</w:t>
      </w:r>
      <w:r>
        <w:rPr>
          <w:rFonts w:ascii="Arial" w:cs="Arial" w:eastAsia="Arial" w:hAnsi="Arial"/>
          <w:sz w:val="22"/>
          <w:szCs w:val="22"/>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86" w:name="page87"/>
    <w:bookmarkEnd w:id="86"/>
    <w:p>
      <w:pPr>
        <w:ind w:left="3900"/>
        <w:spacing w:after="0"/>
        <w:rPr>
          <w:sz w:val="20"/>
          <w:szCs w:val="20"/>
          <w:color w:val="auto"/>
        </w:rPr>
      </w:pPr>
      <w:r>
        <w:rPr>
          <w:rFonts w:ascii="Arial" w:cs="Arial" w:eastAsia="Arial" w:hAnsi="Arial"/>
          <w:sz w:val="22"/>
          <w:szCs w:val="22"/>
          <w:color w:val="auto"/>
        </w:rPr>
        <w:t>Very truly yours,</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AMGEN INC.</w:t>
      </w:r>
    </w:p>
    <w:p>
      <w:pPr>
        <w:spacing w:after="0" w:line="200" w:lineRule="exact"/>
        <w:rPr>
          <w:sz w:val="20"/>
          <w:szCs w:val="20"/>
          <w:color w:val="auto"/>
        </w:rPr>
      </w:pPr>
    </w:p>
    <w:p>
      <w:pPr>
        <w:spacing w:after="0" w:line="299"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By:___________________________</w:t>
      </w:r>
    </w:p>
    <w:p>
      <w:pPr>
        <w:spacing w:after="0" w:line="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this ___ day of ______________, 20__.</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__________________________</w:t>
      </w:r>
    </w:p>
    <w:p>
      <w:pPr>
        <w:spacing w:after="0" w:line="200" w:lineRule="exact"/>
        <w:rPr>
          <w:sz w:val="20"/>
          <w:szCs w:val="20"/>
          <w:color w:val="auto"/>
        </w:rPr>
      </w:pP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888" w:right="1440" w:bottom="1440" w:gutter="0" w:footer="0" w:header="0"/>
        </w:sectPr>
      </w:pPr>
    </w:p>
    <w:bookmarkStart w:id="87" w:name="page88"/>
    <w:bookmarkEnd w:id="87"/>
    <w:p>
      <w:pPr>
        <w:ind w:left="5060"/>
        <w:spacing w:after="0"/>
        <w:rPr>
          <w:sz w:val="20"/>
          <w:szCs w:val="20"/>
          <w:color w:val="auto"/>
        </w:rPr>
      </w:pPr>
      <w:r>
        <w:rPr>
          <w:rFonts w:ascii="Arial" w:cs="Arial" w:eastAsia="Arial" w:hAnsi="Arial"/>
          <w:sz w:val="22"/>
          <w:szCs w:val="22"/>
          <w:b w:val="1"/>
          <w:bCs w:val="1"/>
          <w:u w:val="single" w:color="auto"/>
          <w:color w:val="auto"/>
        </w:rPr>
        <w:t>APPENDIX A</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ADDITIONAL TERMS AND CONDITIONS OF THE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AMGEN INC. 2009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AND/OR RESTATED FROM TIME TO TIME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OF PERFORMANCE UNITS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COUNTRY)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Certain capitalized terms used but not defined in this Appendix A shall have the meanings set forth in the Plan and/or the Agreement to which this Appendix is attached.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This Appendix includes additional terms and conditions that govern any Performance Units granted under the Plan if, under applicable law, you are a resident of, are deemed to be a resident of or are working in one of the countries listed below. Furthermore, the additional terms and conditions that govern the Performance Units granted hereunder may apply to you if you relocate to one of the countries listed below and the Company shall, in its discretion, determine to what extent the terms and conditions contained herein shall apply to you.</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Appendix also includes notifications relating to exchange control and other issues of which you should be aware with respect to your participation in the Plan. The information is based on the exchange control, securities and other laws in effect in the countries to which this Appendix refers as of October 2014. Such laws are often complex and change frequently. As a result, the Company strongly recommends that you not rely on the notifications herein as the only source of information relating to the consequences of your participation in the Plan because the information may be outdated when you acquire Shares under the Plan, or when you subsequently sell Shares acquired under the Plan.</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notifications are general in nature and may not apply to your particular situation, and the Company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residing and/or working or are considered a resident of another country for local law purposes, the information contained herein may not be applicable to you or you may be subject to the provisions of one or more jurisdictions.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ALL NON-U.S. JURISDICTIONS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Insider Trading Restrictions/Market Abuse Laws. </w:t>
      </w:r>
      <w:r>
        <w:rPr>
          <w:rFonts w:ascii="Arial" w:cs="Arial" w:eastAsia="Arial" w:hAnsi="Arial"/>
          <w:sz w:val="19"/>
          <w:szCs w:val="19"/>
          <w:color w:val="auto"/>
        </w:rPr>
        <w:t>You acknowledge that, depending on your country, you may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insider trading restrictions and/or market abuse laws, which may affect your ability to acquire or sell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Performance Units) under the Plan during such times as you are considered to have “inside information” regarding the Company (as defined by the laws in your country). Any restrictions under these laws or regulations are separate from and in addition to any restrictions that may be imposed under any applicable Company insider trading policy. You are responsible for ensuring your compliance with any applicable restrictions and are advised to speak with your personal legal advisor on this matter.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w:t>
      </w:r>
    </w:p>
    <w:p>
      <w:pPr>
        <w:sectPr>
          <w:pgSz w:w="11900" w:h="16838" w:orient="portrait"/>
          <w:cols w:equalWidth="0" w:num="1">
            <w:col w:w="11420"/>
          </w:cols>
          <w:pgMar w:left="240" w:top="369"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u w:val="single" w:color="auto"/>
          <w:color w:val="auto"/>
        </w:rPr>
        <w:t>AUSTRALIA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Exchange control reporting is required for cash transactions exceeding AUD10,000 and for</w:t>
      </w:r>
      <w:r>
        <w:rPr>
          <w:rFonts w:ascii="Arial" w:cs="Arial" w:eastAsia="Arial" w:hAnsi="Arial"/>
          <w:sz w:val="19"/>
          <w:szCs w:val="19"/>
          <w:b w:val="1"/>
          <w:bCs w:val="1"/>
          <w:color w:val="auto"/>
        </w:rPr>
        <w:t xml:space="preserve"> </w:t>
      </w:r>
      <w:r>
        <w:rPr>
          <w:rFonts w:ascii="Arial" w:cs="Arial" w:eastAsia="Arial" w:hAnsi="Arial"/>
          <w:sz w:val="19"/>
          <w:szCs w:val="19"/>
          <w:color w:val="auto"/>
        </w:rPr>
        <w:t>international fund transfers. If an Australian bank is assisting with the transaction, the bank will file the report on your behalf.</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If you acquire Shares under the Plan and offer the Shares for sale to a person or entity resident in</w:t>
      </w:r>
      <w:r>
        <w:rPr>
          <w:rFonts w:ascii="Arial" w:cs="Arial" w:eastAsia="Arial" w:hAnsi="Arial"/>
          <w:sz w:val="22"/>
          <w:szCs w:val="22"/>
          <w:b w:val="1"/>
          <w:bCs w:val="1"/>
          <w:color w:val="auto"/>
        </w:rPr>
        <w:t xml:space="preserve"> </w:t>
      </w:r>
      <w:r>
        <w:rPr>
          <w:rFonts w:ascii="Arial" w:cs="Arial" w:eastAsia="Arial" w:hAnsi="Arial"/>
          <w:sz w:val="22"/>
          <w:szCs w:val="22"/>
          <w:color w:val="auto"/>
        </w:rPr>
        <w:t>Australia, the offer may be subject to disclosure requirements under Australian law. You should consult with your own legal advisor before making any such offer in Australia.</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AUSTRIA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If you hold Shares acquired under the Plan outside of Austria, you must submit a report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Austrian National Bank. An exemption applies if the value of the shares as of any given quarter does not meet or exceed €30,000,000 or if the value of the shares in any given year as of December 31 does not meet or exceed €5,000,000. If the former threshold is exceeded, quarterly obligations are imposed, whereas if the latter threshold is exceeded, annual reports must be given. The quarterly reporting date is as of the last day of the respective quarter and the deadline for filing the quarterly report is the 15th day of the month following the end of the respective quarter. The annual reporting date is December 31 and the deadline for filing the annual report is January 31 of the following year.</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A separate reporting requirement applies when you sell Shares acquired under the Plan, receive a cash dividend paid on such shares or Dividend Equivalents paid in cash. In that case, there may be exchange control obligations if the cash proceeds are held outside of Austria. If the transaction volume of all accounts abroad exceeds €3,000,000, the movements and balances of all accounts must be reported monthly, as of the last day of the month, on or before the 15th day of the following month, on the prescribed form (</w:t>
      </w:r>
      <w:r>
        <w:rPr>
          <w:rFonts w:ascii="Arial" w:cs="Arial" w:eastAsia="Arial" w:hAnsi="Arial"/>
          <w:sz w:val="21"/>
          <w:szCs w:val="21"/>
          <w:i w:val="1"/>
          <w:iCs w:val="1"/>
          <w:color w:val="auto"/>
        </w:rPr>
        <w:t>Meldungen SI-Forderungen und/oder SI-Verpflichtungen</w:t>
      </w:r>
      <w:r>
        <w:rPr>
          <w:rFonts w:ascii="Arial" w:cs="Arial" w:eastAsia="Arial" w:hAnsi="Arial"/>
          <w:sz w:val="21"/>
          <w:szCs w:val="21"/>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BELGIUM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Tax Reporting; Foreign Asset/Account Reporting Information. </w:t>
      </w:r>
      <w:r>
        <w:rPr>
          <w:rFonts w:ascii="Arial" w:cs="Arial" w:eastAsia="Arial" w:hAnsi="Arial"/>
          <w:sz w:val="22"/>
          <w:szCs w:val="22"/>
          <w:color w:val="auto"/>
        </w:rPr>
        <w:t>You are required to report any taxable income attributable to</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granted hereunder on your annual tax return. You are also required to report any security and bank accounts opened and maintained outside Belgium on your annual tax return. In a separate report, you are required to provide the National Bank of Belgium with the account details of any such foreign accounts.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BRAZIL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Compliance with Law</w:t>
      </w:r>
      <w:r>
        <w:rPr>
          <w:rFonts w:ascii="Arial" w:cs="Arial" w:eastAsia="Arial" w:hAnsi="Arial"/>
          <w:sz w:val="22"/>
          <w:szCs w:val="22"/>
          <w:color w:val="auto"/>
        </w:rPr>
        <w:t>. By accepting the Performance Units, you acknowledge that you agree to comply with applicable Brazilian</w:t>
      </w:r>
      <w:r>
        <w:rPr>
          <w:rFonts w:ascii="Arial" w:cs="Arial" w:eastAsia="Arial" w:hAnsi="Arial"/>
          <w:sz w:val="22"/>
          <w:szCs w:val="22"/>
          <w:b w:val="1"/>
          <w:bCs w:val="1"/>
          <w:color w:val="auto"/>
        </w:rPr>
        <w:t xml:space="preserve"> </w:t>
      </w:r>
      <w:r>
        <w:rPr>
          <w:rFonts w:ascii="Arial" w:cs="Arial" w:eastAsia="Arial" w:hAnsi="Arial"/>
          <w:sz w:val="22"/>
          <w:szCs w:val="22"/>
          <w:color w:val="auto"/>
        </w:rPr>
        <w:t>laws and pay any and all applicable taxes associated with the vesting of the Performance Units, the sale of Shares acquired under the Plan, the payment of dividends on such shares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w:t>
      </w:r>
    </w:p>
    <w:p>
      <w:pPr>
        <w:sectPr>
          <w:pgSz w:w="11900" w:h="16838" w:orient="portrait"/>
          <w:cols w:equalWidth="0" w:num="1">
            <w:col w:w="11420"/>
          </w:cols>
          <w:pgMar w:left="240" w:top="585" w:right="239" w:bottom="1440" w:gutter="0" w:footer="0" w:header="0"/>
        </w:sectPr>
      </w:pPr>
    </w:p>
    <w:bookmarkStart w:id="89" w:name="page90"/>
    <w:bookmarkEnd w:id="89"/>
    <w:p>
      <w:pPr>
        <w:spacing w:after="0"/>
        <w:rPr>
          <w:sz w:val="20"/>
          <w:szCs w:val="20"/>
          <w:color w:val="auto"/>
        </w:rPr>
      </w:pPr>
      <w:r>
        <w:rPr>
          <w:rFonts w:ascii="Arial" w:cs="Arial" w:eastAsia="Arial" w:hAnsi="Arial"/>
          <w:sz w:val="22"/>
          <w:szCs w:val="22"/>
          <w:color w:val="auto"/>
        </w:rPr>
        <w:t>the receipt of any Dividend Equivalent paid in cash.</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Acknowledgement of Nature of Plan and Performance Units. </w:t>
      </w:r>
      <w:r>
        <w:rPr>
          <w:rFonts w:ascii="Arial" w:cs="Arial" w:eastAsia="Arial" w:hAnsi="Arial"/>
          <w:sz w:val="21"/>
          <w:szCs w:val="21"/>
          <w:color w:val="auto"/>
        </w:rPr>
        <w:t>This provision supplements Section IX of the Agreement:</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the Performance Units, you acknowledge (i) that you are making an investment decision, (ii) that the Shares will be issued to you only if the vesting conditions are met and any necessary services are rendered by you during the vesting period set forth in the Vesting Schedule, and (iii) that the value of the underlying Shares is not fixed and may increase or decrease in value over the vesting period without compensation to you.</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are resident or domiciled in Brazil, you will be required to submit annually a declaration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assets and rights held outside of Brazil to the Central Bank of Brazil if the aggregate value of such assets and rights equals or exceeds US$100,000. Assets and rights that must be reported include the following: (i) bank deposits; (ii) loans; (iii) financing transactions; (iv) leases; (v) direct investments; (vi) portfolio investments, including Shares acquired under the Plan; (vii) financial derivatives investments; and (viii) other investments, including real estate and other assets. Please note that foreign individuals holding Brazilian visas are considered Brazilian residents for purposes of this reporting requirement and must declare at least the assets held abroad that were acquired subsequent to the date of admittance as a resident of Brazil. Individuals holding assets and rights outside Brazil valued at less than US$100,000 are not required to submit a declaration.</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BULGARIA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CANADA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Termination of Service. </w:t>
      </w:r>
      <w:r>
        <w:rPr>
          <w:rFonts w:ascii="Arial" w:cs="Arial" w:eastAsia="Arial" w:hAnsi="Arial"/>
          <w:sz w:val="22"/>
          <w:szCs w:val="22"/>
          <w:color w:val="auto"/>
        </w:rPr>
        <w:t>This provision supplements Section IX(j) of the Agreement:</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in the event of involuntary termination of your employment (whether or not in breach of local labor laws), your right to receive an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Award and vest in such Award under the Plan and the Program, if any, will terminate effective as of the date that is the earlier of:</w:t>
      </w:r>
    </w:p>
    <w:p>
      <w:pPr>
        <w:spacing w:after="0" w:line="38" w:lineRule="exact"/>
        <w:rPr>
          <w:sz w:val="20"/>
          <w:szCs w:val="20"/>
          <w:color w:val="auto"/>
        </w:rPr>
      </w:pPr>
    </w:p>
    <w:p>
      <w:pPr>
        <w:jc w:val="both"/>
        <w:ind w:firstLine="8"/>
        <w:spacing w:after="0" w:line="258" w:lineRule="auto"/>
        <w:tabs>
          <w:tab w:leader="none" w:pos="332"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date you receive notice of termination of employment from the Company or your Employer, or (2) the date you are no longer actively employed by the Company or your Employer regardless of any notice period or period of pay in lieu of such notice required under local law (including, but not limited to statutory law, regulatory law and/or common law). Your right, if any, to acquire Shares pursuant to an Award after termination of employment will be measured by the date of termination of your active employment and will not be extended by any notice period mandated under local law;</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 Performance Units Payable Only in Shares. </w:t>
      </w:r>
      <w:r>
        <w:rPr>
          <w:rFonts w:ascii="Arial" w:cs="Arial" w:eastAsia="Arial" w:hAnsi="Arial"/>
          <w:sz w:val="22"/>
          <w:szCs w:val="22"/>
          <w:color w:val="auto"/>
        </w:rPr>
        <w:t>Notwithstanding any discretion in the Plan or the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or anything to the contrary in the Agreement, the Award does not provide any right for you, as a resident of Canada, to receive a cash payment and shall be paid in Shares only.</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following provisions will apply to you if you are a resident of Quebec: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The parties acknowledge that it is their express wish that the Agreement, as well as all</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- 3</w:t>
      </w:r>
    </w:p>
    <w:p>
      <w:pPr>
        <w:sectPr>
          <w:pgSz w:w="11900" w:h="16838" w:orient="portrait"/>
          <w:cols w:equalWidth="0" w:num="1">
            <w:col w:w="11420"/>
          </w:cols>
          <w:pgMar w:left="240" w:top="375" w:right="239" w:bottom="1440" w:gutter="0" w:footer="0" w:header="0"/>
        </w:sectPr>
      </w:pPr>
    </w:p>
    <w:bookmarkStart w:id="90" w:name="page91"/>
    <w:bookmarkEnd w:id="90"/>
    <w:p>
      <w:pPr>
        <w:jc w:val="both"/>
        <w:spacing w:after="0" w:line="263" w:lineRule="auto"/>
        <w:rPr>
          <w:sz w:val="20"/>
          <w:szCs w:val="20"/>
          <w:color w:val="auto"/>
        </w:rPr>
      </w:pPr>
      <w:r>
        <w:rPr>
          <w:rFonts w:ascii="Arial" w:cs="Arial" w:eastAsia="Arial" w:hAnsi="Arial"/>
          <w:sz w:val="22"/>
          <w:szCs w:val="22"/>
          <w:color w:val="auto"/>
        </w:rPr>
        <w:t>documents, notices, and legal proceedings entered into, given or instituted pursuant hereto or relating directly or indirectly hereto, be drawn up in English.</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i w:val="1"/>
          <w:iCs w:val="1"/>
          <w:color w:val="auto"/>
        </w:rPr>
        <w:t>Les parties reconnaissent avoir exigé la rédaction en anglais de cette convention (</w:t>
      </w:r>
      <w:r>
        <w:rPr>
          <w:rFonts w:ascii="Arial" w:cs="Arial" w:eastAsia="Arial" w:hAnsi="Arial"/>
          <w:sz w:val="22"/>
          <w:szCs w:val="22"/>
          <w:color w:val="auto"/>
        </w:rPr>
        <w:t>“</w:t>
      </w:r>
      <w:r>
        <w:rPr>
          <w:rFonts w:ascii="Arial" w:cs="Arial" w:eastAsia="Arial" w:hAnsi="Arial"/>
          <w:sz w:val="22"/>
          <w:szCs w:val="22"/>
          <w:i w:val="1"/>
          <w:iCs w:val="1"/>
          <w:color w:val="auto"/>
        </w:rPr>
        <w:t>Agreement</w:t>
      </w:r>
      <w:r>
        <w:rPr>
          <w:rFonts w:ascii="Arial" w:cs="Arial" w:eastAsia="Arial" w:hAnsi="Arial"/>
          <w:sz w:val="22"/>
          <w:szCs w:val="22"/>
          <w:color w:val="auto"/>
        </w:rPr>
        <w:t>”</w:t>
      </w:r>
      <w:r>
        <w:rPr>
          <w:rFonts w:ascii="Arial" w:cs="Arial" w:eastAsia="Arial" w:hAnsi="Arial"/>
          <w:sz w:val="22"/>
          <w:szCs w:val="22"/>
          <w:i w:val="1"/>
          <w:iCs w:val="1"/>
          <w:color w:val="auto"/>
        </w:rPr>
        <w:t>), ainsi que de tous documents exécutés, avis donnés et procédures judiciaries intentées, directement ou indirectement, relativement à ou suite à la présente convention.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and Consent. </w:t>
      </w:r>
      <w:r>
        <w:rPr>
          <w:rFonts w:ascii="Arial" w:cs="Arial" w:eastAsia="Arial" w:hAnsi="Arial"/>
          <w:sz w:val="22"/>
          <w:szCs w:val="22"/>
          <w:color w:val="auto"/>
        </w:rPr>
        <w:t>This provision supplements Section XV of the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You hereby authorize the Company and the Company’s representative to discuss with and obtain all relevant information from all personnel (professional or not) involved in the administration and operation of the Plan and the Program. You further authorize the Company and your Employer to disclose and discuss your participation in the Plan with their advisors. You also authorize the Company and your Employer to record such information and keep it in your employee file.</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You are permitted to sell Shares acquired through the Plan through the designated broker appointed</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the Plan, if any, provided that the resale of such shares takes place outside of Canada through the facilities of a stock exchange on which the shares are listed (</w:t>
      </w:r>
      <w:r>
        <w:rPr>
          <w:rFonts w:ascii="Arial" w:cs="Arial" w:eastAsia="Arial" w:hAnsi="Arial"/>
          <w:sz w:val="22"/>
          <w:szCs w:val="22"/>
          <w:i w:val="1"/>
          <w:iCs w:val="1"/>
          <w:color w:val="auto"/>
        </w:rPr>
        <w:t>i.e</w:t>
      </w:r>
      <w:r>
        <w:rPr>
          <w:rFonts w:ascii="Arial" w:cs="Arial" w:eastAsia="Arial" w:hAnsi="Arial"/>
          <w:sz w:val="22"/>
          <w:szCs w:val="22"/>
          <w:color w:val="auto"/>
        </w:rPr>
        <w:t>., the NASDAQ Global Select Market).</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report any foreign property (including Shares acquired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on form T1135 (Foreign Income Verification Statement) if the total value of the foreign property exceeds C$100,000 at any time in the year. It is not certain if Performance Units qualify as foreign property for purposes of this reporting obligation. The form must be filed by April 30 of the following year. It is your responsibility to comply with this reporting obligation and you should consult your personal tax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CHILE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Pursuant to Ruling No. 99 of 2001 issued by the Chilean Superintendence of Securities (“</w:t>
      </w:r>
      <w:r>
        <w:rPr>
          <w:rFonts w:ascii="Arial" w:cs="Arial" w:eastAsia="Arial" w:hAnsi="Arial"/>
          <w:sz w:val="22"/>
          <w:szCs w:val="22"/>
          <w:u w:val="single" w:color="auto"/>
          <w:color w:val="auto"/>
        </w:rPr>
        <w:t>CSS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Performance Units nor any Shares acquired under the Plan will be registered under the Registry of Securities held by the CSS nor are they under the control or supervision of the CSS.</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are not required to repatriate funds obtained from the sale of shares or the receipt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dividends or Dividend Equivalents. However, if you decide to repatriate such funds, you must do so through the Formal Exchange Market if the amount of funds exceeds US$10,000. In such case, you must report the payment to a commercial bank or registered foreign exchange office receiving the funds.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Tax Reporting and Registration Information. </w:t>
      </w:r>
      <w:r>
        <w:rPr>
          <w:rFonts w:ascii="Arial" w:cs="Arial" w:eastAsia="Arial" w:hAnsi="Arial"/>
          <w:sz w:val="22"/>
          <w:szCs w:val="22"/>
          <w:color w:val="auto"/>
        </w:rPr>
        <w:t>You must file Tax Form 1851 in relation to any Shares acquired under the Plan that</w:t>
      </w:r>
      <w:r>
        <w:rPr>
          <w:rFonts w:ascii="Arial" w:cs="Arial" w:eastAsia="Arial" w:hAnsi="Arial"/>
          <w:sz w:val="22"/>
          <w:szCs w:val="22"/>
          <w:b w:val="1"/>
          <w:bCs w:val="1"/>
          <w:color w:val="auto"/>
        </w:rPr>
        <w:t xml:space="preserve"> </w:t>
      </w:r>
      <w:r>
        <w:rPr>
          <w:rFonts w:ascii="Arial" w:cs="Arial" w:eastAsia="Arial" w:hAnsi="Arial"/>
          <w:sz w:val="22"/>
          <w:szCs w:val="22"/>
          <w:color w:val="auto"/>
        </w:rPr>
        <w:t>are held abroad and to any taxes paid abroad (if you will be seeking a credit against Chilean income tax owed) with the Chilean Internal Revenue Service (the “</w:t>
      </w:r>
      <w:r>
        <w:rPr>
          <w:rFonts w:ascii="Arial" w:cs="Arial" w:eastAsia="Arial" w:hAnsi="Arial"/>
          <w:sz w:val="22"/>
          <w:szCs w:val="22"/>
          <w:u w:val="single" w:color="auto"/>
          <w:color w:val="auto"/>
        </w:rPr>
        <w:t>CIRS</w:t>
      </w:r>
      <w:r>
        <w:rPr>
          <w:rFonts w:ascii="Arial" w:cs="Arial" w:eastAsia="Arial" w:hAnsi="Arial"/>
          <w:sz w:val="22"/>
          <w:szCs w:val="22"/>
          <w:color w:val="auto"/>
        </w:rPr>
        <w:t>”), The form must be submitted through the CIRS web page at www.sii.cl before March 15 of each year.</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Investments abroad must also be registered with the CIRS for you to be entitled to a foreign tax credit for any tax withheld on dividends abroad, if applicable, and such registration also provides evidence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- 4</w:t>
      </w:r>
    </w:p>
    <w:p>
      <w:pPr>
        <w:sectPr>
          <w:pgSz w:w="11900" w:h="16838" w:orient="portrait"/>
          <w:cols w:equalWidth="0" w:num="1">
            <w:col w:w="11420"/>
          </w:cols>
          <w:pgMar w:left="240" w:top="375" w:right="239" w:bottom="1440" w:gutter="0" w:footer="0" w:header="0"/>
        </w:sectPr>
      </w:pPr>
    </w:p>
    <w:bookmarkStart w:id="91" w:name="page92"/>
    <w:bookmarkEnd w:id="91"/>
    <w:p>
      <w:pPr>
        <w:jc w:val="both"/>
        <w:spacing w:after="0" w:line="263" w:lineRule="auto"/>
        <w:rPr>
          <w:sz w:val="20"/>
          <w:szCs w:val="20"/>
          <w:color w:val="auto"/>
        </w:rPr>
      </w:pPr>
      <w:r>
        <w:rPr>
          <w:rFonts w:ascii="Arial" w:cs="Arial" w:eastAsia="Arial" w:hAnsi="Arial"/>
          <w:sz w:val="22"/>
          <w:szCs w:val="22"/>
          <w:color w:val="auto"/>
        </w:rPr>
        <w:t>acquisition price of the shares (which will be zero) which you will need when the shares are sold. You are advised to consult with your personal legal advisor regarding how to register with the CIRS.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CHINA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The following terms apply only to individuals who are subject to exchange control restrictions in the People’s Republic of China (the “PRC”), as determined by the Company in its sole discretion</w:t>
      </w:r>
      <w:r>
        <w:rPr>
          <w:rFonts w:ascii="Arial" w:cs="Arial" w:eastAsia="Arial" w:hAnsi="Arial"/>
          <w:sz w:val="22"/>
          <w:szCs w:val="22"/>
          <w:color w:val="auto"/>
        </w:rPr>
        <w:t>:</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Vesting of the Performance Units. </w:t>
      </w:r>
      <w:r>
        <w:rPr>
          <w:rFonts w:ascii="Arial" w:cs="Arial" w:eastAsia="Arial" w:hAnsi="Arial"/>
          <w:sz w:val="22"/>
          <w:szCs w:val="22"/>
          <w:color w:val="auto"/>
        </w:rPr>
        <w:t>Notwithstanding anything to the contrary in the Form of Award Notice or Award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the Performance Units shall not vest or be considered earned until all necessary exchange control and other approvals from the PRC State Administration of Foreign Exchange or its local counterpart (“</w:t>
      </w:r>
      <w:r>
        <w:rPr>
          <w:rFonts w:ascii="Arial" w:cs="Arial" w:eastAsia="Arial" w:hAnsi="Arial"/>
          <w:sz w:val="22"/>
          <w:szCs w:val="22"/>
          <w:u w:val="single" w:color="auto"/>
          <w:color w:val="auto"/>
        </w:rPr>
        <w:t>SAFE</w:t>
      </w:r>
      <w:r>
        <w:rPr>
          <w:rFonts w:ascii="Arial" w:cs="Arial" w:eastAsia="Arial" w:hAnsi="Arial"/>
          <w:sz w:val="22"/>
          <w:szCs w:val="22"/>
          <w:color w:val="auto"/>
        </w:rPr>
        <w:t>”) have been received for Performance Units granted under the Plan. Once SAFE approval has been received, and provided you are then employed by the Company or an Affiliate, any portion of the Performance Units that was deemed earned prior to obtaining SAFE approval will then vest and Shares will be issuable to you in settlement of such Performance Units. If you terminate employment with the Company and its Affiliates prior to the receipt of SAFE approval, any Performance Units that are unvested pursuant to the preceding provision will be forfeited.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Further, notwithstanding anything to the contrary in Article 7.1 of the Program, if your employment with the Company or an Affiliate terminates at any time during the Performance Period, you shall forfeit all Performance Units.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 xml:space="preserve">Sale Requirement. </w:t>
      </w:r>
      <w:r>
        <w:rPr>
          <w:rFonts w:ascii="Arial" w:cs="Arial" w:eastAsia="Arial" w:hAnsi="Arial"/>
          <w:sz w:val="22"/>
          <w:szCs w:val="22"/>
          <w:color w:val="auto"/>
        </w:rPr>
        <w:t>Notwithstanding anything to the contrary in the Agreement, due to exchange control laws in the PRC, you</w:t>
      </w:r>
      <w:r>
        <w:rPr>
          <w:rFonts w:ascii="Arial" w:cs="Arial" w:eastAsia="Arial" w:hAnsi="Arial"/>
          <w:sz w:val="22"/>
          <w:szCs w:val="22"/>
          <w:b w:val="1"/>
          <w:bCs w:val="1"/>
          <w:color w:val="auto"/>
        </w:rPr>
        <w:t xml:space="preserve"> </w:t>
      </w:r>
      <w:r>
        <w:rPr>
          <w:rFonts w:ascii="Arial" w:cs="Arial" w:eastAsia="Arial" w:hAnsi="Arial"/>
          <w:sz w:val="22"/>
          <w:szCs w:val="22"/>
          <w:color w:val="auto"/>
        </w:rPr>
        <w:t>agree that the Company reserves the right to require the immediate sale of any Shares acquired upon settlement of the Performance Units. You understand and agree that any such immediate sale of shares will occur as soon as is practical following settlement of the Performance Units. Alternatively, if the Shares are not immediately sold upon settlement of the Performance Units, the Company will require the sale of any shares you may then hold within six (6) months (or such other period as may be required under applicable legal or exchange control requirements) following the termination of your employment with the Company, including its Affiliates.</w:t>
      </w:r>
    </w:p>
    <w:p>
      <w:pPr>
        <w:spacing w:after="0" w:line="19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5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- 5</w:t>
      </w:r>
    </w:p>
    <w:p>
      <w:pPr>
        <w:sectPr>
          <w:pgSz w:w="11900" w:h="16838" w:orient="portrait"/>
          <w:cols w:equalWidth="0" w:num="1">
            <w:col w:w="11420"/>
          </w:cols>
          <w:pgMar w:left="240" w:top="375" w:right="239" w:bottom="1440" w:gutter="0" w:footer="0" w:header="0"/>
        </w:sectPr>
      </w:pPr>
    </w:p>
    <w:bookmarkStart w:id="92" w:name="page93"/>
    <w:bookmarkEnd w:id="92"/>
    <w:p>
      <w:pPr>
        <w:jc w:val="both"/>
        <w:spacing w:after="0" w:line="263" w:lineRule="auto"/>
        <w:rPr>
          <w:sz w:val="20"/>
          <w:szCs w:val="20"/>
          <w:color w:val="auto"/>
        </w:rPr>
      </w:pPr>
      <w:r>
        <w:rPr>
          <w:rFonts w:ascii="Arial" w:cs="Arial" w:eastAsia="Arial" w:hAnsi="Arial"/>
          <w:sz w:val="22"/>
          <w:szCs w:val="22"/>
          <w:color w:val="auto"/>
        </w:rPr>
        <w:t>for the amount of any loss that you may incur and that the Company assumes no liability for any fluctuations in the share price and/or any applicable exchange rate.</w:t>
      </w:r>
    </w:p>
    <w:p>
      <w:pPr>
        <w:spacing w:after="0" w:line="169"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Performance Units are not immediately sold,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you are required to maintain the shares in an account with Merrill Lynch Bank and Trust Co., FSB or such other designated broker as may be selected by the Company until the shares are sold through such Company-designated broker.</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local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upon settlement of the Performance Units and from the receipt of any dividends or Dividend Equivalents to China. You further understand that, under applicable laws, such repatriation of your cash proceeds will need to be effectuated through a special exchange control account established by the Company or any Affiliate, including the Employer, and you hereby consent and agree that any proceeds may be transferred to such special account prior to being delivered to you. You also understand that the Company will deliver the proceeds to you as soon as possible, but that there may be delays in distributing the funds to you due to exchange control requirements in China. Proceeds may be paid to you in U.S. dollars or local currency at the Company’s discretion. If the proceeds are paid to you in U.S. dollars, you will be required to set up a U.S. dollar bank account in China so that the proceeds may be deposited into this account. If the proceeds are paid to you in local currency, the Company is under no obligation to secure any particular currency conversion rate and the Company may face delays in converting the proceeds to local currency due to exchange control restrictions. You further agree to comply with any other requirements that may be imposed by the Company in the future in order to facilitate compliance with exchange control requirements in China.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Effective January 1, 2014, PRC residents are required to report to SAFE details</w:t>
      </w:r>
      <w:r>
        <w:rPr>
          <w:rFonts w:ascii="Arial" w:cs="Arial" w:eastAsia="Arial" w:hAnsi="Arial"/>
          <w:sz w:val="22"/>
          <w:szCs w:val="22"/>
          <w:b w:val="1"/>
          <w:bCs w:val="1"/>
          <w:color w:val="auto"/>
        </w:rPr>
        <w:t xml:space="preserve"> </w:t>
      </w:r>
      <w:r>
        <w:rPr>
          <w:rFonts w:ascii="Arial" w:cs="Arial" w:eastAsia="Arial" w:hAnsi="Arial"/>
          <w:sz w:val="22"/>
          <w:szCs w:val="22"/>
          <w:color w:val="auto"/>
        </w:rPr>
        <w:t>of their foreign financial assets and liabilities, as well as details of any economic transactions conducted with non-PRC residents, either directly or through financial institutions. Shares or Performance Units acquired under the Plan and Plan-related transactions may be subject to reporting under these new rules. It is your responsibility to comply with this reporting obligation and you should consult your personal tax advisor in this regard.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COLOMBIA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Investment in assets located abroad (such as Shares acquired under the Plan) does not require</w:t>
      </w:r>
      <w:r>
        <w:rPr>
          <w:rFonts w:ascii="Arial" w:cs="Arial" w:eastAsia="Arial" w:hAnsi="Arial"/>
          <w:sz w:val="19"/>
          <w:szCs w:val="19"/>
          <w:b w:val="1"/>
          <w:bCs w:val="1"/>
          <w:color w:val="auto"/>
        </w:rPr>
        <w:t xml:space="preserve"> </w:t>
      </w:r>
      <w:r>
        <w:rPr>
          <w:rFonts w:ascii="Arial" w:cs="Arial" w:eastAsia="Arial" w:hAnsi="Arial"/>
          <w:sz w:val="19"/>
          <w:szCs w:val="19"/>
          <w:color w:val="auto"/>
        </w:rPr>
        <w:t>prior approval from the Central Bank (Banco de la República). However, if the value of your aggregate investments held abroad (including shares) equals or exceeds US$500,000 as of December 31 of the applicable calendar year, these investments must be registered with the Central Bank. Upon sale or other disposition of investments (including shares) which have been registered with the Central Bank, the registration with the Central Bank must be cancelled no later than March 31 of the year following the year of the sale or disposition (or a fine of up to 200% of the value of the infringing payment will apply).</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CROATIA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Croatian residents must report any foreign investments (including Shares acquired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to the Croatian National Bank for statistical purposes and obtain prior approval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- 6</w:t>
      </w:r>
    </w:p>
    <w:p>
      <w:pPr>
        <w:sectPr>
          <w:pgSz w:w="11900" w:h="16838" w:orient="portrait"/>
          <w:cols w:equalWidth="0" w:num="1">
            <w:col w:w="11420"/>
          </w:cols>
          <w:pgMar w:left="240" w:top="375" w:right="239" w:bottom="1440" w:gutter="0" w:footer="0" w:header="0"/>
        </w:sectPr>
      </w:pPr>
    </w:p>
    <w:bookmarkStart w:id="93" w:name="page94"/>
    <w:bookmarkEnd w:id="93"/>
    <w:p>
      <w:pPr>
        <w:jc w:val="both"/>
        <w:spacing w:after="0" w:line="253" w:lineRule="auto"/>
        <w:rPr>
          <w:sz w:val="20"/>
          <w:szCs w:val="20"/>
          <w:color w:val="auto"/>
        </w:rPr>
      </w:pPr>
      <w:r>
        <w:rPr>
          <w:rFonts w:ascii="Arial" w:cs="Arial" w:eastAsia="Arial" w:hAnsi="Arial"/>
          <w:sz w:val="22"/>
          <w:szCs w:val="22"/>
          <w:color w:val="auto"/>
        </w:rPr>
        <w:t>the Croatian National Bank for bank accounts opened abroad. You should be aware that exchange control regulations in Croatia are subject to frequent change and you are solely responsible for ensuring your continued compliance with current Croatian exchange control laws.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CZECH REPUBLIC</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Proceeds from the sale of Shares, any dividends paid on such shares or 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may be held in a cash account abroad and you are no longer required to report the opening and maintenance of a foreign account to the Czech National Bank (the “CNB”), unless the CNB notifies you specifically that such reporting is required. Upon request of the CNB, you may need to file a notification within 15 days of the end of the calendar quarter in which you acquire Shares.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DENMARK</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Danish Stock Option Act. </w:t>
      </w:r>
      <w:r>
        <w:rPr>
          <w:rFonts w:ascii="Arial" w:cs="Arial" w:eastAsia="Arial" w:hAnsi="Arial"/>
          <w:sz w:val="22"/>
          <w:szCs w:val="22"/>
          <w:color w:val="auto"/>
        </w:rPr>
        <w:t>In accepting the Performance Units, you acknowledge that you have received an Employer Statement</w:t>
      </w:r>
      <w:r>
        <w:rPr>
          <w:rFonts w:ascii="Arial" w:cs="Arial" w:eastAsia="Arial" w:hAnsi="Arial"/>
          <w:sz w:val="22"/>
          <w:szCs w:val="22"/>
          <w:b w:val="1"/>
          <w:bCs w:val="1"/>
          <w:color w:val="auto"/>
        </w:rPr>
        <w:t xml:space="preserve"> </w:t>
      </w:r>
      <w:r>
        <w:rPr>
          <w:rFonts w:ascii="Arial" w:cs="Arial" w:eastAsia="Arial" w:hAnsi="Arial"/>
          <w:sz w:val="22"/>
          <w:szCs w:val="22"/>
          <w:color w:val="auto"/>
        </w:rPr>
        <w:t>translated into Danish, which is being provided to comply with the Danish Stock Option Act. To the extent more favorable to you and required to comply with the Stock Option Act, the terms set forth in the Employer Statement will apply to your participation in the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establish an account holding shares or an account holding cash outside</w:t>
      </w:r>
      <w:r>
        <w:rPr>
          <w:rFonts w:ascii="Arial" w:cs="Arial" w:eastAsia="Arial" w:hAnsi="Arial"/>
          <w:sz w:val="19"/>
          <w:szCs w:val="19"/>
          <w:b w:val="1"/>
          <w:bCs w:val="1"/>
          <w:color w:val="auto"/>
        </w:rPr>
        <w:t xml:space="preserve"> </w:t>
      </w:r>
      <w:r>
        <w:rPr>
          <w:rFonts w:ascii="Arial" w:cs="Arial" w:eastAsia="Arial" w:hAnsi="Arial"/>
          <w:sz w:val="19"/>
          <w:szCs w:val="19"/>
          <w:color w:val="auto"/>
        </w:rPr>
        <w:t>Denmark, you must report the account to the Danish Tax Administration. The form which should be used in this respect can be obtained from a local bank. (These obligations are separate from and in addition to the obligations described below.)</w:t>
      </w:r>
    </w:p>
    <w:p>
      <w:pPr>
        <w:spacing w:after="0" w:line="12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Securities/Tax Reporting Information. </w:t>
      </w:r>
      <w:r>
        <w:rPr>
          <w:rFonts w:ascii="Arial" w:cs="Arial" w:eastAsia="Arial" w:hAnsi="Arial"/>
          <w:sz w:val="19"/>
          <w:szCs w:val="19"/>
          <w:color w:val="auto"/>
        </w:rPr>
        <w:t>If you hold Shares acquired under the Plan in a brokerage account with a broker or bank</w:t>
      </w:r>
      <w:r>
        <w:rPr>
          <w:rFonts w:ascii="Arial" w:cs="Arial" w:eastAsia="Arial" w:hAnsi="Arial"/>
          <w:sz w:val="19"/>
          <w:szCs w:val="19"/>
          <w:b w:val="1"/>
          <w:bCs w:val="1"/>
          <w:color w:val="auto"/>
        </w:rPr>
        <w:t xml:space="preserve"> </w:t>
      </w:r>
      <w:r>
        <w:rPr>
          <w:rFonts w:ascii="Arial" w:cs="Arial" w:eastAsia="Arial" w:hAnsi="Arial"/>
          <w:sz w:val="19"/>
          <w:szCs w:val="19"/>
          <w:color w:val="auto"/>
        </w:rPr>
        <w:t>outside Denmark, you are required to inform the Danish Tax Administration about the account. For this purpose, you must sign and file a Form V (</w:t>
      </w:r>
      <w:r>
        <w:rPr>
          <w:rFonts w:ascii="Arial" w:cs="Arial" w:eastAsia="Arial" w:hAnsi="Arial"/>
          <w:sz w:val="19"/>
          <w:szCs w:val="19"/>
          <w:i w:val="1"/>
          <w:iCs w:val="1"/>
          <w:color w:val="auto"/>
        </w:rPr>
        <w:t>Erklaering V</w:t>
      </w:r>
      <w:r>
        <w:rPr>
          <w:rFonts w:ascii="Arial" w:cs="Arial" w:eastAsia="Arial" w:hAnsi="Arial"/>
          <w:sz w:val="19"/>
          <w:szCs w:val="19"/>
          <w:color w:val="auto"/>
        </w:rPr>
        <w:t>) with the Danish Tax Administration. Both you and the broker or bank must sign the Form V. By signing the Form V, the broker or bank undertakes an obligation, without further request each year and not later than February 1 of the year following the calendar year to which the information relates, to forward information to the Danish Tax Administration concerning the shares in the account. In the event that the applicable broker or bank with which the account is held does not also sign the Form V, you acknowledge that you are solely responsible for providing certain details regarding the foreign brokerage or bank account and any Shares acquired under the Plan and held in such account to the Danish Tax Administration as part of your annual income tax return. By signing the Form V, you authorize the Danish Tax Administration to examine the account.</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In addition, if you open a brokerage account or a bank account with a U.S. bank, the account will be treated as a “deposit account” because cash can be held in the account. Therefore, you likely must also file a Form K (</w:t>
      </w:r>
      <w:r>
        <w:rPr>
          <w:rFonts w:ascii="Arial" w:cs="Arial" w:eastAsia="Arial" w:hAnsi="Arial"/>
          <w:sz w:val="21"/>
          <w:szCs w:val="21"/>
          <w:i w:val="1"/>
          <w:iCs w:val="1"/>
          <w:color w:val="auto"/>
        </w:rPr>
        <w:t>Erklaering K</w:t>
      </w:r>
      <w:r>
        <w:rPr>
          <w:rFonts w:ascii="Arial" w:cs="Arial" w:eastAsia="Arial" w:hAnsi="Arial"/>
          <w:sz w:val="21"/>
          <w:szCs w:val="21"/>
          <w:color w:val="auto"/>
        </w:rPr>
        <w:t>) with the Danish Tax Administration. The Form K must be signed by you and by the applicable broker or bank where the account is held, unless an exemption from the broker/bank signature requirement is obtained from the Danish Tax Administration (which exemption may be sought on the Form K itself). By signing the Form K, you (and the broker/bank to the extent the exemption is not obtained) undertake an obligation, without further request each year, to forward information to the Danish Tax Administration concerning the content of the account. If the applicable broker or bank does not sign the Form K for any reason, you are solely responsible for providing the necessary information to the Danish Tax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- 7</w:t>
      </w:r>
    </w:p>
    <w:p>
      <w:pPr>
        <w:sectPr>
          <w:pgSz w:w="11900" w:h="16838" w:orient="portrait"/>
          <w:cols w:equalWidth="0" w:num="1">
            <w:col w:w="11420"/>
          </w:cols>
          <w:pgMar w:left="240" w:top="375" w:right="2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22"/>
          <w:szCs w:val="22"/>
          <w:color w:val="auto"/>
        </w:rPr>
        <w:t xml:space="preserve">Administration. By signing the Form K, you authorize the Danish Tax Administration to examine the account. A sample of Declaration K can be found at the following website: </w:t>
      </w:r>
      <w:r>
        <w:rPr>
          <w:rFonts w:ascii="Arial" w:cs="Arial" w:eastAsia="Arial" w:hAnsi="Arial"/>
          <w:sz w:val="22"/>
          <w:szCs w:val="22"/>
          <w:u w:val="single" w:color="auto"/>
          <w:color w:val="auto"/>
        </w:rPr>
        <w:t>www.skat.dk</w:t>
      </w:r>
      <w:r>
        <w:rPr>
          <w:rFonts w:ascii="Arial" w:cs="Arial" w:eastAsia="Arial" w:hAnsi="Arial"/>
          <w:sz w:val="22"/>
          <w:szCs w:val="22"/>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EGYPT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transfer funds into Egypt in connection with the Performance Units, you are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 the funds through a registered bank in Egypt.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FRANCE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Language Consent. </w:t>
      </w:r>
      <w:r>
        <w:rPr>
          <w:rFonts w:ascii="Arial" w:cs="Arial" w:eastAsia="Arial" w:hAnsi="Arial"/>
          <w:sz w:val="22"/>
          <w:szCs w:val="22"/>
          <w:color w:val="auto"/>
        </w:rPr>
        <w:t>By accepting the Award, you confirm having read and understood the Plan and Agreement which were</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the English language. You accept the terms of those documents accordingly.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i w:val="1"/>
          <w:iCs w:val="1"/>
          <w:color w:val="auto"/>
        </w:rPr>
        <w:t>En acceptant l’prix, vous confirmez avoir lu et compris le Plan et le Contrat, qui ont été communiqués en langue anglaise. Vous acceptez les termes de ces documents en connaissance de cause.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Further, if you hold Shares outside of France or maintain a foreign bank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you are required to report such to the French tax authorities when filing your annual tax return. Failure to comply could trigger significant penalties.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GERMANY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Exchange Control Information</w:t>
      </w:r>
      <w:r>
        <w:rPr>
          <w:rFonts w:ascii="Arial" w:cs="Arial" w:eastAsia="Arial" w:hAnsi="Arial"/>
          <w:sz w:val="22"/>
          <w:szCs w:val="22"/>
          <w:color w:val="auto"/>
        </w:rPr>
        <w:t>. Cross-border payments in excess of €12,500 must be reported monthly to the German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Bank (</w:t>
      </w:r>
      <w:r>
        <w:rPr>
          <w:rFonts w:ascii="Arial" w:cs="Arial" w:eastAsia="Arial" w:hAnsi="Arial"/>
          <w:sz w:val="22"/>
          <w:szCs w:val="22"/>
          <w:i w:val="1"/>
          <w:iCs w:val="1"/>
          <w:color w:val="auto"/>
        </w:rPr>
        <w:t>Bundesbank</w:t>
      </w:r>
      <w:r>
        <w:rPr>
          <w:rFonts w:ascii="Arial" w:cs="Arial" w:eastAsia="Arial" w:hAnsi="Arial"/>
          <w:sz w:val="22"/>
          <w:szCs w:val="22"/>
          <w:color w:val="auto"/>
        </w:rPr>
        <w:t>). In case of payments in connection with securities (including proceeds realized upon the sale of Shares or the receipt of dividends or Dividend Equivalents), the report must be made by the 5th day of the month following the month in which the payment was received and must be filed electronically. The form of report (</w:t>
      </w:r>
      <w:r>
        <w:rPr>
          <w:rFonts w:ascii="Arial" w:cs="Arial" w:eastAsia="Arial" w:hAnsi="Arial"/>
          <w:sz w:val="22"/>
          <w:szCs w:val="22"/>
          <w:i w:val="1"/>
          <w:iCs w:val="1"/>
          <w:color w:val="auto"/>
        </w:rPr>
        <w:t>Allgemeine Meldeportal Statistik</w:t>
      </w:r>
      <w:r>
        <w:rPr>
          <w:rFonts w:ascii="Arial" w:cs="Arial" w:eastAsia="Arial" w:hAnsi="Arial"/>
          <w:sz w:val="22"/>
          <w:szCs w:val="22"/>
          <w:color w:val="auto"/>
        </w:rPr>
        <w:t>) can be accessed via the Bundesbank’s website (www.bundesbank.de) and is available in both German and English. You are responsible for satisfying the reporting obligation..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GREECE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HONG KONG</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- 8</w:t>
      </w:r>
    </w:p>
    <w:p>
      <w:pPr>
        <w:sectPr>
          <w:pgSz w:w="11900" w:h="16838" w:orient="portrait"/>
          <w:cols w:equalWidth="0" w:num="1">
            <w:col w:w="11420"/>
          </w:cols>
          <w:pgMar w:left="240" w:top="375" w:right="239" w:bottom="1440" w:gutter="0" w:footer="0" w:header="0"/>
        </w:sectPr>
      </w:pPr>
    </w:p>
    <w:bookmarkStart w:id="95" w:name="page96"/>
    <w:bookmarkEnd w:id="95"/>
    <w:p>
      <w:pPr>
        <w:jc w:val="both"/>
        <w:spacing w:after="0" w:line="259" w:lineRule="auto"/>
        <w:rPr>
          <w:sz w:val="20"/>
          <w:szCs w:val="20"/>
          <w:color w:val="auto"/>
        </w:rPr>
      </w:pPr>
      <w:r>
        <w:rPr>
          <w:rFonts w:ascii="Arial" w:cs="Arial" w:eastAsia="Arial" w:hAnsi="Arial"/>
          <w:sz w:val="21"/>
          <w:szCs w:val="21"/>
          <w:i w:val="1"/>
          <w:iCs w:val="1"/>
          <w:color w:val="auto"/>
        </w:rPr>
        <w:t>SECURITIES WARNING: The Performance Units and any Shares issued in respect of Performance Units do not constitute a public offering of securities under Hong Kong law and are available only to Participants under the Program. The Agreement, including this Appendix, the Program,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Performance Units and any documentation related thereto are intended solely for the personal use of each Participant under the Program and may not be distributed to any other person. If you are in doubt about any of the contents of the Agreement, including this Appendix, the Program or the Plan, you should obtain independent professional advice.</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Performance Units Payable Only in Shares. </w:t>
      </w:r>
      <w:r>
        <w:rPr>
          <w:rFonts w:ascii="Arial" w:cs="Arial" w:eastAsia="Arial" w:hAnsi="Arial"/>
          <w:sz w:val="22"/>
          <w:szCs w:val="22"/>
          <w:color w:val="auto"/>
        </w:rPr>
        <w:t>Notwithstanding any discretion in the Plan or the Program or</w:t>
      </w:r>
      <w:r>
        <w:rPr>
          <w:rFonts w:ascii="Arial" w:cs="Arial" w:eastAsia="Arial" w:hAnsi="Arial"/>
          <w:sz w:val="22"/>
          <w:szCs w:val="22"/>
          <w:b w:val="1"/>
          <w:bCs w:val="1"/>
          <w:color w:val="auto"/>
        </w:rPr>
        <w:t xml:space="preserve"> </w:t>
      </w:r>
      <w:r>
        <w:rPr>
          <w:rFonts w:ascii="Arial" w:cs="Arial" w:eastAsia="Arial" w:hAnsi="Arial"/>
          <w:sz w:val="22"/>
          <w:szCs w:val="22"/>
          <w:color w:val="auto"/>
        </w:rPr>
        <w:t>anything to the contrary in the Agreement, the Award does not provide any right for you, as a resident of Hong Kong, to receive a cash payment and shall be paid in Shares only.</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 xml:space="preserve">Sale of Shares. </w:t>
      </w:r>
      <w:r>
        <w:rPr>
          <w:rFonts w:ascii="Arial" w:cs="Arial" w:eastAsia="Arial" w:hAnsi="Arial"/>
          <w:sz w:val="21"/>
          <w:szCs w:val="21"/>
          <w:color w:val="auto"/>
        </w:rPr>
        <w:t>In the event that Shares are issued in respect of Performance Units within six (6) months of the Grant Date, you</w:t>
      </w:r>
      <w:r>
        <w:rPr>
          <w:rFonts w:ascii="Arial" w:cs="Arial" w:eastAsia="Arial" w:hAnsi="Arial"/>
          <w:sz w:val="21"/>
          <w:szCs w:val="21"/>
          <w:b w:val="1"/>
          <w:bCs w:val="1"/>
          <w:color w:val="auto"/>
        </w:rPr>
        <w:t xml:space="preserve"> </w:t>
      </w:r>
      <w:r>
        <w:rPr>
          <w:rFonts w:ascii="Arial" w:cs="Arial" w:eastAsia="Arial" w:hAnsi="Arial"/>
          <w:sz w:val="21"/>
          <w:szCs w:val="21"/>
          <w:color w:val="auto"/>
        </w:rPr>
        <w:t>agree that you will not dispose of such shares prior to the six (6)-month anniversary of the Grant Date.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HUNGARY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ICELAND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should consult with your personal advisor to ensure compliance with applicable exchange</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regulations in Iceland as such regulations are subject to frequent change. You are responsible for ensuring compliance with all exchange control laws in Iceland.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understand that you must repatriate any cash dividends paid on Shares acquired under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to India or any Dividend Equivalents paid in cash within 180 days of receipt, and the Program and any proceeds from the sale of shares acquired under the Plan and the Program to India within 90 days of receipt. You will receive a foreign inward remittance certificate (“FIRC”) from the bank where you deposit the foreign currency, and you must maintain the FIRC as proof of repatriation of funds in the event that the Reserve Bank of India or the Employer requests proof of repatriation. It is your responsibility to comply with these requirements.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You are required to declare foreign bank accounts and any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Shares held outside India) in your annual tax return. It is your responsibility to comply with this reporting obligation and you should consult your personal tax advisor in this regard.</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IRELAND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- 9</w:t>
      </w:r>
    </w:p>
    <w:p>
      <w:pPr>
        <w:sectPr>
          <w:pgSz w:w="11900" w:h="16838" w:orient="portrait"/>
          <w:cols w:equalWidth="0" w:num="1">
            <w:col w:w="11420"/>
          </w:cols>
          <w:pgMar w:left="240" w:top="375" w:right="239" w:bottom="1440" w:gutter="0" w:footer="0" w:header="0"/>
        </w:sectPr>
      </w:pPr>
    </w:p>
    <w:bookmarkStart w:id="96" w:name="page97"/>
    <w:bookmarkEnd w:id="96"/>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This provision supplements Section IX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accepting the Award granted hereunder, you acknowledge your understanding and agreement that the benefits received under the Plan will not be taken into account for any redundancy or unfair dismissal claim.</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b w:val="1"/>
          <w:bCs w:val="1"/>
          <w:color w:val="auto"/>
        </w:rPr>
        <w:t xml:space="preserve">Director Notification Requirements. </w:t>
      </w:r>
      <w:r>
        <w:rPr>
          <w:rFonts w:ascii="Arial" w:cs="Arial" w:eastAsia="Arial" w:hAnsi="Arial"/>
          <w:sz w:val="19"/>
          <w:szCs w:val="19"/>
          <w:color w:val="auto"/>
        </w:rPr>
        <w:t>If you are a director, shadow director or secretary of an Irish Affiliate, you must notify the</w:t>
      </w:r>
      <w:r>
        <w:rPr>
          <w:rFonts w:ascii="Arial" w:cs="Arial" w:eastAsia="Arial" w:hAnsi="Arial"/>
          <w:sz w:val="19"/>
          <w:szCs w:val="19"/>
          <w:b w:val="1"/>
          <w:bCs w:val="1"/>
          <w:color w:val="auto"/>
        </w:rPr>
        <w:t xml:space="preserve"> </w:t>
      </w:r>
      <w:r>
        <w:rPr>
          <w:rFonts w:ascii="Arial" w:cs="Arial" w:eastAsia="Arial" w:hAnsi="Arial"/>
          <w:sz w:val="19"/>
          <w:szCs w:val="19"/>
          <w:color w:val="auto"/>
        </w:rPr>
        <w:t>Irish Affiliate in writing within five (5) business days of receiving or disposing of an interest in the Company (</w:t>
      </w:r>
      <w:r>
        <w:rPr>
          <w:rFonts w:ascii="Arial" w:cs="Arial" w:eastAsia="Arial" w:hAnsi="Arial"/>
          <w:sz w:val="19"/>
          <w:szCs w:val="19"/>
          <w:i w:val="1"/>
          <w:iCs w:val="1"/>
          <w:color w:val="auto"/>
        </w:rPr>
        <w:t>e.g.,</w:t>
      </w:r>
      <w:r>
        <w:rPr>
          <w:rFonts w:ascii="Arial" w:cs="Arial" w:eastAsia="Arial" w:hAnsi="Arial"/>
          <w:sz w:val="19"/>
          <w:szCs w:val="19"/>
          <w:color w:val="auto"/>
        </w:rPr>
        <w:t xml:space="preserve"> an Award or Shares), or within five (5) business days of becoming aware of the event giving rise to the notification requirement, or within five</w:t>
      </w:r>
    </w:p>
    <w:p>
      <w:pPr>
        <w:spacing w:after="0" w:line="2" w:lineRule="exact"/>
        <w:rPr>
          <w:sz w:val="20"/>
          <w:szCs w:val="20"/>
          <w:color w:val="auto"/>
        </w:rPr>
      </w:pPr>
    </w:p>
    <w:p>
      <w:pPr>
        <w:jc w:val="both"/>
        <w:ind w:firstLine="8"/>
        <w:spacing w:after="0" w:line="245" w:lineRule="auto"/>
        <w:tabs>
          <w:tab w:leader="none" w:pos="308" w:val="left"/>
        </w:tabs>
        <w:numPr>
          <w:ilvl w:val="0"/>
          <w:numId w:val="60"/>
        </w:numPr>
        <w:rPr>
          <w:rFonts w:ascii="Arial" w:cs="Arial" w:eastAsia="Arial" w:hAnsi="Arial"/>
          <w:sz w:val="22"/>
          <w:szCs w:val="22"/>
          <w:color w:val="auto"/>
        </w:rPr>
      </w:pPr>
      <w:r>
        <w:rPr>
          <w:rFonts w:ascii="Arial" w:cs="Arial" w:eastAsia="Arial" w:hAnsi="Arial"/>
          <w:sz w:val="22"/>
          <w:szCs w:val="22"/>
          <w:color w:val="auto"/>
        </w:rPr>
        <w:t>business days of becoming a director or secretary if such an interest exists at the time. This notification requirement also applies with respect to the interests of a spouse or minor children (whose interests, if any, will be attributed to the director, shadow director or secretary).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ITALY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replaces Section XV of the Agreement:</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i w:val="1"/>
          <w:iCs w:val="1"/>
          <w:color w:val="auto"/>
        </w:rPr>
        <w:t>You understand that the Employer, the Company and any Affiliate may hold certain personal information about you, including, but not limited to, your name, home address and telephone number, date of birth, social insurance (to the extent permitted under Italian law) or other identification number, salary, nationality, job title, any shares or directorships held in the Company or any Affiliate, details of all Awards granted, or any other entitlement to Shares awarded, canceled, exercised, vested, unvested or outstanding in your favor, for the exclusive purpose of implementing, managing and administering the Plan and the Program (“Data”).</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i w:val="1"/>
          <w:iCs w:val="1"/>
          <w:color w:val="auto"/>
        </w:rPr>
        <w:t>You also understand that providing the Company with Data is necessary for the performance of the Plan and the Program and that your refusal to provide such Data would make it impossible for the Company to perform its contractual obligations and may affect your ability to participate in the Plan and the Program. The Controller of personal data processing is Amgen Inc., with registered offices at One Amgen Center Drive, Thousand Oaks, California 91320, U.S.A., and, pursuant to Legislative Decree no. 196/2003, its Representative in Italy for privacy purposes is Amgen Dompe S.p.A., with registered offices at Via Tazzoli, 6 - 20154 Milan, Italy.</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i w:val="1"/>
          <w:iCs w:val="1"/>
          <w:color w:val="auto"/>
        </w:rPr>
        <w:t>You understand that Data will not be publicized, but it may be transferred to banks, other financial institutions, or brokers involved in the management and administration of the Plan and the Program. You understand that Data may also be transferred to the independent registered public accounting firm engaged by the Company. You further understand that the Company and/or any Affiliate will transfer Data among themselves as necessary for the purposes of implementing, administering and managing your participation in the Plan and the Program, and that the Company and/or any Affiliate may each further transfer Data to third parties assisting the Company in the implementation, administration, and management of the Plan and the Program, including any requisite transfer of Data to a broker or other third party with whom you may elect to deposit any Shares issued in respect of the Award. Such recipients may receive, possess, use, retain, and transfer Data in electronic or other form, for the purposes of implementing, administering, and managing your participation in the Plan and the Program. You understand that these recipients may be located in or outside the European Economic Area, such as in the United States or elsewhere. Should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- 10</w:t>
      </w:r>
    </w:p>
    <w:p>
      <w:pPr>
        <w:sectPr>
          <w:pgSz w:w="11900" w:h="16838" w:orient="portrait"/>
          <w:cols w:equalWidth="0" w:num="1">
            <w:col w:w="11420"/>
          </w:cols>
          <w:pgMar w:left="240" w:top="585" w:right="239" w:bottom="1440" w:gutter="0" w:footer="0" w:header="0"/>
        </w:sectPr>
      </w:pPr>
    </w:p>
    <w:bookmarkStart w:id="97" w:name="page98"/>
    <w:bookmarkEnd w:id="97"/>
    <w:p>
      <w:pPr>
        <w:jc w:val="both"/>
        <w:spacing w:after="0" w:line="271" w:lineRule="auto"/>
        <w:rPr>
          <w:sz w:val="20"/>
          <w:szCs w:val="20"/>
          <w:color w:val="auto"/>
        </w:rPr>
      </w:pPr>
      <w:r>
        <w:rPr>
          <w:rFonts w:ascii="Arial" w:cs="Arial" w:eastAsia="Arial" w:hAnsi="Arial"/>
          <w:sz w:val="21"/>
          <w:szCs w:val="21"/>
          <w:b w:val="1"/>
          <w:bCs w:val="1"/>
          <w:i w:val="1"/>
          <w:iCs w:val="1"/>
          <w:color w:val="auto"/>
        </w:rPr>
        <w:t>the Company exercise its discretion in suspending all necessary legal obligations connected with the management and administration of the Plan and the Program, it will delete Data as soon as it has completed all the necessary legal obligations connected with the management and administration of the Plan and the Program.</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You understand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The processing activity, including communication, the transfer of Data abroad, including outside of the European Economic Area, as herein specified and pursuant to applicable laws and regulations, does not require your consent thereto, as the processing is necessary to performance of contractual obligations related to implementation, administration, and management of the Plan. You understand that, pursuant to Section 7 of the Legislative Decree no. 196/2003, you have the right to, including but not limited to, access, delete, update, correct, or terminate, for legitimate reason, the Data processing.</w:t>
      </w:r>
    </w:p>
    <w:p>
      <w:pPr>
        <w:spacing w:after="0" w:line="147" w:lineRule="exact"/>
        <w:rPr>
          <w:sz w:val="20"/>
          <w:szCs w:val="20"/>
          <w:color w:val="auto"/>
        </w:rPr>
      </w:pPr>
    </w:p>
    <w:p>
      <w:pPr>
        <w:jc w:val="both"/>
        <w:spacing w:after="0" w:line="343" w:lineRule="auto"/>
        <w:rPr>
          <w:sz w:val="20"/>
          <w:szCs w:val="20"/>
          <w:color w:val="auto"/>
        </w:rPr>
      </w:pPr>
      <w:r>
        <w:rPr>
          <w:rFonts w:ascii="Arial" w:cs="Arial" w:eastAsia="Arial" w:hAnsi="Arial"/>
          <w:sz w:val="19"/>
          <w:szCs w:val="19"/>
          <w:b w:val="1"/>
          <w:bCs w:val="1"/>
          <w:i w:val="1"/>
          <w:iCs w:val="1"/>
          <w:color w:val="auto"/>
        </w:rPr>
        <w:t>Furthermore, you are aware that Data will not be used for direct-marketing purposes. In addition, Data provided can be reviewed and questions or complaints can be addressed by contacting your local human resources representative.</w:t>
      </w:r>
    </w:p>
    <w:p>
      <w:pPr>
        <w:spacing w:after="0" w:line="9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Acknowledgement of Nature of Grant. </w:t>
      </w:r>
      <w:r>
        <w:rPr>
          <w:rFonts w:ascii="Arial" w:cs="Arial" w:eastAsia="Arial" w:hAnsi="Arial"/>
          <w:sz w:val="22"/>
          <w:szCs w:val="22"/>
          <w:color w:val="auto"/>
        </w:rPr>
        <w:t>By accepting the Award granted hereunder, you acknowledge that (1) you have received a</w:t>
      </w:r>
      <w:r>
        <w:rPr>
          <w:rFonts w:ascii="Arial" w:cs="Arial" w:eastAsia="Arial" w:hAnsi="Arial"/>
          <w:sz w:val="22"/>
          <w:szCs w:val="22"/>
          <w:b w:val="1"/>
          <w:bCs w:val="1"/>
          <w:color w:val="auto"/>
        </w:rPr>
        <w:t xml:space="preserve"> </w:t>
      </w:r>
      <w:r>
        <w:rPr>
          <w:rFonts w:ascii="Arial" w:cs="Arial" w:eastAsia="Arial" w:hAnsi="Arial"/>
          <w:sz w:val="22"/>
          <w:szCs w:val="22"/>
          <w:color w:val="auto"/>
        </w:rPr>
        <w:t>copy of the Plan, the Program, the Agreement and this Appendix; (2) you have reviewed the applicable documents in their entirety and fully understand the contents thereof; and (3) you accept all provisions of the Plan, the Program, the Agreement and this Appendix.</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further acknowledge that you have read and specifically and explicitly approve, without limitation, the following sections of the Agreement: Section III, Section IV, Section V, Section IX, Section IV, Section XV (as replaced by the above consent), Section XVI and Section XX.</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Italian residents who, at any time during the fiscal year, hold foreign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assets (including cash and Shares) which may generate income taxable in Italy are required to report these assets on their annual tax returns (UNICO Form, RW Schedule) for the year during which the assets are held, or on a special form if no tax return is due. These reporting obligations will also apply to Italian residents who are the beneficial owners of foreign financial assets under Italian money laundering provisions.</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Foreign Financial Assets Tax. </w:t>
      </w:r>
      <w:r>
        <w:rPr>
          <w:rFonts w:ascii="Arial" w:cs="Arial" w:eastAsia="Arial" w:hAnsi="Arial"/>
          <w:sz w:val="22"/>
          <w:szCs w:val="22"/>
          <w:color w:val="auto"/>
        </w:rPr>
        <w:t>The fair market value of any Shares held outside of Italy is subject to a foreign assets tax. The</w:t>
      </w:r>
      <w:r>
        <w:rPr>
          <w:rFonts w:ascii="Arial" w:cs="Arial" w:eastAsia="Arial" w:hAnsi="Arial"/>
          <w:sz w:val="22"/>
          <w:szCs w:val="22"/>
          <w:b w:val="1"/>
          <w:bCs w:val="1"/>
          <w:color w:val="auto"/>
        </w:rPr>
        <w:t xml:space="preserve"> </w:t>
      </w:r>
      <w:r>
        <w:rPr>
          <w:rFonts w:ascii="Arial" w:cs="Arial" w:eastAsia="Arial" w:hAnsi="Arial"/>
          <w:sz w:val="22"/>
          <w:szCs w:val="22"/>
          <w:color w:val="auto"/>
        </w:rPr>
        <w:t>market value is considered to be the value of the Shares on the NASDAQ Global Select Market on December 31 of each year or on the last day in the applicable year on which you held the shares (or when the shares are acquired during the course of the year, the tax is levied in proportion to the actual days of holding over the calendar year). You should consult with your personal tax advisor about the foreign financial assets tax.</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JAPAN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- 11</w:t>
      </w:r>
    </w:p>
    <w:p>
      <w:pPr>
        <w:sectPr>
          <w:pgSz w:w="11900" w:h="16838" w:orient="portrait"/>
          <w:cols w:equalWidth="0" w:num="1">
            <w:col w:w="11420"/>
          </w:cols>
          <w:pgMar w:left="240" w:top="375" w:right="239" w:bottom="1440" w:gutter="0" w:footer="0" w:header="0"/>
        </w:sectPr>
      </w:pPr>
    </w:p>
    <w:bookmarkStart w:id="98" w:name="page99"/>
    <w:bookmarkEnd w:id="98"/>
    <w:p>
      <w:pPr>
        <w:jc w:val="both"/>
        <w:spacing w:after="0" w:line="249" w:lineRule="auto"/>
        <w:rPr>
          <w:sz w:val="20"/>
          <w:szCs w:val="20"/>
          <w:color w:val="auto"/>
        </w:rPr>
      </w:pPr>
      <w:r>
        <w:rPr>
          <w:rFonts w:ascii="Arial" w:cs="Arial" w:eastAsia="Arial" w:hAnsi="Arial"/>
          <w:sz w:val="22"/>
          <w:szCs w:val="22"/>
          <w:b w:val="1"/>
          <w:bCs w:val="1"/>
          <w:color w:val="auto"/>
        </w:rPr>
        <w:t>Foreign Asset/Account Reporting Information</w:t>
      </w:r>
      <w:r>
        <w:rPr>
          <w:rFonts w:ascii="Arial" w:cs="Arial" w:eastAsia="Arial" w:hAnsi="Arial"/>
          <w:sz w:val="22"/>
          <w:szCs w:val="22"/>
          <w:color w:val="auto"/>
        </w:rPr>
        <w:t>. You will be required to report to the Japanese tax authorities details of any assets</w:t>
      </w:r>
      <w:r>
        <w:rPr>
          <w:rFonts w:ascii="Arial" w:cs="Arial" w:eastAsia="Arial" w:hAnsi="Arial"/>
          <w:sz w:val="22"/>
          <w:szCs w:val="22"/>
          <w:b w:val="1"/>
          <w:bCs w:val="1"/>
          <w:color w:val="auto"/>
        </w:rPr>
        <w:t xml:space="preserve"> </w:t>
      </w:r>
      <w:r>
        <w:rPr>
          <w:rFonts w:ascii="Arial" w:cs="Arial" w:eastAsia="Arial" w:hAnsi="Arial"/>
          <w:sz w:val="22"/>
          <w:szCs w:val="22"/>
          <w:color w:val="auto"/>
        </w:rPr>
        <w:t>held outside of Japan as of December 31st (including any Shares acquired under the Plan) to the extent such assets have a total net fair market value exceeding ¥50,000,000. Such report will be due by March 15 each year. You should consult with your personal tax advisor as to whether the reporting obligation applies to you and whether you will be required to include in the report details of any Shares or cash that you hold.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JORDAN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KOREA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are required to repatriate any proceeds in excess of US$500,000 realized in a single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from the sale of Shares or the receipt of dividends or Dividend Equivalents to Korea within 18 months of receipt.</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Foreign Asset/Account Reporting Information. </w:t>
      </w:r>
      <w:r>
        <w:rPr>
          <w:rFonts w:ascii="Arial" w:cs="Arial" w:eastAsia="Arial" w:hAnsi="Arial"/>
          <w:sz w:val="22"/>
          <w:szCs w:val="22"/>
          <w:color w:val="auto"/>
        </w:rPr>
        <w:t>You are required to declare all foreign financial accounts (</w:t>
      </w:r>
      <w:r>
        <w:rPr>
          <w:rFonts w:ascii="Arial" w:cs="Arial" w:eastAsia="Arial" w:hAnsi="Arial"/>
          <w:sz w:val="22"/>
          <w:szCs w:val="22"/>
          <w:i w:val="1"/>
          <w:iCs w:val="1"/>
          <w:color w:val="auto"/>
        </w:rPr>
        <w:t>e.g.</w:t>
      </w:r>
      <w:r>
        <w:rPr>
          <w:rFonts w:ascii="Arial" w:cs="Arial" w:eastAsia="Arial" w:hAnsi="Arial"/>
          <w:sz w:val="22"/>
          <w:szCs w:val="22"/>
          <w:color w:val="auto"/>
        </w:rPr>
        <w:t>, non-Korean bank</w:t>
      </w:r>
      <w:r>
        <w:rPr>
          <w:rFonts w:ascii="Arial" w:cs="Arial" w:eastAsia="Arial" w:hAnsi="Arial"/>
          <w:sz w:val="22"/>
          <w:szCs w:val="22"/>
          <w:b w:val="1"/>
          <w:bCs w:val="1"/>
          <w:color w:val="auto"/>
        </w:rPr>
        <w:t xml:space="preserve"> </w:t>
      </w:r>
      <w:r>
        <w:rPr>
          <w:rFonts w:ascii="Arial" w:cs="Arial" w:eastAsia="Arial" w:hAnsi="Arial"/>
          <w:sz w:val="22"/>
          <w:szCs w:val="22"/>
          <w:color w:val="auto"/>
        </w:rPr>
        <w:t>accounts, brokerage accounts holding Shares, etc.) to the Korean tax authority and file a report regarding such accounts if the value of such accounts exceeds KRW1,000,000,000 (or an equivalent amount in foreign currency). You should consult with your personal tax advisor to ensure compliance with this requirement.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LEBANON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LITHUANIA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MEXICO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Acknowledgement of the Grant. </w:t>
      </w:r>
      <w:r>
        <w:rPr>
          <w:rFonts w:ascii="Arial" w:cs="Arial" w:eastAsia="Arial" w:hAnsi="Arial"/>
          <w:sz w:val="21"/>
          <w:szCs w:val="21"/>
          <w:color w:val="auto"/>
        </w:rPr>
        <w:t>In accepting the Award granted hereunder, you acknowledge that you have received a copy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and the Program, have reviewed the Plan and the Program and the Agreement, including this Appendix, in their entirety and fully understand and accept all provisions of the Plan, the Program and the Agreement, including this Appendix. You further acknowledge that you have read and specifically and expressly approve the terms and conditions of Section IX of the Agreement, in which the following is clearly described and established:</w:t>
      </w:r>
    </w:p>
    <w:p>
      <w:pPr>
        <w:spacing w:after="0" w:line="217"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Your participation in the Plan and the Program do not constitute an acquired right.</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Plan and your participation in the Plan and the Program are offered by Amgen Inc. on a wholly discretionary basis.</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Your participation in the Plan and the Program is voluntary.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- 12</w:t>
      </w:r>
    </w:p>
    <w:p>
      <w:pPr>
        <w:sectPr>
          <w:pgSz w:w="11900" w:h="16838" w:orient="portrait"/>
          <w:cols w:equalWidth="0" w:num="1">
            <w:col w:w="11420"/>
          </w:cols>
          <w:pgMar w:left="240" w:top="369" w:right="239" w:bottom="1440" w:gutter="0" w:footer="0" w:header="0"/>
        </w:sectPr>
      </w:pPr>
    </w:p>
    <w:bookmarkStart w:id="99" w:name="page100"/>
    <w:bookmarkEnd w:id="99"/>
    <w:p>
      <w:pPr>
        <w:ind w:left="1300" w:hanging="644"/>
        <w:spacing w:after="0" w:line="263"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Amgen Inc. and its Affiliates are not responsible for any decrease in the value of any Shares issued with respect to the Award.</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21"/>
          <w:szCs w:val="21"/>
          <w:b w:val="1"/>
          <w:bCs w:val="1"/>
          <w:color w:val="auto"/>
        </w:rPr>
        <w:t xml:space="preserve">Labor Law Acknowledgement and Policy Statement. </w:t>
      </w:r>
      <w:r>
        <w:rPr>
          <w:rFonts w:ascii="Arial" w:cs="Arial" w:eastAsia="Arial" w:hAnsi="Arial"/>
          <w:sz w:val="21"/>
          <w:szCs w:val="21"/>
          <w:color w:val="auto"/>
        </w:rPr>
        <w:t>In accepting any Award granted hereunder, you expressly recognize that</w:t>
      </w:r>
      <w:r>
        <w:rPr>
          <w:rFonts w:ascii="Arial" w:cs="Arial" w:eastAsia="Arial" w:hAnsi="Arial"/>
          <w:sz w:val="21"/>
          <w:szCs w:val="21"/>
          <w:b w:val="1"/>
          <w:bCs w:val="1"/>
          <w:color w:val="auto"/>
        </w:rPr>
        <w:t xml:space="preserve"> </w:t>
      </w:r>
      <w:r>
        <w:rPr>
          <w:rFonts w:ascii="Arial" w:cs="Arial" w:eastAsia="Arial" w:hAnsi="Arial"/>
          <w:sz w:val="21"/>
          <w:szCs w:val="21"/>
          <w:color w:val="auto"/>
        </w:rPr>
        <w:t>Amgen Inc., with registered offices at One Amgen Center Drive, Thousand Oaks, California 91320, U.S.A., is solely responsible for the administration of the Plan and that your participation in the Plan and acquisition of Shares do not constitute an employment relationship between you and Amgen Inc. since you are participating in the Plan on a wholly commercial basis and your sole employer is Amgen Latin America Services, S.A. de C.V. (“Amgen-Mexico”). Based on the foregoing, you expressly recognize that the Plan and the Program and the benefits that you may derive from participation in the Plan and the Program do not establish any rights between you and your Employer, Amgen-Mexico, and do not form part of the employment conditions and/or benefits provided by Amgen-Mexico and any modification of the Plan or its termination shall not constitute a change or impairment of the terms and conditions of your employment.</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You further understand that your participation in the Plan and the Program is as a result of a unilateral and discretionary decision of Amgen Inc.; therefore, Amgen Inc. reserves the absolute right to amend and/or discontinue your participation in the Plan at any time without any liability to you.</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Finally, you hereby declare that you do not reserve to yourself any action or right to bring any claim against Amgen Inc. for any compensation or damages regarding any provision of the Plan or the benefits derived under the Plan, and you therefore grant a full and broad release to Amgen Inc., its Affiliates, shareholders, officers, agents or legal representatives with respect to any claim that may arise.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Spanish Translation</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b w:val="1"/>
          <w:bCs w:val="1"/>
          <w:color w:val="auto"/>
        </w:rPr>
        <w:t xml:space="preserve">Reconocimiento del Otorgamiento. </w:t>
      </w:r>
      <w:r>
        <w:rPr>
          <w:rFonts w:ascii="Arial" w:cs="Arial" w:eastAsia="Arial" w:hAnsi="Arial"/>
          <w:sz w:val="22"/>
          <w:szCs w:val="22"/>
          <w:color w:val="auto"/>
        </w:rPr>
        <w:t>Al aceptar cualquier Otorgamiento de Acciones bajo el presente documento, usted reconoce</w:t>
      </w:r>
      <w:r>
        <w:rPr>
          <w:rFonts w:ascii="Arial" w:cs="Arial" w:eastAsia="Arial" w:hAnsi="Arial"/>
          <w:sz w:val="22"/>
          <w:szCs w:val="22"/>
          <w:b w:val="1"/>
          <w:bCs w:val="1"/>
          <w:color w:val="auto"/>
        </w:rPr>
        <w:t xml:space="preserve"> </w:t>
      </w:r>
      <w:r>
        <w:rPr>
          <w:rFonts w:ascii="Arial" w:cs="Arial" w:eastAsia="Arial" w:hAnsi="Arial"/>
          <w:sz w:val="22"/>
          <w:szCs w:val="22"/>
          <w:color w:val="auto"/>
        </w:rPr>
        <w:t>que ha recibido una copia del Plan y del Programa, que ha revisado el Plan y el Programa, así como también el Apéndice en su totalidad, además que comprende y está de acuerdo con todas las disposiciones tanto del Plan, del Programa y del Otorgamiento, incluyendo este Apéndice. Asimismo, usted reconoce que ha leído y manifiesta específicamente y expresamente la conformidad con los términos y condiciones establecidos en la Sección VIII del Acuerdo del Otorgamiento, en los que se establece y describe claramente que:</w:t>
      </w:r>
    </w:p>
    <w:p>
      <w:pPr>
        <w:spacing w:after="0" w:line="193"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Su participación en el Plan y en el Programa de ninguna manera constituye un derecho adquirido.</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Su participación en Plan y en el Programa son ofrecidos por Amgen Inc. de forma completamente discrecional.</w:t>
      </w:r>
    </w:p>
    <w:p>
      <w:pPr>
        <w:spacing w:after="0" w:line="254" w:lineRule="exact"/>
        <w:rPr>
          <w:rFonts w:ascii="Arial" w:cs="Arial" w:eastAsia="Arial" w:hAnsi="Arial"/>
          <w:sz w:val="19"/>
          <w:szCs w:val="19"/>
          <w:color w:val="auto"/>
        </w:rPr>
      </w:pPr>
    </w:p>
    <w:p>
      <w:pPr>
        <w:ind w:left="1300" w:hanging="644"/>
        <w:spacing w:after="0"/>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Su participación en el Plan y en el Programa es voluntaria.</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Amgen Inc. y sus Afiliados no son responsables de ninguna disminución en el valor de las Acciones Comunes emitidas mediante el Plan.</w:t>
      </w:r>
    </w:p>
    <w:p>
      <w:pPr>
        <w:spacing w:after="0" w:line="169"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Reconocimiento de la Ley Laboral y Declaración de Política. </w:t>
      </w:r>
      <w:r>
        <w:rPr>
          <w:rFonts w:ascii="Arial" w:cs="Arial" w:eastAsia="Arial" w:hAnsi="Arial"/>
          <w:sz w:val="19"/>
          <w:szCs w:val="19"/>
          <w:color w:val="auto"/>
        </w:rPr>
        <w:t>Al aceptar cualquier Otorgamiento bajo el presente, usted</w:t>
      </w:r>
      <w:r>
        <w:rPr>
          <w:rFonts w:ascii="Arial" w:cs="Arial" w:eastAsia="Arial" w:hAnsi="Arial"/>
          <w:sz w:val="19"/>
          <w:szCs w:val="19"/>
          <w:b w:val="1"/>
          <w:bCs w:val="1"/>
          <w:color w:val="auto"/>
        </w:rPr>
        <w:t xml:space="preserve"> </w:t>
      </w:r>
      <w:r>
        <w:rPr>
          <w:rFonts w:ascii="Arial" w:cs="Arial" w:eastAsia="Arial" w:hAnsi="Arial"/>
          <w:sz w:val="19"/>
          <w:szCs w:val="19"/>
          <w:color w:val="auto"/>
        </w:rPr>
        <w:t>reconoce expresamente que Amgen Inc., con oficinas registradas localizadas en One Amgen Center Drive, Thousand Oaks, California 91320, U.S.A., es la única responsable de la administración del Plan y que su participación en el mismo y la adquisición de Acciones Comunes no constituyen de ninguna manera una relación laboral entre usted y Amgen Inc., debido a que su participación en el Plan es únicamente una relación comercial y que su único empleador es Amgen Latin America Services, S.A. de C.V. (“Amgen-Mexico”). Derivado de lo anterior, usted reconoce expresamente que el Plan y el Programa y los beneficios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- 13</w:t>
      </w:r>
    </w:p>
    <w:p>
      <w:pPr>
        <w:sectPr>
          <w:pgSz w:w="11900" w:h="16838" w:orient="portrait"/>
          <w:cols w:equalWidth="0" w:num="1">
            <w:col w:w="11420"/>
          </w:cols>
          <w:pgMar w:left="240" w:top="375" w:right="239" w:bottom="1440" w:gutter="0" w:footer="0" w:header="0"/>
        </w:sectPr>
      </w:pPr>
    </w:p>
    <w:bookmarkStart w:id="100" w:name="page101"/>
    <w:bookmarkEnd w:id="100"/>
    <w:p>
      <w:pPr>
        <w:jc w:val="both"/>
        <w:spacing w:after="0" w:line="312" w:lineRule="auto"/>
        <w:rPr>
          <w:sz w:val="20"/>
          <w:szCs w:val="20"/>
          <w:color w:val="auto"/>
        </w:rPr>
      </w:pPr>
      <w:r>
        <w:rPr>
          <w:rFonts w:ascii="Arial" w:cs="Arial" w:eastAsia="Arial" w:hAnsi="Arial"/>
          <w:sz w:val="19"/>
          <w:szCs w:val="19"/>
          <w:color w:val="auto"/>
        </w:rPr>
        <w:t>a su favor que pudieran derivar de la participación en el mismo, no establecen ningún derecho entre usted y su empleador, Amgen - México, y no forman parte de las condiciones laborales y/o los beneficios otorgados por Amgen - México, y cualquier modificación del Plan o la terminación del mismo no constituirá un cambio o desmejora de los términos y condiciones de su trabajo.</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Asimismo, usted entiende que su participación en el Plan y en el Programa es resultado de la decisión unilateral y discrecional de Amgen Inc., por lo tanto, Amgen Inc. se reserva el derecho absoluto de modificar y/o descontinuar su participación en el Plan en cualquier momento y sin ninguna responsabilidad para usted.</w:t>
      </w:r>
    </w:p>
    <w:p>
      <w:pPr>
        <w:spacing w:after="0" w:line="18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Finalmente, usted manifiesta que no se reserva ninguna acción o derecho que origine una demanda en contra de Amgen Inc., por cualquier compensación o daños y perjuicios, en relación con cualquier disposición del Plan o de los beneficios derivados del mismo, y en consecuencia usted exime amplia y completamente a Amgen Inc. de toda responsabilidad, como así también a sus Afiliadas, accionistas, directores, agentes o representantes legales con respecto a cualquier demanda que pudiera surgir.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MOROCCO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21"/>
          <w:szCs w:val="21"/>
          <w:b w:val="1"/>
          <w:bCs w:val="1"/>
          <w:color w:val="auto"/>
        </w:rPr>
        <w:t xml:space="preserve">Sale Requirement. </w:t>
      </w:r>
      <w:r>
        <w:rPr>
          <w:rFonts w:ascii="Arial" w:cs="Arial" w:eastAsia="Arial" w:hAnsi="Arial"/>
          <w:sz w:val="21"/>
          <w:szCs w:val="21"/>
          <w:color w:val="auto"/>
        </w:rPr>
        <w:t>Notwithstanding anything to the contrary in the Agreement, due to exchange control laws in Morocco, you</w:t>
      </w:r>
      <w:r>
        <w:rPr>
          <w:rFonts w:ascii="Arial" w:cs="Arial" w:eastAsia="Arial" w:hAnsi="Arial"/>
          <w:sz w:val="21"/>
          <w:szCs w:val="21"/>
          <w:b w:val="1"/>
          <w:bCs w:val="1"/>
          <w:color w:val="auto"/>
        </w:rPr>
        <w:t xml:space="preserve"> </w:t>
      </w:r>
      <w:r>
        <w:rPr>
          <w:rFonts w:ascii="Arial" w:cs="Arial" w:eastAsia="Arial" w:hAnsi="Arial"/>
          <w:sz w:val="21"/>
          <w:szCs w:val="21"/>
          <w:color w:val="auto"/>
        </w:rPr>
        <w:t>agree that the Company reserves the right to require the immediate sale of any Shares acquired upon settlement of the Performance Units. Alternatively, if the Shares are not immediately sold upon settlement of the Performance Units, the Company may require the sale of any shares at a later date, including upon termination of your employment.</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You agree that the Company is authorized to instruct Merrill Lynch Bank and Trust Co., FSB or such other designated broker as may be selected by the Company to assist with the sale of the shares on your behalf pursuant to this authorization, and you expressly authorize such broker to complete the sale of such shares. You also agree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you will receive the cash proceeds from the sale, less any applicable Tax Obligations, brokerage fees or commissions, in accordance with applicable exchange control laws and regulations.</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You acknowledge that Merrill Lynch Bank and Trust Co., FSB or such other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you may be more or less than the market value of the shares on the settlement date (which is the amount relevant to determining your liability for Tax Obligations). You understand and agree that the Company is not responsible for the amount of any loss that you may incur and that the Company assumes no liability for any fluctuations in the share price and/or any applicable exchange rate.</w:t>
      </w:r>
    </w:p>
    <w:p>
      <w:pPr>
        <w:spacing w:after="0" w:line="191"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Designated Broker Account. </w:t>
      </w:r>
      <w:r>
        <w:rPr>
          <w:rFonts w:ascii="Arial" w:cs="Arial" w:eastAsia="Arial" w:hAnsi="Arial"/>
          <w:sz w:val="19"/>
          <w:szCs w:val="19"/>
          <w:color w:val="auto"/>
        </w:rPr>
        <w:t>If Shares issued upon the settlement of the Performance Units are not immediately sold, you</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 that you are required to maintain the shares in an account with Merrill Lynch Bank and Trust Co., FSB or such other designated broker as may be selected by the Company until the shares are sold through such Company-designated broker.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- 14</w:t>
      </w:r>
    </w:p>
    <w:p>
      <w:pPr>
        <w:sectPr>
          <w:pgSz w:w="11900" w:h="16838" w:orient="portrait"/>
          <w:cols w:equalWidth="0" w:num="1">
            <w:col w:w="11420"/>
          </w:cols>
          <w:pgMar w:left="240" w:top="375" w:right="239" w:bottom="1440" w:gutter="0" w:footer="0" w:header="0"/>
        </w:sectPr>
      </w:pPr>
    </w:p>
    <w:bookmarkStart w:id="101" w:name="page102"/>
    <w:bookmarkEnd w:id="101"/>
    <w:p>
      <w:pPr>
        <w:jc w:val="both"/>
        <w:spacing w:after="0" w:line="286" w:lineRule="auto"/>
        <w:rPr>
          <w:sz w:val="20"/>
          <w:szCs w:val="20"/>
          <w:color w:val="auto"/>
        </w:rPr>
      </w:pPr>
      <w:r>
        <w:rPr>
          <w:rFonts w:ascii="Arial" w:cs="Arial" w:eastAsia="Arial" w:hAnsi="Arial"/>
          <w:sz w:val="19"/>
          <w:szCs w:val="19"/>
          <w:b w:val="1"/>
          <w:bCs w:val="1"/>
          <w:color w:val="auto"/>
        </w:rPr>
        <w:t xml:space="preserve">Exchange Control Requirements. </w:t>
      </w:r>
      <w:r>
        <w:rPr>
          <w:rFonts w:ascii="Arial" w:cs="Arial" w:eastAsia="Arial" w:hAnsi="Arial"/>
          <w:sz w:val="19"/>
          <w:szCs w:val="19"/>
          <w:color w:val="auto"/>
        </w:rPr>
        <w:t>You understand and agree that, pursuant to local exchange control requirements, you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to repatriate the cash proceeds from the sale of the Shares issued upon settlement of the Performance Units to Morocco. You further understand that such repatriation of your cash proceeds may be effectuated through a bank account established by the Company or any Affiliate, including the Employer, and you hereby consent and agree that any proceeds from the sale of the shares may be transferred to such bank account prior to being delivered to you. If repatriation of your cash proceeds is not effectuated through a bank account established by the Company or any Affiliate, including the Employer, you hereby agree to maintain your own records proving repatriation and to provide copies of these records upon request by the Company or any Affiliate, including the Employer, or the Moroccan Exchange Control Office (</w:t>
      </w:r>
      <w:r>
        <w:rPr>
          <w:rFonts w:ascii="Arial" w:cs="Arial" w:eastAsia="Arial" w:hAnsi="Arial"/>
          <w:sz w:val="19"/>
          <w:szCs w:val="19"/>
          <w:i w:val="1"/>
          <w:iCs w:val="1"/>
          <w:color w:val="auto"/>
        </w:rPr>
        <w:t>Office des Changes</w:t>
      </w:r>
      <w:r>
        <w:rPr>
          <w:rFonts w:ascii="Arial" w:cs="Arial" w:eastAsia="Arial" w:hAnsi="Arial"/>
          <w:sz w:val="19"/>
          <w:szCs w:val="19"/>
          <w:color w:val="auto"/>
        </w:rPr>
        <w:t>). Further, you acknowledge and understand that the net proceeds that you realize from your participation in the Plan must be converted from U.S. dollars to Dirham, and that neither the Company nor any Affiliate, including the Employer, have any obligation to, but may nonetheless, convert the net proceeds on your behalf using any exchange rate chosen by the Company; if funds are so converted, they will be converted as soon as practicable after sale, which may not be immediately after the sale date. Further, if such currency conversion occurs, you will bear the risk of any fluctuation in the U.S. dollar/Dirham exchange rate between the date you realize U.S. dollar proceeds from your participation in the Plan and the date that you receive cash proceeds converted to Dirham. You further agree to comply with any other requirements that may be imposed by the Company in the future in order to facilitate compliance with exchange control requirements in Morocco.</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NETHERLANDS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NEW ZEALAND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NORWAY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PERU</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Securities Law Information</w:t>
      </w:r>
      <w:r>
        <w:rPr>
          <w:rFonts w:ascii="Arial" w:cs="Arial" w:eastAsia="Arial" w:hAnsi="Arial"/>
          <w:sz w:val="22"/>
          <w:szCs w:val="22"/>
          <w:color w:val="auto"/>
        </w:rPr>
        <w:t>. The grant of Performance Units is considered a private offering in Peru; therefore, it is not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registration.</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Polish residents holding foreign securities (including Shares) and maintaining accounts abroad</w:t>
      </w:r>
      <w:r>
        <w:rPr>
          <w:rFonts w:ascii="Arial" w:cs="Arial" w:eastAsia="Arial" w:hAnsi="Arial"/>
          <w:sz w:val="19"/>
          <w:szCs w:val="19"/>
          <w:b w:val="1"/>
          <w:bCs w:val="1"/>
          <w:color w:val="auto"/>
        </w:rPr>
        <w:t xml:space="preserve"> </w:t>
      </w:r>
      <w:r>
        <w:rPr>
          <w:rFonts w:ascii="Arial" w:cs="Arial" w:eastAsia="Arial" w:hAnsi="Arial"/>
          <w:sz w:val="19"/>
          <w:szCs w:val="19"/>
          <w:color w:val="auto"/>
        </w:rPr>
        <w:t>must report information to the National Bank of Poland. Specifically, if the aggregate value of shares and cash held in such foreign accounts exceeds PLN 7 million, Polish residents must file reports on the transactions and balances of the accounts on a quarterly basis. If required, the reports are due on a quarterly basis by the 20th day following the end of each quarter and must be filed on special forms available on the website of the National Bank of Poland. In addition, Polish residents are required to transfer funds through a bank account in Poland if the transferred amount in any single transaction exceeds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- 15</w:t>
      </w:r>
    </w:p>
    <w:p>
      <w:pPr>
        <w:sectPr>
          <w:pgSz w:w="11900" w:h="16838" w:orient="portrait"/>
          <w:cols w:equalWidth="0" w:num="1">
            <w:col w:w="11420"/>
          </w:cols>
          <w:pgMar w:left="240" w:top="369" w:right="239" w:bottom="1440" w:gutter="0" w:footer="0" w:header="0"/>
        </w:sectPr>
      </w:pPr>
    </w:p>
    <w:bookmarkStart w:id="102" w:name="page103"/>
    <w:bookmarkEnd w:id="102"/>
    <w:p>
      <w:pPr>
        <w:jc w:val="both"/>
        <w:spacing w:after="0" w:line="263" w:lineRule="auto"/>
        <w:rPr>
          <w:sz w:val="20"/>
          <w:szCs w:val="20"/>
          <w:color w:val="auto"/>
        </w:rPr>
      </w:pPr>
      <w:r>
        <w:rPr>
          <w:rFonts w:ascii="Arial" w:cs="Arial" w:eastAsia="Arial" w:hAnsi="Arial"/>
          <w:sz w:val="22"/>
          <w:szCs w:val="22"/>
          <w:color w:val="auto"/>
        </w:rPr>
        <w:t>a specified threshold (currently €15,000). You must store all documents connected with any foreign exchange transactions you engage in for a period of five years.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PORTUGAL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Consent to Receive Information in English. </w:t>
      </w:r>
      <w:r>
        <w:rPr>
          <w:rFonts w:ascii="Arial" w:cs="Arial" w:eastAsia="Arial" w:hAnsi="Arial"/>
          <w:sz w:val="22"/>
          <w:szCs w:val="22"/>
          <w:color w:val="auto"/>
        </w:rPr>
        <w:t>You hereby expressly declare that you have full knowledge of the English language</w:t>
      </w:r>
      <w:r>
        <w:rPr>
          <w:rFonts w:ascii="Arial" w:cs="Arial" w:eastAsia="Arial" w:hAnsi="Arial"/>
          <w:sz w:val="22"/>
          <w:szCs w:val="22"/>
          <w:b w:val="1"/>
          <w:bCs w:val="1"/>
          <w:color w:val="auto"/>
        </w:rPr>
        <w:t xml:space="preserve"> </w:t>
      </w:r>
      <w:r>
        <w:rPr>
          <w:rFonts w:ascii="Arial" w:cs="Arial" w:eastAsia="Arial" w:hAnsi="Arial"/>
          <w:sz w:val="22"/>
          <w:szCs w:val="22"/>
          <w:color w:val="auto"/>
        </w:rPr>
        <w:t>and have read, understood and fully accepted and agreed with the terms and conditions established in the Plan, the Program and Agreement.</w:t>
      </w:r>
    </w:p>
    <w:p>
      <w:pPr>
        <w:spacing w:after="0" w:line="176" w:lineRule="exact"/>
        <w:rPr>
          <w:sz w:val="20"/>
          <w:szCs w:val="20"/>
          <w:color w:val="auto"/>
        </w:rPr>
      </w:pPr>
    </w:p>
    <w:p>
      <w:pPr>
        <w:jc w:val="both"/>
        <w:ind w:right="20"/>
        <w:spacing w:after="0" w:line="350" w:lineRule="auto"/>
        <w:rPr>
          <w:sz w:val="20"/>
          <w:szCs w:val="20"/>
          <w:color w:val="auto"/>
        </w:rPr>
      </w:pPr>
      <w:r>
        <w:rPr>
          <w:rFonts w:ascii="Arial" w:cs="Arial" w:eastAsia="Arial" w:hAnsi="Arial"/>
          <w:sz w:val="19"/>
          <w:szCs w:val="19"/>
          <w:b w:val="1"/>
          <w:bCs w:val="1"/>
          <w:color w:val="auto"/>
        </w:rPr>
        <w:t xml:space="preserve">Conhecimento da Lingua. </w:t>
      </w:r>
      <w:r>
        <w:rPr>
          <w:rFonts w:ascii="Arial" w:cs="Arial" w:eastAsia="Arial" w:hAnsi="Arial"/>
          <w:sz w:val="19"/>
          <w:szCs w:val="19"/>
          <w:i w:val="1"/>
          <w:iCs w:val="1"/>
          <w:color w:val="auto"/>
        </w:rPr>
        <w:t>Por meio do presente, eu declaro expressamente que tem pleno conhecimento da língua inglesa e que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li, compreendi e livremente aceitei e concordei com os termos e condições estabelecidas no Plano, no Programa e no Acordo.</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do not hold the Shares issued in respect of the Award with a Portuguese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intermediary, you will need to file a report with the Portuguese Central Bank. If the shares are held by a Portuguese financial intermediary, it will file the report for you.</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PUERTO RICO</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ROMANIA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If you deposit proceeds from the sale of Shares or the receipt of dividends or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in a bank account in Romania, you may be required to provide the Romanian bank assisting with the transaction with appropriate documentation explaining the source of the income. You should consult with a legal advisor to determine whether you will be required to submit such documentation to the Romanian bank.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RUSSIA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1"/>
          <w:szCs w:val="21"/>
          <w:b w:val="1"/>
          <w:bCs w:val="1"/>
          <w:color w:val="auto"/>
        </w:rPr>
        <w:t xml:space="preserve">Exchange Control Requirements. </w:t>
      </w:r>
      <w:r>
        <w:rPr>
          <w:rFonts w:ascii="Arial" w:cs="Arial" w:eastAsia="Arial" w:hAnsi="Arial"/>
          <w:sz w:val="21"/>
          <w:szCs w:val="21"/>
          <w:color w:val="auto"/>
        </w:rPr>
        <w:t>You understand and agree that, pursuant to Russian exchange control requirements, you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repatriate to Russia the cash proceeds from the sale of the Shares issued to you upon settlement of the Performance Units and from the receipt of any dividends paid on such shares or Dividend Equivalents. You further understand that, under applicable laws, such proceeds must be initially credited to you through a foreign currency account opened in your name at an authorized bank in Russia. You further agree to comply with any other requirements that may be imposed by the Company in the future in order to facilitate compliance with exchange control requirements in Russia.</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Without limiting the generality of the foregoing, you acknowledge that the Company reserves the right, in its sole discretion, depending on developments in Russian exchange control laws and regulations, to force the immediate sale of any Shares to be issued upon vesting of the Award granted hereunder. You further agree that, if applicable, the Company is authorized to instruct Merrill Lynch Bank &amp; Trust Co., FSB (or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- 16</w:t>
      </w:r>
    </w:p>
    <w:p>
      <w:pPr>
        <w:sectPr>
          <w:pgSz w:w="11900" w:h="16838" w:orient="portrait"/>
          <w:cols w:equalWidth="0" w:num="1">
            <w:col w:w="11420"/>
          </w:cols>
          <w:pgMar w:left="240" w:top="375" w:right="239" w:bottom="1440" w:gutter="0" w:footer="0" w:header="0"/>
        </w:sectPr>
      </w:pPr>
    </w:p>
    <w:bookmarkStart w:id="103" w:name="page104"/>
    <w:bookmarkEnd w:id="103"/>
    <w:p>
      <w:pPr>
        <w:jc w:val="both"/>
        <w:spacing w:after="0" w:line="294" w:lineRule="auto"/>
        <w:rPr>
          <w:sz w:val="20"/>
          <w:szCs w:val="20"/>
          <w:color w:val="auto"/>
        </w:rPr>
      </w:pPr>
      <w:r>
        <w:rPr>
          <w:rFonts w:ascii="Arial" w:cs="Arial" w:eastAsia="Arial" w:hAnsi="Arial"/>
          <w:sz w:val="19"/>
          <w:szCs w:val="19"/>
          <w:color w:val="auto"/>
        </w:rPr>
        <w:t>such other broker as may be designated by the Company) to assist with the mandatory sale of such Shares (on your behalf pursuant to this authorization) and you expressly authorize Merrill Lynch Bank &amp; Trust Co., FSB (or such other broker as may be designated by the Company) to complete the sale of such shares. You further acknowledge that Merrill Lynch Bank &amp; Trust Co., FSB (or such other broker as may be designated by the Company) is under no obligation to arrange for the sale of the Shares at any particular trading price. Upon the sale of Shares, you will receive the cash proceeds from the sale of such shares, less any brokerage fees or commissions and subject to your obligations in connection with the Tax Obligations.</w:t>
      </w:r>
    </w:p>
    <w:p>
      <w:pPr>
        <w:spacing w:after="0" w:line="14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Securities Law Requirements. </w:t>
      </w:r>
      <w:r>
        <w:rPr>
          <w:rFonts w:ascii="Arial" w:cs="Arial" w:eastAsia="Arial" w:hAnsi="Arial"/>
          <w:sz w:val="19"/>
          <w:szCs w:val="19"/>
          <w:color w:val="auto"/>
        </w:rPr>
        <w:t>The Award granted hereunder, the Agreement, including this Appendix, the Program, the Plan and</w:t>
      </w:r>
      <w:r>
        <w:rPr>
          <w:rFonts w:ascii="Arial" w:cs="Arial" w:eastAsia="Arial" w:hAnsi="Arial"/>
          <w:sz w:val="19"/>
          <w:szCs w:val="19"/>
          <w:b w:val="1"/>
          <w:bCs w:val="1"/>
          <w:color w:val="auto"/>
        </w:rPr>
        <w:t xml:space="preserve"> </w:t>
      </w:r>
      <w:r>
        <w:rPr>
          <w:rFonts w:ascii="Arial" w:cs="Arial" w:eastAsia="Arial" w:hAnsi="Arial"/>
          <w:sz w:val="19"/>
          <w:szCs w:val="19"/>
          <w:color w:val="auto"/>
        </w:rPr>
        <w:t>all other materials you may receive regarding your participation in the Plan and the Program or the Award granted hereunder do not constitute advertising or an offering of securities in Russia. The issuance of Shares in respect of the Award has not and will not be registered in Russia; therefore, such shares may not be offered or placed in public circulation in Russia.</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no event will Shares acquired under the Plan be delivered to you in Russia; all Shares will be maintained on your behalf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You are not permitted to sell any shares acquired under the Plan directly to a Russian legal entity or resident.</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Labor Law Information. </w:t>
      </w:r>
      <w:r>
        <w:rPr>
          <w:rFonts w:ascii="Arial" w:cs="Arial" w:eastAsia="Arial" w:hAnsi="Arial"/>
          <w:sz w:val="22"/>
          <w:szCs w:val="22"/>
          <w:color w:val="auto"/>
        </w:rPr>
        <w:t>You acknowledge that if you continue to hold Shares acquired under the Plan after an involuntary</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your employment, you will not be eligible to receive unemployment benefits in Russia.</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Data Privacy Notice. </w:t>
      </w:r>
      <w:r>
        <w:rPr>
          <w:rFonts w:ascii="Arial" w:cs="Arial" w:eastAsia="Arial" w:hAnsi="Arial"/>
          <w:sz w:val="22"/>
          <w:szCs w:val="22"/>
          <w:color w:val="auto"/>
        </w:rPr>
        <w:t>The following provision supplements Section XV of the Agreement:</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You understand and agree that you must complete and return a Consent to Processing of Personal Data (the “</w:t>
      </w:r>
      <w:r>
        <w:rPr>
          <w:rFonts w:ascii="Arial" w:cs="Arial" w:eastAsia="Arial" w:hAnsi="Arial"/>
          <w:sz w:val="21"/>
          <w:szCs w:val="21"/>
          <w:u w:val="single" w:color="auto"/>
          <w:color w:val="auto"/>
        </w:rPr>
        <w:t>Consent</w:t>
      </w:r>
      <w:r>
        <w:rPr>
          <w:rFonts w:ascii="Arial" w:cs="Arial" w:eastAsia="Arial" w:hAnsi="Arial"/>
          <w:sz w:val="21"/>
          <w:szCs w:val="21"/>
          <w:color w:val="auto"/>
        </w:rPr>
        <w:t>”) form to the Company. Further, you understand and agree that if you do not complete and return a Consent form to the Company, the Company will not be able to administer or maintain the Performance Units. Therefore, you understand that refusing to complete a Consent form or withdrawing your consent may affect your ability to participate in the Plan.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After the funds from the sale of Shares are initially received in Russia, pursuant to your</w:t>
      </w:r>
      <w:r>
        <w:rPr>
          <w:rFonts w:ascii="Arial" w:cs="Arial" w:eastAsia="Arial" w:hAnsi="Arial"/>
          <w:sz w:val="19"/>
          <w:szCs w:val="19"/>
          <w:b w:val="1"/>
          <w:bCs w:val="1"/>
          <w:color w:val="auto"/>
        </w:rPr>
        <w:t xml:space="preserve"> </w:t>
      </w:r>
      <w:r>
        <w:rPr>
          <w:rFonts w:ascii="Arial" w:cs="Arial" w:eastAsia="Arial" w:hAnsi="Arial"/>
          <w:sz w:val="19"/>
          <w:szCs w:val="19"/>
          <w:color w:val="auto"/>
        </w:rPr>
        <w:t>repatriation obligation, they may be further remitted to a foreign bank subject to the following limitations: (i) the foreign account may be opened only for individuals; (ii) the foreign account may not be used for business activities; (iii) the Russian tax authorities must be given notice about the opening/closing of each foreign account within one month of the account opening/closing; (iv) the Russian tax authorities must be given notice of the account balances of such foreign accounts as of the beginning of each calendar year; and (v) beginning January 1, 2015 (or such later date as may be established by the Russian tax authorities), quarterly cash flow statements must be filed for each foreign account held by you. According to recent amendments to the law, dividends received on shares acquired under the Plan can be remitted directly to your bank account opened with a foreign bank located in Organisation for Economic Co-operation and Development (“</w:t>
      </w:r>
      <w:r>
        <w:rPr>
          <w:rFonts w:ascii="Arial" w:cs="Arial" w:eastAsia="Arial" w:hAnsi="Arial"/>
          <w:sz w:val="19"/>
          <w:szCs w:val="19"/>
          <w:u w:val="single" w:color="auto"/>
          <w:color w:val="auto"/>
        </w:rPr>
        <w:t>OECD</w:t>
      </w:r>
      <w:r>
        <w:rPr>
          <w:rFonts w:ascii="Arial" w:cs="Arial" w:eastAsia="Arial" w:hAnsi="Arial"/>
          <w:sz w:val="19"/>
          <w:szCs w:val="19"/>
          <w:color w:val="auto"/>
        </w:rPr>
        <w:t>”) or Financial Action Task Force (“</w:t>
      </w:r>
      <w:r>
        <w:rPr>
          <w:rFonts w:ascii="Arial" w:cs="Arial" w:eastAsia="Arial" w:hAnsi="Arial"/>
          <w:sz w:val="19"/>
          <w:szCs w:val="19"/>
          <w:u w:val="single" w:color="auto"/>
          <w:color w:val="auto"/>
        </w:rPr>
        <w:t>FATF</w:t>
      </w:r>
      <w:r>
        <w:rPr>
          <w:rFonts w:ascii="Arial" w:cs="Arial" w:eastAsia="Arial" w:hAnsi="Arial"/>
          <w:sz w:val="19"/>
          <w:szCs w:val="19"/>
          <w:color w:val="auto"/>
        </w:rPr>
        <w:t>”) countries, without first remitting them to your bank account in Russia. You are encouraged to contact your personal advisor before remitting your proceeds from participation in the Plan and the Program to Russia as exchange control requirements may change.</w:t>
      </w:r>
    </w:p>
    <w:p>
      <w:pPr>
        <w:spacing w:after="0" w:line="155" w:lineRule="exact"/>
        <w:rPr>
          <w:sz w:val="20"/>
          <w:szCs w:val="20"/>
          <w:color w:val="auto"/>
        </w:rPr>
      </w:pPr>
    </w:p>
    <w:p>
      <w:pPr>
        <w:jc w:val="both"/>
        <w:ind w:right="20"/>
        <w:spacing w:after="0" w:line="269" w:lineRule="auto"/>
        <w:rPr>
          <w:sz w:val="20"/>
          <w:szCs w:val="20"/>
          <w:color w:val="auto"/>
        </w:rPr>
      </w:pPr>
      <w:r>
        <w:rPr>
          <w:rFonts w:ascii="Arial" w:cs="Arial" w:eastAsia="Arial" w:hAnsi="Arial"/>
          <w:sz w:val="22"/>
          <w:szCs w:val="22"/>
          <w:b w:val="1"/>
          <w:bCs w:val="1"/>
          <w:color w:val="auto"/>
        </w:rPr>
        <w:t xml:space="preserve">Anti-Corruption Legislation Information. </w:t>
      </w:r>
      <w:r>
        <w:rPr>
          <w:rFonts w:ascii="Arial" w:cs="Arial" w:eastAsia="Arial" w:hAnsi="Arial"/>
          <w:sz w:val="22"/>
          <w:szCs w:val="22"/>
          <w:color w:val="auto"/>
        </w:rPr>
        <w:t>Individuals holding public office in Russia, as well as their spouses and dependent</w:t>
      </w:r>
      <w:r>
        <w:rPr>
          <w:rFonts w:ascii="Arial" w:cs="Arial" w:eastAsia="Arial" w:hAnsi="Arial"/>
          <w:sz w:val="22"/>
          <w:szCs w:val="22"/>
          <w:b w:val="1"/>
          <w:bCs w:val="1"/>
          <w:color w:val="auto"/>
        </w:rPr>
        <w:t xml:space="preserve"> </w:t>
      </w:r>
      <w:r>
        <w:rPr>
          <w:rFonts w:ascii="Arial" w:cs="Arial" w:eastAsia="Arial" w:hAnsi="Arial"/>
          <w:sz w:val="22"/>
          <w:szCs w:val="22"/>
          <w:color w:val="auto"/>
        </w:rPr>
        <w:t>children, may be prohibited from opening or maintaining a foreign brokerage or bank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- 17</w:t>
      </w:r>
    </w:p>
    <w:p>
      <w:pPr>
        <w:sectPr>
          <w:pgSz w:w="11900" w:h="16838" w:orient="portrait"/>
          <w:cols w:equalWidth="0" w:num="1">
            <w:col w:w="11420"/>
          </w:cols>
          <w:pgMar w:left="240" w:top="375" w:right="239" w:bottom="1440" w:gutter="0" w:footer="0" w:header="0"/>
        </w:sectPr>
      </w:pPr>
    </w:p>
    <w:bookmarkStart w:id="104" w:name="page105"/>
    <w:bookmarkEnd w:id="104"/>
    <w:p>
      <w:pPr>
        <w:jc w:val="both"/>
        <w:spacing w:after="0" w:line="343" w:lineRule="auto"/>
        <w:rPr>
          <w:sz w:val="20"/>
          <w:szCs w:val="20"/>
          <w:color w:val="auto"/>
        </w:rPr>
      </w:pPr>
      <w:r>
        <w:rPr>
          <w:rFonts w:ascii="Arial" w:cs="Arial" w:eastAsia="Arial" w:hAnsi="Arial"/>
          <w:sz w:val="19"/>
          <w:szCs w:val="19"/>
          <w:color w:val="auto"/>
        </w:rPr>
        <w:t>account and holding any securities, whether acquired directly or indirectly, in a foreign company (including Shares acquired under the Plan). You should consult with your personal legal advisor to determine if this restriction applies to your circumstances.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SAUDI ARABIA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This document may not be distributed in the Kingdom of Saudi Arabia except to such persons as are</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under the Offers of Securities Regulations issued by the Capital Market Authority.</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Capital Market Authority does not make any representation as to the accuracy or completeness of this document, and expressly disclaims any liability whatsoever for any loss arising from, or incurred in reliance upon, any part of this document. You are hereby advised to conduct your own due diligence on the accuracy of the information relating to the Shares. If you do not understand the contents of this document, you should consult an authorized financial adviser.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SINGAPORE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The grant of the Performance Units is being made pursuant to the “Qualifying Person” exemption</w:t>
      </w:r>
      <w:r>
        <w:rPr>
          <w:rFonts w:ascii="Arial" w:cs="Arial" w:eastAsia="Arial" w:hAnsi="Arial"/>
          <w:sz w:val="21"/>
          <w:szCs w:val="21"/>
          <w:b w:val="1"/>
          <w:bCs w:val="1"/>
          <w:color w:val="auto"/>
        </w:rPr>
        <w:t xml:space="preserve"> </w:t>
      </w:r>
      <w:r>
        <w:rPr>
          <w:rFonts w:ascii="Arial" w:cs="Arial" w:eastAsia="Arial" w:hAnsi="Arial"/>
          <w:sz w:val="21"/>
          <w:szCs w:val="21"/>
          <w:color w:val="auto"/>
        </w:rPr>
        <w:t>under section 273(1)(f) of the Securities and Futures Act (Chapter 289, 2006 Ed.) (“</w:t>
      </w:r>
      <w:r>
        <w:rPr>
          <w:rFonts w:ascii="Arial" w:cs="Arial" w:eastAsia="Arial" w:hAnsi="Arial"/>
          <w:sz w:val="21"/>
          <w:szCs w:val="21"/>
          <w:u w:val="single" w:color="auto"/>
          <w:color w:val="auto"/>
        </w:rPr>
        <w:t>SFA</w:t>
      </w:r>
      <w:r>
        <w:rPr>
          <w:rFonts w:ascii="Arial" w:cs="Arial" w:eastAsia="Arial" w:hAnsi="Arial"/>
          <w:sz w:val="21"/>
          <w:szCs w:val="21"/>
          <w:color w:val="auto"/>
        </w:rPr>
        <w:t>”) and is not made with a view to the Performance Units being subsequently offered for sale to any other party. The Plan has not been lodged or registered as a prospectus with the Monetary Authority of Singapore. You should note that the Performance Units are subject to section 257 of the SFA and you will not be able to make (i) any subsequent sale of Shares in Singapore or (ii) any offer of such subsequent sale of the shares subject to the Performance Units in Singapore, unless such sale or offer is made pursuant to the exemptions under Part XIII Division (1) Subdivision (4) (other than section 280) of the SFA.</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 xml:space="preserve">Director Notification Requirement. </w:t>
      </w:r>
      <w:r>
        <w:rPr>
          <w:rFonts w:ascii="Arial" w:cs="Arial" w:eastAsia="Arial" w:hAnsi="Arial"/>
          <w:sz w:val="21"/>
          <w:szCs w:val="21"/>
          <w:color w:val="auto"/>
        </w:rPr>
        <w:t>Directors, associate directors and shadow directors of a Singapore Affiliate are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notification requirements under the Singapore Companies Act. Directors, associate directors and shadow directors must notify the Singapore Affiliate in writing of an interest (</w:t>
      </w:r>
      <w:r>
        <w:rPr>
          <w:rFonts w:ascii="Arial" w:cs="Arial" w:eastAsia="Arial" w:hAnsi="Arial"/>
          <w:sz w:val="21"/>
          <w:szCs w:val="21"/>
          <w:i w:val="1"/>
          <w:iCs w:val="1"/>
          <w:color w:val="auto"/>
        </w:rPr>
        <w:t>e.g.</w:t>
      </w:r>
      <w:r>
        <w:rPr>
          <w:rFonts w:ascii="Arial" w:cs="Arial" w:eastAsia="Arial" w:hAnsi="Arial"/>
          <w:sz w:val="21"/>
          <w:szCs w:val="21"/>
          <w:color w:val="auto"/>
        </w:rPr>
        <w:t>, Performance Units, Shares, etc.) in the Company or any related company within two (2) business days of (i) its acquisition or disposal, (ii) any change in a previously disclosed interest (</w:t>
      </w:r>
      <w:r>
        <w:rPr>
          <w:rFonts w:ascii="Arial" w:cs="Arial" w:eastAsia="Arial" w:hAnsi="Arial"/>
          <w:sz w:val="21"/>
          <w:szCs w:val="21"/>
          <w:i w:val="1"/>
          <w:iCs w:val="1"/>
          <w:color w:val="auto"/>
        </w:rPr>
        <w:t>e.g.,</w:t>
      </w:r>
      <w:r>
        <w:rPr>
          <w:rFonts w:ascii="Arial" w:cs="Arial" w:eastAsia="Arial" w:hAnsi="Arial"/>
          <w:sz w:val="21"/>
          <w:szCs w:val="21"/>
          <w:color w:val="auto"/>
        </w:rPr>
        <w:t xml:space="preserve"> when the shares are sold), or (iii) becoming a director, associate director or shadow director.</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SLOVAK REPUBLIC</w:t>
      </w:r>
    </w:p>
    <w:p>
      <w:pPr>
        <w:spacing w:after="0" w:line="220"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If you permanently reside in the Slovak Republic and, apart from being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employed, carry on business activities as an independent entrepreneur (in Slovakian, podnikatel), you will be obligated to report your foreign assets (including any foreign securities such as the Shares) to the National Bank of Slovakia (provided that the value of the foreign assets exceeds an amount of €2,000,000). These reports must be submitted on a monthly basis by the 15th day of the respective calendar month, as well as on a quarterly basis by the 15th day of the calendar month following the respective calendar quarter, using notification form DEV (NBS) 1-12, which may be found at the National Bank of Slovakia’s website at </w:t>
      </w:r>
      <w:r>
        <w:rPr>
          <w:rFonts w:ascii="Arial" w:cs="Arial" w:eastAsia="Arial" w:hAnsi="Arial"/>
          <w:sz w:val="19"/>
          <w:szCs w:val="19"/>
          <w:u w:val="single" w:color="auto"/>
          <w:color w:val="auto"/>
        </w:rPr>
        <w:t>www.nbs.sk</w:t>
      </w:r>
      <w:r>
        <w:rPr>
          <w:rFonts w:ascii="Arial" w:cs="Arial" w:eastAsia="Arial" w:hAnsi="Arial"/>
          <w:sz w:val="19"/>
          <w:szCs w:val="19"/>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SLOVENIA</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- 18</w:t>
      </w:r>
    </w:p>
    <w:p>
      <w:pPr>
        <w:sectPr>
          <w:pgSz w:w="11900" w:h="16838" w:orient="portrait"/>
          <w:cols w:equalWidth="0" w:num="1">
            <w:col w:w="11420"/>
          </w:cols>
          <w:pgMar w:left="240" w:top="375"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SOUTH AFRICA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Responsibility for Taxes</w:t>
      </w:r>
      <w:r>
        <w:rPr>
          <w:rFonts w:ascii="Arial" w:cs="Arial" w:eastAsia="Arial" w:hAnsi="Arial"/>
          <w:sz w:val="22"/>
          <w:szCs w:val="22"/>
          <w:color w:val="auto"/>
        </w:rPr>
        <w:t>. The following provision supplements Section V of the Agreement: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By accepting the Performance Units, you agree that, immediately upon vesting and settlement of the Performance Units, you will notify your Employer of the amount of any gain realized. If you fail to advise your Employer of the gain realized upon vesting and settlement, you may be liable for a fine. You will be solely responsible for paying any difference between your actual tax liability and the amount withheld by your Employer.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Because no transfer of funds from South Africa is required under the Performance Units, no</w:t>
      </w:r>
      <w:r>
        <w:rPr>
          <w:rFonts w:ascii="Arial" w:cs="Arial" w:eastAsia="Arial" w:hAnsi="Arial"/>
          <w:sz w:val="19"/>
          <w:szCs w:val="19"/>
          <w:b w:val="1"/>
          <w:bCs w:val="1"/>
          <w:color w:val="auto"/>
        </w:rPr>
        <w:t xml:space="preserve"> </w:t>
      </w:r>
      <w:r>
        <w:rPr>
          <w:rFonts w:ascii="Arial" w:cs="Arial" w:eastAsia="Arial" w:hAnsi="Arial"/>
          <w:sz w:val="19"/>
          <w:szCs w:val="19"/>
          <w:color w:val="auto"/>
        </w:rPr>
        <w:t>filing or reporting requirements should apply when the Performance Units are granted or when Shares are issued upon vesting and settlement of the Performance Units. However, because the exchange control regulations are subject to change, you should consult your personal advisor prior to vesting and settlement of the Performance Units to ensure compliance with current regulations. You are responsible for ensuring compliance with all exchange control laws in South Africa.</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SPAIN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Labor Law Acknowledgement. </w:t>
      </w:r>
      <w:r>
        <w:rPr>
          <w:rFonts w:ascii="Arial" w:cs="Arial" w:eastAsia="Arial" w:hAnsi="Arial"/>
          <w:sz w:val="22"/>
          <w:szCs w:val="22"/>
          <w:color w:val="auto"/>
        </w:rPr>
        <w:t>The following provision supplements Section IX of the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By accepting the Award granted hereunder, you consent to participation in the Plan and the Program and acknowledge that you have received a copy of the Plan and the Program.</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You understand that the Company has unilaterally, gratuitously and in its sole discretion decided to grant the Award under the Plan and the Program to individuals who may be members of the Board or Employees of the Company or its Affiliates throughout the world. The decision is a limited decision that is entered into upon the express assumption and condition that the Awards granted will not economically or otherwise bind the Company or any of its Affiliates on an ongoing basis, other than as expressly set forth in the applicable Agreement, including this Appendix. Consequently, you understand that the Award granted hereunder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 you understand and freely accept that there is no guarantee that any benefit whatsoever shall arise from any gratuitous and discretionary grant of the Award since the future value of the Award and any Shares that may be issued in respect of such Award is unknown and unpredictable. In addition, you understand that the Award granted hereunder would not be made but for the assumptions and conditions referred to above; thus, you understand, acknowledge and freely accept that, should any or all of the assumptions be mistaken or should any of the conditions not be met for any reason, then the grant of the Award or right to the Award shall be null and void.</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Further, the vesting of the Performance Units is expressly conditioned your continued and active rendering of service, such that if your employment terminates for any reason whatsoever, the Performance Units may cease vesting immediately, in whole or in part, effective on the date of your termination of employment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- 19</w:t>
      </w:r>
    </w:p>
    <w:p>
      <w:pPr>
        <w:sectPr>
          <w:pgSz w:w="11900" w:h="16838" w:orient="portrait"/>
          <w:cols w:equalWidth="0" w:num="1">
            <w:col w:w="11420"/>
          </w:cols>
          <w:pgMar w:left="240" w:top="375" w:right="239" w:bottom="1440" w:gutter="0" w:footer="0" w:header="0"/>
        </w:sectPr>
      </w:pPr>
    </w:p>
    <w:bookmarkStart w:id="106" w:name="page107"/>
    <w:bookmarkEnd w:id="106"/>
    <w:p>
      <w:pPr>
        <w:jc w:val="both"/>
        <w:spacing w:after="0" w:line="260" w:lineRule="auto"/>
        <w:rPr>
          <w:sz w:val="20"/>
          <w:szCs w:val="20"/>
          <w:color w:val="auto"/>
        </w:rPr>
      </w:pPr>
      <w:r>
        <w:rPr>
          <w:rFonts w:ascii="Arial" w:cs="Arial" w:eastAsia="Arial" w:hAnsi="Arial"/>
          <w:sz w:val="21"/>
          <w:szCs w:val="21"/>
          <w:color w:val="auto"/>
        </w:rPr>
        <w:t>(unless otherwise specifically provided in Section I of the Agreement). This will be the case, for example, even if (1) you are considered to be unfairly dismissed without good cause; (2) you are dismissed for disciplinary or objective reasons or due to a collective dismissal; (3) you terminate service due to a change of work location, duties or any other employment or contractual condition; (4) you terminate service due to a unilateral breach of contract by the Company or an Affiliate; or (5) your employment terminates for any other reason whatsoever. Consequently, upon termination of your employment for any of the above reasons, you may automatically lose any rights to Performance Units that were not vested on the date of your termination of employment, as described in the Plan and the Agreement.</w:t>
      </w:r>
    </w:p>
    <w:p>
      <w:pPr>
        <w:spacing w:after="0" w:line="181" w:lineRule="exact"/>
        <w:rPr>
          <w:sz w:val="20"/>
          <w:szCs w:val="20"/>
          <w:color w:val="auto"/>
        </w:rPr>
      </w:pPr>
    </w:p>
    <w:p>
      <w:pPr>
        <w:ind w:right="1300"/>
        <w:spacing w:after="0" w:line="445" w:lineRule="auto"/>
        <w:rPr>
          <w:sz w:val="20"/>
          <w:szCs w:val="20"/>
          <w:color w:val="auto"/>
        </w:rPr>
      </w:pPr>
      <w:r>
        <w:rPr>
          <w:rFonts w:ascii="Arial" w:cs="Arial" w:eastAsia="Arial" w:hAnsi="Arial"/>
          <w:sz w:val="22"/>
          <w:szCs w:val="22"/>
          <w:color w:val="auto"/>
        </w:rPr>
        <w:t xml:space="preserve">You acknowledge that you have read and specifically accept the conditions referred to in Section I of the Agreement. </w:t>
      </w:r>
      <w:r>
        <w:rPr>
          <w:rFonts w:ascii="Arial" w:cs="Arial" w:eastAsia="Arial" w:hAnsi="Arial"/>
          <w:sz w:val="22"/>
          <w:szCs w:val="22"/>
          <w:b w:val="1"/>
          <w:bCs w:val="1"/>
          <w:i w:val="1"/>
          <w:iCs w:val="1"/>
          <w:color w:val="auto"/>
        </w:rPr>
        <w:t>NOTIFICATIONS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No “offer of securities to the public,” as defined under Spanish law, has taken place or will take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place in the Spanish territory. The Agreement (including this Appendix) has not been nor will it be registered with the </w:t>
      </w:r>
      <w:r>
        <w:rPr>
          <w:rFonts w:ascii="Arial" w:cs="Arial" w:eastAsia="Arial" w:hAnsi="Arial"/>
          <w:sz w:val="22"/>
          <w:szCs w:val="22"/>
          <w:i w:val="1"/>
          <w:iCs w:val="1"/>
          <w:color w:val="auto"/>
        </w:rPr>
        <w:t>Comisión</w:t>
      </w:r>
      <w:r>
        <w:rPr>
          <w:rFonts w:ascii="Arial" w:cs="Arial" w:eastAsia="Arial" w:hAnsi="Arial"/>
          <w:sz w:val="22"/>
          <w:szCs w:val="22"/>
          <w:color w:val="auto"/>
        </w:rPr>
        <w:t xml:space="preserve"> </w:t>
      </w:r>
      <w:r>
        <w:rPr>
          <w:rFonts w:ascii="Arial" w:cs="Arial" w:eastAsia="Arial" w:hAnsi="Arial"/>
          <w:sz w:val="22"/>
          <w:szCs w:val="22"/>
          <w:i w:val="1"/>
          <w:iCs w:val="1"/>
          <w:color w:val="auto"/>
        </w:rPr>
        <w:t>Nacional del Mercado de Valores</w:t>
      </w:r>
      <w:r>
        <w:rPr>
          <w:rFonts w:ascii="Arial" w:cs="Arial" w:eastAsia="Arial" w:hAnsi="Arial"/>
          <w:sz w:val="22"/>
          <w:szCs w:val="22"/>
          <w:color w:val="auto"/>
        </w:rPr>
        <w:t>, and does not constitute a public offering prospectus.</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acquire shares under the Plan, you must declare the acquisition to the</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Direccion General</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de Comercio e Inversiones </w:t>
      </w:r>
      <w:r>
        <w:rPr>
          <w:rFonts w:ascii="Arial" w:cs="Arial" w:eastAsia="Arial" w:hAnsi="Arial"/>
          <w:sz w:val="19"/>
          <w:szCs w:val="19"/>
          <w:color w:val="auto"/>
        </w:rPr>
        <w:t>(“</w:t>
      </w:r>
      <w:r>
        <w:rPr>
          <w:rFonts w:ascii="Arial" w:cs="Arial" w:eastAsia="Arial" w:hAnsi="Arial"/>
          <w:sz w:val="19"/>
          <w:szCs w:val="19"/>
          <w:u w:val="single" w:color="auto"/>
          <w:color w:val="auto"/>
        </w:rPr>
        <w:t>DGCI</w:t>
      </w:r>
      <w:r>
        <w:rPr>
          <w:rFonts w:ascii="Arial" w:cs="Arial" w:eastAsia="Arial" w:hAnsi="Arial"/>
          <w:sz w:val="19"/>
          <w:szCs w:val="19"/>
          <w:color w:val="auto"/>
        </w:rPr>
        <w:t>”). If you acquire the shares through the use of a Spanish financial institution, that institution</w:t>
      </w:r>
      <w:r>
        <w:rPr>
          <w:rFonts w:ascii="Arial" w:cs="Arial" w:eastAsia="Arial" w:hAnsi="Arial"/>
          <w:sz w:val="19"/>
          <w:szCs w:val="19"/>
          <w:i w:val="1"/>
          <w:iCs w:val="1"/>
          <w:color w:val="auto"/>
        </w:rPr>
        <w:t xml:space="preserve"> </w:t>
      </w:r>
      <w:r>
        <w:rPr>
          <w:rFonts w:ascii="Arial" w:cs="Arial" w:eastAsia="Arial" w:hAnsi="Arial"/>
          <w:sz w:val="19"/>
          <w:szCs w:val="19"/>
          <w:color w:val="auto"/>
        </w:rPr>
        <w:t>will automatically make the declaration to the DGCI for you; otherwise, you will be required to make the declaration by filing a D-6 form. You must declare ownership of any shares with the DGCI each January while the shares are owned and must also report, in January, any sale of shares that occurred in the previous year for which the report is being made, unless the sale proceeds exceed the applicable threshold, in which case the report is due within one month of the sale.</w:t>
      </w:r>
    </w:p>
    <w:p>
      <w:pPr>
        <w:spacing w:after="0" w:line="144"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b w:val="1"/>
          <w:bCs w:val="1"/>
          <w:color w:val="auto"/>
        </w:rPr>
        <w:t xml:space="preserve">Foreign Asset/Account Reporting Information. </w:t>
      </w:r>
      <w:r>
        <w:rPr>
          <w:rFonts w:ascii="Arial" w:cs="Arial" w:eastAsia="Arial" w:hAnsi="Arial"/>
          <w:sz w:val="19"/>
          <w:szCs w:val="19"/>
          <w:color w:val="auto"/>
        </w:rPr>
        <w:t>You are required to declare electronically to the Bank of Spain any securities</w:t>
      </w:r>
      <w:r>
        <w:rPr>
          <w:rFonts w:ascii="Arial" w:cs="Arial" w:eastAsia="Arial" w:hAnsi="Arial"/>
          <w:sz w:val="19"/>
          <w:szCs w:val="19"/>
          <w:b w:val="1"/>
          <w:bCs w:val="1"/>
          <w:color w:val="auto"/>
        </w:rPr>
        <w:t xml:space="preserve"> </w:t>
      </w:r>
      <w:r>
        <w:rPr>
          <w:rFonts w:ascii="Arial" w:cs="Arial" w:eastAsia="Arial" w:hAnsi="Arial"/>
          <w:sz w:val="19"/>
          <w:szCs w:val="19"/>
          <w:color w:val="auto"/>
        </w:rPr>
        <w:t>accounts (including brokerage accounts held abroad), as well as the Shares held in such accounts if the value of the transactions during the prior tax year or the balances in such accounts as of December 31 of the prior tax year exceed €1,000,000.</w:t>
      </w:r>
    </w:p>
    <w:p>
      <w:pPr>
        <w:spacing w:after="0" w:line="13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Further, effective January 1, 2013, to the extent that you hold shares and/or have bank accounts outside Spain with a value in excess of €50,000 (for each type of asset) as of December 31 each year, you will be required to report information on such assets in your tax return (tax form 720) for such year. After such shares and/or accounts are initially reported, the reporting obligation will apply for subsequent years only if the value of any previously-reported shares or accounts increases by more than €20,000. If the value of such shares and/or accounts as of December 31 does not exceed €50,000, a summarized form of declaration may be presented.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SWEDEN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provisions.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SWITZERLAND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Notification. </w:t>
      </w:r>
      <w:r>
        <w:rPr>
          <w:rFonts w:ascii="Arial" w:cs="Arial" w:eastAsia="Arial" w:hAnsi="Arial"/>
          <w:sz w:val="22"/>
          <w:szCs w:val="22"/>
          <w:color w:val="auto"/>
        </w:rPr>
        <w:t>The Award offered hereunder is considered a private offering in Switzerland and is, therefore, not</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registration in Switzerland.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- 20</w:t>
      </w:r>
    </w:p>
    <w:p>
      <w:pPr>
        <w:sectPr>
          <w:pgSz w:w="11900" w:h="16838" w:orient="portrait"/>
          <w:cols w:equalWidth="0" w:num="1">
            <w:col w:w="11420"/>
          </w:cols>
          <w:pgMar w:left="240" w:top="375" w:right="2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b w:val="1"/>
          <w:bCs w:val="1"/>
          <w:u w:val="single" w:color="auto"/>
          <w:color w:val="auto"/>
        </w:rPr>
        <w:t>TAIWAN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You may acquire and remit foreign currency (including proceeds from the sale of Shares or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of dividends or Dividend Equivalents) up to US$5,000,000 per year without justification. If the transaction amount is TWD500,000 or more in a single transaction, you must submit a Foreign Exchange Transaction Form. If the transaction amount is US$500,000 or more in a single transaction, you must also provide supporting documentation to the satisfaction of the remitting bank.</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THAILAND</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proceeds from the sale of Shares or the receipt of any dividends or Dividend Equivalents</w:t>
      </w:r>
      <w:r>
        <w:rPr>
          <w:rFonts w:ascii="Arial" w:cs="Arial" w:eastAsia="Arial" w:hAnsi="Arial"/>
          <w:sz w:val="19"/>
          <w:szCs w:val="19"/>
          <w:b w:val="1"/>
          <w:bCs w:val="1"/>
          <w:color w:val="auto"/>
        </w:rPr>
        <w:t xml:space="preserve"> </w:t>
      </w:r>
      <w:r>
        <w:rPr>
          <w:rFonts w:ascii="Arial" w:cs="Arial" w:eastAsia="Arial" w:hAnsi="Arial"/>
          <w:sz w:val="19"/>
          <w:szCs w:val="19"/>
          <w:color w:val="auto"/>
        </w:rPr>
        <w:t>exceed US$50,000, you must (i) immediately repatriate such funds to Thailand and (ii) report the inward remittance to the Bank of Thailand on a Foreign Exchange Transaction Form. In addition, within 360 days of repatriation, you must either convert any funds repatriated to Thailand to Thai Baht or deposit the funds in a foreign exchange account with a Thai bank.</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TUNISIA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ind w:right="20"/>
        <w:spacing w:after="0" w:line="295"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If you hold assets (including Shares acquired under the Plan) outside Tunisia and the value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assets exceeds a certain threshold (currently TDN 500), you must declare the assets to the Central Bank of Tunisia within six</w:t>
      </w:r>
    </w:p>
    <w:p>
      <w:pPr>
        <w:jc w:val="both"/>
        <w:ind w:right="20" w:firstLine="8"/>
        <w:spacing w:after="0" w:line="302" w:lineRule="auto"/>
        <w:tabs>
          <w:tab w:leader="none" w:pos="322" w:val="left"/>
        </w:tabs>
        <w:numPr>
          <w:ilvl w:val="0"/>
          <w:numId w:val="64"/>
        </w:numPr>
        <w:rPr>
          <w:rFonts w:ascii="Arial" w:cs="Arial" w:eastAsia="Arial" w:hAnsi="Arial"/>
          <w:sz w:val="19"/>
          <w:szCs w:val="19"/>
          <w:color w:val="auto"/>
        </w:rPr>
      </w:pPr>
      <w:r>
        <w:rPr>
          <w:rFonts w:ascii="Arial" w:cs="Arial" w:eastAsia="Arial" w:hAnsi="Arial"/>
          <w:sz w:val="19"/>
          <w:szCs w:val="19"/>
          <w:color w:val="auto"/>
        </w:rPr>
        <w:t>months of their acquisition. In addition, if you sell the Shares acquired under the Plan or receive cash dividends or Dividend Equivalents paid in cash, you are required to repatriate the proceeds to Tunisia. You are solely responsible for complying with all exchange control laws in Tunisia and are advised to consult with your personal legal advisor in this regard.</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TURKEY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Securities Law Information. </w:t>
      </w:r>
      <w:r>
        <w:rPr>
          <w:rFonts w:ascii="Arial" w:cs="Arial" w:eastAsia="Arial" w:hAnsi="Arial"/>
          <w:sz w:val="21"/>
          <w:szCs w:val="21"/>
          <w:color w:val="auto"/>
        </w:rPr>
        <w:t>Under Turkish law, you are not permitted to sell Shares acquired under the Plan in Turkey. You must</w:t>
      </w:r>
      <w:r>
        <w:rPr>
          <w:rFonts w:ascii="Arial" w:cs="Arial" w:eastAsia="Arial" w:hAnsi="Arial"/>
          <w:sz w:val="21"/>
          <w:szCs w:val="21"/>
          <w:b w:val="1"/>
          <w:bCs w:val="1"/>
          <w:color w:val="auto"/>
        </w:rPr>
        <w:t xml:space="preserve"> </w:t>
      </w:r>
      <w:r>
        <w:rPr>
          <w:rFonts w:ascii="Arial" w:cs="Arial" w:eastAsia="Arial" w:hAnsi="Arial"/>
          <w:sz w:val="21"/>
          <w:szCs w:val="21"/>
          <w:color w:val="auto"/>
        </w:rPr>
        <w:t>sell the Shares acquired under the Plan outside of Turkey. The shares are currently traded on the NASDAQ in the U.S. under the ticker symbol “AMGN” and shares may be sold on this exchange, which is located outside of Turkey.</w:t>
      </w:r>
    </w:p>
    <w:p>
      <w:pPr>
        <w:spacing w:after="0" w:line="15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Pursuant to Decree No. 32 on the Protection of the Value of the Turkish Currency (“</w:t>
      </w:r>
      <w:r>
        <w:rPr>
          <w:rFonts w:ascii="Arial" w:cs="Arial" w:eastAsia="Arial" w:hAnsi="Arial"/>
          <w:sz w:val="19"/>
          <w:szCs w:val="19"/>
          <w:u w:val="single" w:color="auto"/>
          <w:color w:val="auto"/>
        </w:rPr>
        <w:t>Decree 32</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and Communique No. 2008-32/34 on Decree No. 32, any activity related to investments in foreign securities (</w:t>
      </w:r>
      <w:r>
        <w:rPr>
          <w:rFonts w:ascii="Arial" w:cs="Arial" w:eastAsia="Arial" w:hAnsi="Arial"/>
          <w:sz w:val="19"/>
          <w:szCs w:val="19"/>
          <w:i w:val="1"/>
          <w:iCs w:val="1"/>
          <w:color w:val="auto"/>
        </w:rPr>
        <w:t>e.g</w:t>
      </w:r>
      <w:r>
        <w:rPr>
          <w:rFonts w:ascii="Arial" w:cs="Arial" w:eastAsia="Arial" w:hAnsi="Arial"/>
          <w:sz w:val="19"/>
          <w:szCs w:val="19"/>
          <w:color w:val="auto"/>
        </w:rPr>
        <w:t>., the sale of Shares under the Plan, the receipt of cash dividends or Dividend Equivalents paid in cash) must be conducted through a bank or financial intermediary institution licensed by the Turkish Capital Markets Board and should be reported to the Turkish Capital Markets Board. You are advised to contact a personal legal advisor for further information regarding these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ARAB EMIRATES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- 21</w:t>
      </w:r>
    </w:p>
    <w:p>
      <w:pPr>
        <w:sectPr>
          <w:pgSz w:w="11900" w:h="16838" w:orient="portrait"/>
          <w:cols w:equalWidth="0" w:num="1">
            <w:col w:w="11420"/>
          </w:cols>
          <w:pgMar w:left="240" w:top="369" w:right="239" w:bottom="1440" w:gutter="0" w:footer="0" w:header="0"/>
        </w:sectPr>
      </w:pPr>
    </w:p>
    <w:bookmarkStart w:id="108" w:name="page109"/>
    <w:bookmarkEnd w:id="108"/>
    <w:p>
      <w:pPr>
        <w:jc w:val="both"/>
        <w:spacing w:after="0" w:line="291"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Performance Units under the Plan are available only to Participants under the Program and are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of providing equity incentives. The Plan, the Program and the Agreement are intended for distribution only to such Participants and must not be delivered to, or relied on by, any other person. You should conduct your own due diligence on the Performance Units offered pursuant to this Agreement. If you do not understand the contents of the Plan and/or the Agreement, you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KINGDOM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Tax Withholding. </w:t>
      </w:r>
      <w:r>
        <w:rPr>
          <w:rFonts w:ascii="Arial" w:cs="Arial" w:eastAsia="Arial" w:hAnsi="Arial"/>
          <w:sz w:val="22"/>
          <w:szCs w:val="22"/>
          <w:color w:val="auto"/>
        </w:rPr>
        <w:t>This provision supplements Section V of the Agreement:</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You agree that if you do not pay or your Employer or the Company does not withhold from you the full amount of income tax that you owe due at issuance of Shares in respect of the Performance Units, or the release or assignment of the Performance Units for consideration, or the receipt of any other benefit in connection with the Performance Units (the “</w:t>
      </w:r>
      <w:r>
        <w:rPr>
          <w:rFonts w:ascii="Arial" w:cs="Arial" w:eastAsia="Arial" w:hAnsi="Arial"/>
          <w:sz w:val="21"/>
          <w:szCs w:val="21"/>
          <w:u w:val="single" w:color="auto"/>
          <w:color w:val="auto"/>
        </w:rPr>
        <w:t>Taxable Event</w:t>
      </w:r>
      <w:r>
        <w:rPr>
          <w:rFonts w:ascii="Arial" w:cs="Arial" w:eastAsia="Arial" w:hAnsi="Arial"/>
          <w:sz w:val="21"/>
          <w:szCs w:val="21"/>
          <w:color w:val="auto"/>
        </w:rPr>
        <w:t>”) within 90 days after the end of the tax year in which the Taxable Event occurs, or such other period specified in Section 222(1)(c) of the U.K. Income Tax (Earnings and Pensions) Act 2003 (the “Due Date”), then the amount that should have been withheld and/or paid shall constitute a loan owed by you to your Employer, effective on the Due Date. You agree that the loan will bear interest at the official rate of HM Revenue and Customs (“</w:t>
      </w:r>
      <w:r>
        <w:rPr>
          <w:rFonts w:ascii="Arial" w:cs="Arial" w:eastAsia="Arial" w:hAnsi="Arial"/>
          <w:sz w:val="21"/>
          <w:szCs w:val="21"/>
          <w:u w:val="single" w:color="auto"/>
          <w:color w:val="auto"/>
        </w:rPr>
        <w:t>HMRC</w:t>
      </w:r>
      <w:r>
        <w:rPr>
          <w:rFonts w:ascii="Arial" w:cs="Arial" w:eastAsia="Arial" w:hAnsi="Arial"/>
          <w:sz w:val="21"/>
          <w:szCs w:val="21"/>
          <w:color w:val="auto"/>
        </w:rPr>
        <w:t>”) and will be immediately due and repayable by you, and the Company and/or your Employer may recover it at any time thereafter (subject to Section V of the Agreement) by any of the means described in Section V of the Agreement. You also authorize the Company to delay the issuance of any Shares to you unless and until the loan is repaid in full.</w:t>
      </w:r>
    </w:p>
    <w:p>
      <w:pPr>
        <w:spacing w:after="0" w:line="18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Notwithstanding the foregoing, if you are an executive officer or director (as within the meaning of Section 13(k) of the Exchange Act, as amended), from time to time, the terms of the immediately foregoing provision will not apply. In the event that you are an officer or executive director and income tax is not collected from or paid by you by the Due Date, the amount of any uncollected income tax may constitute a benefit to you on which additional income tax and national insurance contributions (“</w:t>
      </w:r>
      <w:r>
        <w:rPr>
          <w:rFonts w:ascii="Arial" w:cs="Arial" w:eastAsia="Arial" w:hAnsi="Arial"/>
          <w:sz w:val="19"/>
          <w:szCs w:val="19"/>
          <w:u w:val="single" w:color="auto"/>
          <w:color w:val="auto"/>
        </w:rPr>
        <w:t>NICs</w:t>
      </w:r>
      <w:r>
        <w:rPr>
          <w:rFonts w:ascii="Arial" w:cs="Arial" w:eastAsia="Arial" w:hAnsi="Arial"/>
          <w:sz w:val="19"/>
          <w:szCs w:val="19"/>
          <w:color w:val="auto"/>
        </w:rPr>
        <w:t>”) may be payable. You acknowledge that you are responsible for reporting and paying any income tax due on this additional benefit directly to HMRC under the self-assessment regime and for reimbursing your Employer for the value of any NICs due on this additional benefit, which the Company or the Employer may recover from you by any of the means set forth in Section V of the Agreement.</w:t>
      </w:r>
    </w:p>
    <w:p>
      <w:pPr>
        <w:spacing w:after="0" w:line="145" w:lineRule="exact"/>
        <w:rPr>
          <w:sz w:val="20"/>
          <w:szCs w:val="20"/>
          <w:color w:val="auto"/>
        </w:rPr>
      </w:pPr>
    </w:p>
    <w:p>
      <w:pPr>
        <w:jc w:val="both"/>
        <w:spacing w:after="0" w:line="304" w:lineRule="auto"/>
        <w:rPr>
          <w:sz w:val="20"/>
          <w:szCs w:val="20"/>
          <w:color w:val="auto"/>
        </w:rPr>
      </w:pPr>
      <w:r>
        <w:rPr>
          <w:rFonts w:ascii="Arial" w:cs="Arial" w:eastAsia="Arial" w:hAnsi="Arial"/>
          <w:sz w:val="19"/>
          <w:szCs w:val="19"/>
          <w:b w:val="1"/>
          <w:bCs w:val="1"/>
          <w:color w:val="auto"/>
        </w:rPr>
        <w:t xml:space="preserve">Joint Election. </w:t>
      </w:r>
      <w:r>
        <w:rPr>
          <w:rFonts w:ascii="Arial" w:cs="Arial" w:eastAsia="Arial" w:hAnsi="Arial"/>
          <w:sz w:val="19"/>
          <w:szCs w:val="19"/>
          <w:color w:val="auto"/>
        </w:rPr>
        <w:t>As a condition of the Award, you agree to accept any liability for secondary Class 1 National Insurance</w:t>
      </w:r>
      <w:r>
        <w:rPr>
          <w:rFonts w:ascii="Arial" w:cs="Arial" w:eastAsia="Arial" w:hAnsi="Arial"/>
          <w:sz w:val="19"/>
          <w:szCs w:val="19"/>
          <w:b w:val="1"/>
          <w:bCs w:val="1"/>
          <w:color w:val="auto"/>
        </w:rPr>
        <w:t xml:space="preserve"> </w:t>
      </w:r>
      <w:r>
        <w:rPr>
          <w:rFonts w:ascii="Arial" w:cs="Arial" w:eastAsia="Arial" w:hAnsi="Arial"/>
          <w:sz w:val="19"/>
          <w:szCs w:val="19"/>
          <w:color w:val="auto"/>
        </w:rPr>
        <w:t>Contributions (the “</w:t>
      </w:r>
      <w:r>
        <w:rPr>
          <w:rFonts w:ascii="Arial" w:cs="Arial" w:eastAsia="Arial" w:hAnsi="Arial"/>
          <w:sz w:val="19"/>
          <w:szCs w:val="19"/>
          <w:u w:val="single" w:color="auto"/>
          <w:color w:val="auto"/>
        </w:rPr>
        <w:t>Employer NICs</w:t>
      </w:r>
      <w:r>
        <w:rPr>
          <w:rFonts w:ascii="Arial" w:cs="Arial" w:eastAsia="Arial" w:hAnsi="Arial"/>
          <w:sz w:val="19"/>
          <w:szCs w:val="19"/>
          <w:color w:val="auto"/>
        </w:rPr>
        <w:t>”) which may be payable by the Company or your Employer with respect to the earning and/or payment of the Performance Units and issuance of Shares in respect of the Performance Units, the assignment or release of the Performance Units for consideration or the receipt of any other benefit in connection with the Performance Units.</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Without limitation to the foregoing, you agree to make an election (the “</w:t>
      </w:r>
      <w:r>
        <w:rPr>
          <w:rFonts w:ascii="Arial" w:cs="Arial" w:eastAsia="Arial" w:hAnsi="Arial"/>
          <w:sz w:val="22"/>
          <w:szCs w:val="22"/>
          <w:u w:val="single" w:color="auto"/>
          <w:color w:val="auto"/>
        </w:rPr>
        <w:t>Election</w:t>
      </w:r>
      <w:r>
        <w:rPr>
          <w:rFonts w:ascii="Arial" w:cs="Arial" w:eastAsia="Arial" w:hAnsi="Arial"/>
          <w:sz w:val="22"/>
          <w:szCs w:val="22"/>
          <w:color w:val="auto"/>
        </w:rPr>
        <w:t>”), in the form specified and/or approved for such election by HMRC, that the liability for your Employer NICs payments on any such gains shall be transferred to you to the fullest extent permitted by law. You further agree to execute such other elections as may be required between you and any successor to the Company and/or your Employer.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- 22</w:t>
      </w:r>
    </w:p>
    <w:p>
      <w:pPr>
        <w:sectPr>
          <w:pgSz w:w="11900" w:h="16838" w:orient="portrait"/>
          <w:cols w:equalWidth="0" w:num="1">
            <w:col w:w="11420"/>
          </w:cols>
          <w:pgMar w:left="240" w:top="369" w:right="239" w:bottom="1440" w:gutter="0" w:footer="0" w:header="0"/>
        </w:sectPr>
      </w:pPr>
    </w:p>
    <w:bookmarkStart w:id="109" w:name="page110"/>
    <w:bookmarkEnd w:id="109"/>
    <w:p>
      <w:pPr>
        <w:jc w:val="both"/>
        <w:spacing w:after="0" w:line="263" w:lineRule="auto"/>
        <w:rPr>
          <w:sz w:val="20"/>
          <w:szCs w:val="20"/>
          <w:color w:val="auto"/>
        </w:rPr>
      </w:pPr>
      <w:r>
        <w:rPr>
          <w:rFonts w:ascii="Arial" w:cs="Arial" w:eastAsia="Arial" w:hAnsi="Arial"/>
          <w:sz w:val="22"/>
          <w:szCs w:val="22"/>
          <w:color w:val="auto"/>
        </w:rPr>
        <w:t>You hereby authorize the Company and your Employer to withhold such Employer NICs by any of the means set forth in Section V of the Agreement.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Failure by you to enter into an Election, withdrawal of approval of the Election by HMRC or a joint revocation of the Election by you and the Company or your Employer, as applicable, shall be grounds for the forfeiture and cancellation of the Performance Units, without any liability to the Company or your Employer.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UNITED STATES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Nature of Grant. </w:t>
      </w:r>
      <w:r>
        <w:rPr>
          <w:rFonts w:ascii="Arial" w:cs="Arial" w:eastAsia="Arial" w:hAnsi="Arial"/>
          <w:sz w:val="22"/>
          <w:szCs w:val="22"/>
          <w:color w:val="auto"/>
        </w:rPr>
        <w:t>The following provision replaces Section IX(j) of the Award Agreement:</w:t>
      </w:r>
    </w:p>
    <w:p>
      <w:pPr>
        <w:spacing w:after="0" w:line="226" w:lineRule="exact"/>
        <w:rPr>
          <w:sz w:val="20"/>
          <w:szCs w:val="20"/>
          <w:color w:val="auto"/>
        </w:rPr>
      </w:pPr>
    </w:p>
    <w:p>
      <w:pPr>
        <w:jc w:val="both"/>
        <w:ind w:firstLine="8"/>
        <w:spacing w:after="0" w:line="248" w:lineRule="auto"/>
        <w:tabs>
          <w:tab w:leader="none" w:pos="559"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in the event of termination of your employment (whether or not in breach of local labor laws), your right to receive Performance Units and receive shares under the Plan and the Program, if any, will terminate effective as of the date that you are no longer actively employed;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right will be extended by any notice period mandated by law (</w:t>
      </w:r>
      <w:r>
        <w:rPr>
          <w:rFonts w:ascii="Arial" w:cs="Arial" w:eastAsia="Arial" w:hAnsi="Arial"/>
          <w:sz w:val="22"/>
          <w:szCs w:val="22"/>
          <w:i w:val="1"/>
          <w:iCs w:val="1"/>
          <w:color w:val="auto"/>
        </w:rPr>
        <w:t>e.g</w:t>
      </w:r>
      <w:r>
        <w:rPr>
          <w:rFonts w:ascii="Arial" w:cs="Arial" w:eastAsia="Arial" w:hAnsi="Arial"/>
          <w:sz w:val="22"/>
          <w:szCs w:val="22"/>
          <w:color w:val="auto"/>
        </w:rPr>
        <w:t>., the Worker Adjustment and Retraining Notification Act (“</w:t>
      </w:r>
      <w:r>
        <w:rPr>
          <w:rFonts w:ascii="Arial" w:cs="Arial" w:eastAsia="Arial" w:hAnsi="Arial"/>
          <w:sz w:val="22"/>
          <w:szCs w:val="22"/>
          <w:u w:val="single" w:color="auto"/>
          <w:color w:val="auto"/>
        </w:rPr>
        <w:t>WARN Act</w:t>
      </w:r>
      <w:r>
        <w:rPr>
          <w:rFonts w:ascii="Arial" w:cs="Arial" w:eastAsia="Arial" w:hAnsi="Arial"/>
          <w:sz w:val="22"/>
          <w:szCs w:val="22"/>
          <w:color w:val="auto"/>
        </w:rPr>
        <w:t>”) notice period or similar periods pursuant to local law) and any paid administrative leave (as applicable), unless the Company shall provide you with written notice otherwise before the commencement of such notice period or leave. In such event, payment of the Performance Units shall be made in accordance with Section IV.</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VENEZUELA</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TERMS AND CONDITIONS</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Form of Settlement- Performance Units Payable Only in Shares. </w:t>
      </w:r>
      <w:r>
        <w:rPr>
          <w:rFonts w:ascii="Arial" w:cs="Arial" w:eastAsia="Arial" w:hAnsi="Arial"/>
          <w:sz w:val="22"/>
          <w:szCs w:val="22"/>
          <w:color w:val="auto"/>
        </w:rPr>
        <w:t>Notwithstanding any discretion in the Plan or anything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in the Agreement, the Performance Units do not provide any right for you, as a resident of Venezuela, to receive a cash payment and shall be paid in Shares only.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NOTIFICATIONS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 xml:space="preserve">Exchange Control Information. </w:t>
      </w:r>
      <w:r>
        <w:rPr>
          <w:rFonts w:ascii="Arial" w:cs="Arial" w:eastAsia="Arial" w:hAnsi="Arial"/>
          <w:sz w:val="22"/>
          <w:szCs w:val="22"/>
          <w:color w:val="auto"/>
        </w:rPr>
        <w:t>Any Shares acquired under the Plan are intended to be a personal investment and are not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purposes of reselling the shares and converting the proceeds into foreign currency. You are advised to consult with your personal legal advisor prior to vesting and settlement of the Performance Units to ensure compliance with the applicable exchange control regulations in Venezuela, as such regulations change frequently. You are solely responsible for ensuring compliance with all exchange control laws in Venezuela.</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Securities Law Information. </w:t>
      </w:r>
      <w:r>
        <w:rPr>
          <w:rFonts w:ascii="Arial" w:cs="Arial" w:eastAsia="Arial" w:hAnsi="Arial"/>
          <w:sz w:val="22"/>
          <w:szCs w:val="22"/>
          <w:color w:val="auto"/>
        </w:rPr>
        <w:t>The Performance Units granted under the Plan and the Shares issued under the Plan are offered as a</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private, exclusive transaction and do not constitute a public offering under local law.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- 23</w:t>
      </w:r>
    </w:p>
    <w:p>
      <w:pPr>
        <w:sectPr>
          <w:pgSz w:w="11900" w:h="16838" w:orient="portrait"/>
          <w:cols w:equalWidth="0" w:num="1">
            <w:col w:w="11420"/>
          </w:cols>
          <w:pgMar w:left="240" w:top="37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Robert A. Bradway, Chairman of the Board, Chief Executive Officer and President of Amgen Inc., certify that:</w:t>
      </w:r>
    </w:p>
    <w:p>
      <w:pPr>
        <w:spacing w:after="0" w:line="144"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Amgen Inc.;</w:t>
      </w:r>
    </w:p>
    <w:p>
      <w:pPr>
        <w:spacing w:after="0" w:line="144"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20" w:hanging="328"/>
        <w:spacing w:after="0" w:line="342" w:lineRule="auto"/>
        <w:tabs>
          <w:tab w:leader="none" w:pos="6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42"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27, 2015</w:t>
      </w:r>
      <w:r>
        <w:rPr>
          <w:sz w:val="20"/>
          <w:szCs w:val="20"/>
          <w:color w:val="auto"/>
        </w:rPr>
        <w:tab/>
      </w:r>
      <w:r>
        <w:rPr>
          <w:rFonts w:ascii="Arial" w:cs="Arial" w:eastAsia="Arial" w:hAnsi="Arial"/>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Robert A. Bradway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1" w:name="page112"/>
    <w:bookmarkEnd w:id="111"/>
    <w:p>
      <w:pPr>
        <w:ind w:left="4940"/>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David W. Meline, Executive Vice President and Chief Financial Officer of Amgen Inc., certify that:</w:t>
      </w:r>
    </w:p>
    <w:p>
      <w:pPr>
        <w:spacing w:after="0" w:line="144"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Amgen Inc.;</w:t>
      </w:r>
    </w:p>
    <w:p>
      <w:pPr>
        <w:spacing w:after="0" w:line="144" w:lineRule="exact"/>
        <w:rPr>
          <w:rFonts w:ascii="Arial" w:cs="Arial" w:eastAsia="Arial" w:hAnsi="Arial"/>
          <w:sz w:val="18"/>
          <w:szCs w:val="18"/>
          <w:color w:val="auto"/>
        </w:rPr>
      </w:pPr>
    </w:p>
    <w:p>
      <w:pPr>
        <w:ind w:left="340" w:right="180" w:hanging="332"/>
        <w:spacing w:after="0" w:line="264"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00"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65"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20" w:hanging="328"/>
        <w:spacing w:after="0" w:line="342" w:lineRule="auto"/>
        <w:tabs>
          <w:tab w:leader="none" w:pos="6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42" w:lineRule="exact"/>
        <w:rPr>
          <w:rFonts w:ascii="Arial" w:cs="Arial" w:eastAsia="Arial" w:hAnsi="Arial"/>
          <w:sz w:val="16"/>
          <w:szCs w:val="16"/>
          <w:color w:val="auto"/>
        </w:rPr>
      </w:pPr>
    </w:p>
    <w:p>
      <w:pPr>
        <w:jc w:val="both"/>
        <w:ind w:left="660" w:right="20" w:hanging="328"/>
        <w:spacing w:after="0" w:line="264"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April 27, 2015</w:t>
      </w:r>
      <w:r>
        <w:rPr>
          <w:sz w:val="20"/>
          <w:szCs w:val="20"/>
          <w:color w:val="auto"/>
        </w:rPr>
        <w:tab/>
      </w:r>
      <w:r>
        <w:rPr>
          <w:rFonts w:ascii="Arial" w:cs="Arial" w:eastAsia="Arial" w:hAnsi="Arial"/>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W. Meline</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30" w:lineRule="exact"/>
        <w:rPr>
          <w:sz w:val="20"/>
          <w:szCs w:val="20"/>
          <w:color w:val="auto"/>
        </w:rPr>
      </w:pPr>
    </w:p>
    <w:p>
      <w:pPr>
        <w:ind w:left="740" w:hanging="327"/>
        <w:spacing w:after="0" w:line="277" w:lineRule="auto"/>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March 31, 2015 (the “Report”) fully complies with the requirements of Section 13(a) or Section 15(d), as applicable, of the Securities Exchange Act of 1934, as amended; and</w:t>
      </w:r>
    </w:p>
    <w:p>
      <w:pPr>
        <w:spacing w:after="0" w:line="89" w:lineRule="exact"/>
        <w:rPr>
          <w:rFonts w:ascii="Arial" w:cs="Arial" w:eastAsia="Arial" w:hAnsi="Arial"/>
          <w:sz w:val="18"/>
          <w:szCs w:val="18"/>
          <w:color w:val="auto"/>
        </w:rPr>
      </w:pPr>
    </w:p>
    <w:p>
      <w:pPr>
        <w:ind w:left="740" w:hanging="327"/>
        <w:spacing w:after="0"/>
        <w:tabs>
          <w:tab w:leader="none" w:pos="7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520" w:val="left"/>
        </w:tabs>
        <w:rPr>
          <w:sz w:val="20"/>
          <w:szCs w:val="20"/>
          <w:color w:val="auto"/>
        </w:rPr>
      </w:pPr>
      <w:r>
        <w:rPr>
          <w:rFonts w:ascii="Arial" w:cs="Arial" w:eastAsia="Arial" w:hAnsi="Arial"/>
          <w:sz w:val="18"/>
          <w:szCs w:val="18"/>
          <w:color w:val="auto"/>
        </w:rPr>
        <w:t>Dated: April 27, 2015</w:t>
      </w:r>
      <w:r>
        <w:rPr>
          <w:sz w:val="20"/>
          <w:szCs w:val="20"/>
          <w:color w:val="auto"/>
        </w:rPr>
        <w:tab/>
      </w:r>
      <w:r>
        <w:rPr>
          <w:rFonts w:ascii="Arial" w:cs="Arial" w:eastAsia="Arial" w:hAnsi="Arial"/>
          <w:sz w:val="17"/>
          <w:szCs w:val="17"/>
          <w:color w:val="auto"/>
        </w:rPr>
        <w:t>/s/ ROBERT A. BRADWAY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A. Bradway</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Chief Executive Officer and President</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30" w:lineRule="exact"/>
        <w:rPr>
          <w:sz w:val="20"/>
          <w:szCs w:val="20"/>
          <w:color w:val="auto"/>
        </w:rPr>
      </w:pPr>
    </w:p>
    <w:p>
      <w:pPr>
        <w:ind w:left="740" w:hanging="327"/>
        <w:spacing w:after="0" w:line="277" w:lineRule="auto"/>
        <w:tabs>
          <w:tab w:leader="none" w:pos="7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period ended March 31, 2015 (the “Report”) fully complies with the requirements of Section 13(a) or Section 15(d), as applicable, of the Securities Exchange Act of 1934, as amended; and</w:t>
      </w:r>
    </w:p>
    <w:p>
      <w:pPr>
        <w:spacing w:after="0" w:line="89" w:lineRule="exact"/>
        <w:rPr>
          <w:rFonts w:ascii="Arial" w:cs="Arial" w:eastAsia="Arial" w:hAnsi="Arial"/>
          <w:sz w:val="18"/>
          <w:szCs w:val="18"/>
          <w:color w:val="auto"/>
        </w:rPr>
      </w:pPr>
    </w:p>
    <w:p>
      <w:pPr>
        <w:ind w:left="740" w:hanging="327"/>
        <w:spacing w:after="0"/>
        <w:tabs>
          <w:tab w:leader="none" w:pos="7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680" w:val="left"/>
        </w:tabs>
        <w:rPr>
          <w:sz w:val="20"/>
          <w:szCs w:val="20"/>
          <w:color w:val="auto"/>
        </w:rPr>
      </w:pPr>
      <w:r>
        <w:rPr>
          <w:rFonts w:ascii="Arial" w:cs="Arial" w:eastAsia="Arial" w:hAnsi="Arial"/>
          <w:sz w:val="18"/>
          <w:szCs w:val="18"/>
          <w:color w:val="auto"/>
        </w:rPr>
        <w:t>Dated: April 27, 2015</w:t>
      </w:r>
      <w:r>
        <w:rPr>
          <w:sz w:val="20"/>
          <w:szCs w:val="20"/>
          <w:color w:val="auto"/>
        </w:rPr>
        <w:tab/>
      </w:r>
      <w:r>
        <w:rPr>
          <w:rFonts w:ascii="Arial" w:cs="Arial" w:eastAsia="Arial" w:hAnsi="Arial"/>
          <w:sz w:val="17"/>
          <w:szCs w:val="17"/>
          <w:color w:val="auto"/>
        </w:rPr>
        <w:t>/s/ DAVID W. 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David W. Meline</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lvl w:ilvl="1">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lowerLetter"/>
      <w:start w:val="1"/>
    </w:lvl>
    <w:lvl w:ilvl="1">
      <w:lvlJc w:val="left"/>
      <w:lvlText w:val="(%2)"/>
      <w:numFmt w:val="lowerRoman"/>
      <w:start w:val="1"/>
    </w:lvl>
  </w:abstractNum>
  <w:abstractNum w:abstractNumId="13">
    <w:nsid w:val="3855585C"/>
    <w:multiLevelType w:val="hybridMultilevel"/>
    <w:lvl w:ilvl="0">
      <w:lvlJc w:val="left"/>
      <w:lvlText w:val="%1."/>
      <w:numFmt w:val="decimal"/>
      <w:start w:val="6"/>
    </w:lvl>
  </w:abstractNum>
  <w:abstractNum w:abstractNumId="14">
    <w:nsid w:val="70A64E2A"/>
    <w:multiLevelType w:val="hybridMultilevel"/>
    <w:lvl w:ilvl="0">
      <w:lvlJc w:val="left"/>
      <w:lvlText w:val="%1."/>
      <w:numFmt w:val="upperLetter"/>
      <w:start w:val="9"/>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2"/>
      <w:numFmt w:val="bullet"/>
      <w:start w:val="1"/>
    </w:lvl>
  </w:abstractNum>
  <w:abstractNum w:abstractNumId="17">
    <w:nsid w:val="1D4ED43B"/>
    <w:multiLevelType w:val="hybridMultilevel"/>
    <w:lvl w:ilvl="0">
      <w:lvlJc w:val="left"/>
      <w:lvlText w:val="%1."/>
      <w:numFmt w:val="lowerLetter"/>
      <w:start w:val="2"/>
    </w:lvl>
  </w:abstractNum>
  <w:abstractNum w:abstractNumId="18">
    <w:nsid w:val="725A06FB"/>
    <w:multiLevelType w:val="hybridMultilevel"/>
    <w:lvl w:ilvl="0">
      <w:lvlJc w:val="left"/>
      <w:lvlText w:val="3"/>
      <w:numFmt w:val="bullet"/>
      <w:start w:val="1"/>
    </w:lvl>
  </w:abstractNum>
  <w:abstractNum w:abstractNumId="19">
    <w:nsid w:val="2CD89A32"/>
    <w:multiLevelType w:val="hybridMultilevel"/>
    <w:lvl w:ilvl="0">
      <w:lvlJc w:val="left"/>
      <w:lvlText w:val="%1."/>
      <w:numFmt w:val="lowerLetter"/>
      <w:start w:val="5"/>
    </w:lvl>
  </w:abstractNum>
  <w:abstractNum w:abstractNumId="20">
    <w:nsid w:val="57E4CCAF"/>
    <w:multiLevelType w:val="hybridMultilevel"/>
    <w:lvl w:ilvl="0">
      <w:lvlJc w:val="left"/>
      <w:lvlText w:val="(%1)"/>
      <w:numFmt w:val="lowerRoman"/>
      <w:start w:val="1"/>
    </w:lvl>
    <w:lvl w:ilvl="1">
      <w:lvlJc w:val="left"/>
      <w:lvlText w:val="(%2)"/>
      <w:numFmt w:val="lowerLetter"/>
      <w:start w:val="1"/>
    </w:lvl>
  </w:abstractNum>
  <w:abstractNum w:abstractNumId="21">
    <w:nsid w:val="7A6D8D3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abstractNum>
  <w:abstractNum w:abstractNumId="22">
    <w:nsid w:val="4B588F54"/>
    <w:multiLevelType w:val="hybridMultilevel"/>
    <w:lvl w:ilvl="0">
      <w:lvlJc w:val="left"/>
      <w:lvlText w:val="(%1)"/>
      <w:numFmt w:val="lowerLetter"/>
      <w:start w:val="22"/>
    </w:lvl>
    <w:lvl w:ilvl="1">
      <w:lvlJc w:val="left"/>
      <w:lvlText w:val="(%2)"/>
      <w:numFmt w:val="upperLetter"/>
      <w:start w:val="1"/>
    </w:lvl>
    <w:lvl w:ilvl="2">
      <w:lvlJc w:val="left"/>
      <w:lvlText w:val="%3"/>
      <w:numFmt w:val="lowerLetter"/>
      <w:start w:val="1"/>
    </w:lvl>
  </w:abstractNum>
  <w:abstractNum w:abstractNumId="23">
    <w:nsid w:val="542289EC"/>
    <w:multiLevelType w:val="hybridMultilevel"/>
    <w:lvl w:ilvl="0">
      <w:lvlJc w:val="left"/>
      <w:lvlText w:val="(%1)"/>
      <w:numFmt w:val="lowerRoman"/>
      <w:start w:val="6"/>
    </w:lvl>
  </w:abstractNum>
  <w:abstractNum w:abstractNumId="24">
    <w:nsid w:val="6DE91B18"/>
    <w:multiLevelType w:val="hybridMultilevel"/>
    <w:lvl w:ilvl="0">
      <w:lvlJc w:val="left"/>
      <w:lvlText w:val="%1."/>
      <w:numFmt w:val="upperLetter"/>
      <w:start w:val="35"/>
    </w:lvl>
  </w:abstractNum>
  <w:abstractNum w:abstractNumId="25">
    <w:nsid w:val="38437FDB"/>
    <w:multiLevelType w:val="hybridMultilevel"/>
    <w:lvl w:ilvl="0">
      <w:lvlJc w:val="left"/>
      <w:lvlText w:val="%1"/>
      <w:numFmt w:val="lowerRoman"/>
      <w:start w:val="1"/>
    </w:lvl>
    <w:lvl w:ilvl="1">
      <w:lvlJc w:val="left"/>
      <w:lvlText w:val="%2."/>
      <w:numFmt w:val="upperLetter"/>
      <w:start w:val="61"/>
    </w:lvl>
  </w:abstractNum>
  <w:abstractNum w:abstractNumId="26">
    <w:nsid w:val="7644A45C"/>
    <w:multiLevelType w:val="hybridMultilevel"/>
    <w:lvl w:ilvl="0">
      <w:lvlJc w:val="left"/>
      <w:lvlText w:val="(%1)"/>
      <w:numFmt w:val="lowerRoman"/>
      <w:start w:val="2"/>
    </w:lvl>
    <w:lvl w:ilvl="1">
      <w:lvlJc w:val="left"/>
      <w:lvlText w:val="%2"/>
      <w:numFmt w:val="upperLetter"/>
      <w:start w:val="1"/>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4"/>
      <w:numFmt w:val="bullet"/>
      <w:start w:val="1"/>
    </w:lvl>
  </w:abstractNum>
  <w:abstractNum w:abstractNumId="29">
    <w:nsid w:val="579478FE"/>
    <w:multiLevelType w:val="hybridMultilevel"/>
    <w:lvl w:ilvl="0">
      <w:lvlJc w:val="left"/>
      <w:lvlText w:val="%1"/>
      <w:numFmt w:val="upperLetter"/>
      <w:start w:val="1"/>
    </w:lvl>
    <w:lvl w:ilvl="1">
      <w:lvlJc w:val="left"/>
      <w:lvlText w:val="(%2)"/>
      <w:numFmt w:val="lowerLetter"/>
      <w:start w:val="1"/>
    </w:lvl>
  </w:abstractNum>
  <w:abstractNum w:abstractNumId="30">
    <w:nsid w:val="749ABB43"/>
    <w:multiLevelType w:val="hybridMultilevel"/>
    <w:lvl w:ilvl="0">
      <w:lvlJc w:val="left"/>
      <w:lvlText w:val="%1."/>
      <w:numFmt w:val="upperLetter"/>
      <w:start w:val="22"/>
    </w:lvl>
    <w:lvl w:ilvl="1">
      <w:lvlJc w:val="left"/>
      <w:lvlText w:val="%2"/>
      <w:numFmt w:val="lowerLetter"/>
      <w:start w:val="1"/>
    </w:lvl>
  </w:abstractNum>
  <w:abstractNum w:abstractNumId="31">
    <w:nsid w:val="3DC240FB"/>
    <w:multiLevelType w:val="hybridMultilevel"/>
    <w:lvl w:ilvl="0">
      <w:lvlJc w:val="left"/>
      <w:lvlText w:val="%1."/>
      <w:numFmt w:val="upperLetter"/>
      <w:start w:val="24"/>
    </w:lvl>
  </w:abstractNum>
  <w:abstractNum w:abstractNumId="32">
    <w:nsid w:val="1BA026FA"/>
    <w:multiLevelType w:val="hybridMultilevel"/>
    <w:lvl w:ilvl="0">
      <w:lvlJc w:val="left"/>
      <w:lvlText w:val="(%1)"/>
      <w:numFmt w:val="lowerLetter"/>
      <w:start w:val="1"/>
    </w:lvl>
    <w:lvl w:ilvl="1">
      <w:lvlJc w:val="left"/>
      <w:lvlText w:val="(%2)"/>
      <w:numFmt w:val="lowerLetter"/>
      <w:start w:val="9"/>
    </w:lvl>
  </w:abstractNum>
  <w:abstractNum w:abstractNumId="33">
    <w:nsid w:val="79A1DEAA"/>
    <w:multiLevelType w:val="hybridMultilevel"/>
    <w:lvl w:ilvl="0">
      <w:lvlJc w:val="left"/>
      <w:lvlText w:val="(%1)"/>
      <w:numFmt w:val="lowerRoman"/>
      <w:start w:val="2"/>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Roman"/>
      <w:start w:val="1"/>
    </w:lvl>
  </w:abstractNum>
  <w:abstractNum w:abstractNumId="36">
    <w:nsid w:val="70C6A529"/>
    <w:multiLevelType w:val="hybridMultilevel"/>
    <w:lvl w:ilvl="0">
      <w:lvlJc w:val="left"/>
      <w:lvlText w:val="(%1)"/>
      <w:numFmt w:val="decimal"/>
      <w:start w:val="5"/>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lowerRoman"/>
      <w:start w:val="5"/>
    </w:lvl>
  </w:abstractNum>
  <w:abstractNum w:abstractNumId="40">
    <w:nsid w:val="23F9C13C"/>
    <w:multiLevelType w:val="hybridMultilevel"/>
    <w:lvl w:ilvl="0">
      <w:lvlJc w:val="left"/>
      <w:lvlText w:val="(%1)"/>
      <w:numFmt w:val="decimal"/>
      <w:start w:val="2"/>
    </w:lvl>
  </w:abstractNum>
  <w:abstractNum w:abstractNumId="41">
    <w:nsid w:val="649BB77C"/>
    <w:multiLevelType w:val="hybridMultilevel"/>
    <w:lvl w:ilvl="0">
      <w:lvlJc w:val="left"/>
      <w:lvlText w:val="(%1)"/>
      <w:numFmt w:val="decimal"/>
      <w:start w:val="6"/>
    </w:lvl>
  </w:abstractNum>
  <w:abstractNum w:abstractNumId="42">
    <w:nsid w:val="275AC794"/>
    <w:multiLevelType w:val="hybridMultilevel"/>
    <w:lvl w:ilvl="0">
      <w:lvlJc w:val="left"/>
      <w:lvlText w:val="(%1)"/>
      <w:numFmt w:val="lowerRoman"/>
      <w:start w:val="1"/>
    </w:lvl>
  </w:abstractNum>
  <w:abstractNum w:abstractNumId="43">
    <w:nsid w:val="39386575"/>
    <w:multiLevelType w:val="hybridMultilevel"/>
    <w:lvl w:ilvl="0">
      <w:lvlJc w:val="left"/>
      <w:lvlText w:val="1"/>
      <w:numFmt w:val="bullet"/>
      <w:start w:val="1"/>
    </w:lvl>
  </w:abstractNum>
  <w:abstractNum w:abstractNumId="44">
    <w:nsid w:val="1CF10FD8"/>
    <w:multiLevelType w:val="hybridMultilevel"/>
    <w:lvl w:ilvl="0">
      <w:lvlJc w:val="left"/>
      <w:lvlText w:val="%1."/>
      <w:numFmt w:val="upperLetter"/>
      <w:start w:val="9"/>
    </w:lvl>
  </w:abstractNum>
  <w:abstractNum w:abstractNumId="45">
    <w:nsid w:val="180115BE"/>
    <w:multiLevelType w:val="hybridMultilevel"/>
    <w:lvl w:ilvl="0">
      <w:lvlJc w:val="left"/>
      <w:lvlText w:val="%1."/>
      <w:numFmt w:val="upperLetter"/>
      <w:start w:val="35"/>
    </w:lvl>
  </w:abstractNum>
  <w:abstractNum w:abstractNumId="46">
    <w:nsid w:val="235BA861"/>
    <w:multiLevelType w:val="hybridMultilevel"/>
    <w:lvl w:ilvl="0">
      <w:lvlJc w:val="left"/>
      <w:lvlText w:val="%1."/>
      <w:numFmt w:val="upperLetter"/>
      <w:start w:val="61"/>
    </w:lvl>
  </w:abstractNum>
  <w:abstractNum w:abstractNumId="47">
    <w:nsid w:val="47398C89"/>
    <w:multiLevelType w:val="hybridMultilevel"/>
    <w:lvl w:ilvl="0">
      <w:lvlJc w:val="left"/>
      <w:lvlText w:val="%1."/>
      <w:numFmt w:val="upperLetter"/>
      <w:start w:val="22"/>
    </w:lvl>
  </w:abstractNum>
  <w:abstractNum w:abstractNumId="48">
    <w:nsid w:val="354FE9F9"/>
    <w:multiLevelType w:val="hybridMultilevel"/>
    <w:lvl w:ilvl="0">
      <w:lvlJc w:val="left"/>
      <w:lvlText w:val="(%1)"/>
      <w:numFmt w:val="lowerLetter"/>
      <w:start w:val="1"/>
    </w:lvl>
  </w:abstractNum>
  <w:abstractNum w:abstractNumId="49">
    <w:nsid w:val="15B5AF5C"/>
    <w:multiLevelType w:val="hybridMultilevel"/>
    <w:lvl w:ilvl="0">
      <w:lvlJc w:val="left"/>
      <w:lvlText w:val="(%1)"/>
      <w:numFmt w:val="lowerLetter"/>
      <w:start w:val="2"/>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upperLetter"/>
      <w:start w:val="1"/>
    </w:lvl>
    <w:lvl w:ilvl="1">
      <w:lvlJc w:val="left"/>
      <w:lvlText w:val="(%2)"/>
      <w:numFmt w:val="lowerLetter"/>
      <w:start w:val="7"/>
    </w:lvl>
    <w:lvl w:ilvl="2">
      <w:lvlJc w:val="left"/>
      <w:lvlText w:val="(%3)"/>
      <w:numFmt w:val="upperLetter"/>
      <w:start w:val="1"/>
    </w:lvl>
  </w:abstractNum>
  <w:abstractNum w:abstractNumId="54">
    <w:nsid w:val="61574095"/>
    <w:multiLevelType w:val="hybridMultilevel"/>
    <w:lvl w:ilvl="0">
      <w:lvlJc w:val="left"/>
      <w:lvlText w:val="%1."/>
      <w:numFmt w:val="upperLetter"/>
      <w:start w:val="24"/>
    </w:lvl>
    <w:lvl w:ilvl="1">
      <w:lvlJc w:val="left"/>
      <w:lvlText w:val="%2"/>
      <w:numFmt w:val="lowerLetter"/>
      <w:start w:val="1"/>
    </w:lvl>
    <w:lvl w:ilvl="2">
      <w:lvlJc w:val="left"/>
      <w:lvlText w:val="%3"/>
      <w:numFmt w:val="upperLetter"/>
      <w:start w:val="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4"/>
    </w:lvl>
  </w:abstractNum>
  <w:abstractNum w:abstractNumId="57">
    <w:nsid w:val="579BE4F1"/>
    <w:multiLevelType w:val="hybridMultilevel"/>
    <w:lvl w:ilvl="0">
      <w:lvlJc w:val="left"/>
      <w:lvlText w:val="%1."/>
      <w:numFmt w:val="upperLetter"/>
      <w:start w:val="50"/>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5"/>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4"/>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6"/>
    </w:lvl>
  </w:abstractNum>
  <w:abstractNum w:abstractNumId="64">
    <w:nsid w:val="1F48EAA1"/>
    <w:multiLevelType w:val="hybridMultilevel"/>
    <w:lvl w:ilvl="0">
      <w:lvlJc w:val="left"/>
      <w:lvlText w:val="(%1)"/>
      <w:numFmt w:val="lowerLetter"/>
      <w:start w:val="10"/>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lowerRoman"/>
      <w:start w:val="1"/>
    </w:lvl>
  </w:abstractNum>
  <w:abstractNum w:abstractNumId="68">
    <w:nsid w:val="6590700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2019-12-29T17:25:55Z</dcterms:created>
  <dcterms:modified xsi:type="dcterms:W3CDTF">2019-12-29T17:25:55Z</dcterms:modified>
</cp:coreProperties>
</file>