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11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18" w:lineRule="exact"/>
        <w:rPr>
          <w:sz w:val="24"/>
          <w:szCs w:val="24"/>
          <w:color w:val="auto"/>
        </w:rPr>
      </w:pPr>
    </w:p>
    <w:p>
      <w:pPr>
        <w:ind w:left="1180" w:hanging="1145"/>
        <w:spacing w:after="0"/>
        <w:tabs>
          <w:tab w:leader="none" w:pos="11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11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18"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000-12477</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center"/>
              <w:ind w:left="201"/>
              <w:spacing w:after="0"/>
              <w:rPr>
                <w:sz w:val="20"/>
                <w:szCs w:val="20"/>
                <w:color w:val="auto"/>
              </w:rPr>
            </w:pPr>
            <w:r>
              <w:rPr>
                <w:rFonts w:ascii="Arial" w:cs="Arial" w:eastAsia="Arial" w:hAnsi="Arial"/>
                <w:sz w:val="18"/>
                <w:szCs w:val="18"/>
                <w:b w:val="1"/>
                <w:bCs w:val="1"/>
                <w:color w:val="auto"/>
                <w:w w:val="89"/>
              </w:rPr>
              <w:t>95-3540776</w:t>
            </w:r>
          </w:p>
        </w:tc>
      </w:tr>
      <w:tr>
        <w:trPr>
          <w:trHeight w:val="184"/>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4"/>
              </w:rPr>
              <w:t>(State or other jurisdiction of</w:t>
            </w:r>
          </w:p>
        </w:tc>
        <w:tc>
          <w:tcPr>
            <w:tcW w:w="1340" w:type="dxa"/>
            <w:vAlign w:val="bottom"/>
          </w:tcPr>
          <w:p>
            <w:pPr>
              <w:jc w:val="center"/>
              <w:ind w:left="201"/>
              <w:spacing w:after="0"/>
              <w:rPr>
                <w:sz w:val="20"/>
                <w:szCs w:val="20"/>
                <w:color w:val="auto"/>
              </w:rPr>
            </w:pPr>
            <w:r>
              <w:rPr>
                <w:rFonts w:ascii="Arial" w:cs="Arial" w:eastAsia="Arial" w:hAnsi="Arial"/>
                <w:sz w:val="14"/>
                <w:szCs w:val="14"/>
                <w:color w:val="auto"/>
                <w:w w:val="95"/>
              </w:rPr>
              <w:t>(I.R.S. Employer</w:t>
            </w:r>
          </w:p>
        </w:tc>
      </w:tr>
      <w:tr>
        <w:trPr>
          <w:trHeight w:val="182"/>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5"/>
              </w:rPr>
              <w:t>incorporation or organization)</w:t>
            </w:r>
          </w:p>
        </w:tc>
        <w:tc>
          <w:tcPr>
            <w:tcW w:w="1340" w:type="dxa"/>
            <w:vAlign w:val="bottom"/>
          </w:tcPr>
          <w:p>
            <w:pPr>
              <w:jc w:val="center"/>
              <w:ind w:left="181"/>
              <w:spacing w:after="0"/>
              <w:rPr>
                <w:sz w:val="20"/>
                <w:szCs w:val="20"/>
                <w:color w:val="auto"/>
              </w:rPr>
            </w:pPr>
            <w:r>
              <w:rPr>
                <w:rFonts w:ascii="Arial" w:cs="Arial" w:eastAsia="Arial" w:hAnsi="Arial"/>
                <w:sz w:val="14"/>
                <w:szCs w:val="14"/>
                <w:color w:val="auto"/>
                <w:w w:val="99"/>
              </w:rPr>
              <w:t>Identification No.)</w:t>
            </w:r>
          </w:p>
        </w:tc>
      </w:tr>
      <w:tr>
        <w:trPr>
          <w:trHeight w:val="561"/>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2"/>
              </w:rPr>
              <w:t>One Amgen Center Drive,</w:t>
            </w:r>
          </w:p>
        </w:tc>
        <w:tc>
          <w:tcPr>
            <w:tcW w:w="1340" w:type="dxa"/>
            <w:vAlign w:val="bottom"/>
          </w:tcPr>
          <w:p>
            <w:pPr>
              <w:spacing w:after="0"/>
              <w:rPr>
                <w:sz w:val="24"/>
                <w:szCs w:val="24"/>
                <w:color w:val="auto"/>
              </w:rPr>
            </w:pPr>
          </w:p>
        </w:tc>
      </w:tr>
      <w:tr>
        <w:trPr>
          <w:trHeight w:val="234"/>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2"/>
              </w:rPr>
              <w:t>Thousand Oaks, California</w:t>
            </w:r>
          </w:p>
        </w:tc>
        <w:tc>
          <w:tcPr>
            <w:tcW w:w="1340" w:type="dxa"/>
            <w:vAlign w:val="bottom"/>
          </w:tcPr>
          <w:p>
            <w:pPr>
              <w:jc w:val="center"/>
              <w:ind w:left="201"/>
              <w:spacing w:after="0"/>
              <w:rPr>
                <w:sz w:val="20"/>
                <w:szCs w:val="20"/>
                <w:color w:val="auto"/>
              </w:rPr>
            </w:pPr>
            <w:r>
              <w:rPr>
                <w:rFonts w:ascii="Arial" w:cs="Arial" w:eastAsia="Arial" w:hAnsi="Arial"/>
                <w:sz w:val="18"/>
                <w:szCs w:val="18"/>
                <w:b w:val="1"/>
                <w:bCs w:val="1"/>
                <w:color w:val="auto"/>
                <w:w w:val="89"/>
              </w:rPr>
              <w:t>91320-1799</w:t>
            </w:r>
          </w:p>
        </w:tc>
      </w:tr>
      <w:tr>
        <w:trPr>
          <w:trHeight w:val="218"/>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5"/>
              </w:rPr>
              <w:t>(Address of principal executive offices)</w:t>
            </w:r>
          </w:p>
        </w:tc>
        <w:tc>
          <w:tcPr>
            <w:tcW w:w="1340" w:type="dxa"/>
            <w:vAlign w:val="bottom"/>
          </w:tcPr>
          <w:p>
            <w:pPr>
              <w:jc w:val="center"/>
              <w:ind w:left="181"/>
              <w:spacing w:after="0"/>
              <w:rPr>
                <w:sz w:val="20"/>
                <w:szCs w:val="20"/>
                <w:color w:val="auto"/>
              </w:rPr>
            </w:pPr>
            <w:r>
              <w:rPr>
                <w:rFonts w:ascii="Arial" w:cs="Arial" w:eastAsia="Arial" w:hAnsi="Arial"/>
                <w:sz w:val="14"/>
                <w:szCs w:val="14"/>
                <w:color w:val="auto"/>
                <w:w w:val="96"/>
              </w:rPr>
              <w:t>(Zip Code)</w:t>
            </w:r>
          </w:p>
        </w:tc>
      </w:tr>
      <w:tr>
        <w:trPr>
          <w:trHeight w:val="376"/>
        </w:trPr>
        <w:tc>
          <w:tcPr>
            <w:tcW w:w="6220" w:type="dxa"/>
            <w:vAlign w:val="bottom"/>
          </w:tcPr>
          <w:p>
            <w:pPr>
              <w:jc w:val="right"/>
              <w:ind w:right="1517"/>
              <w:spacing w:after="0"/>
              <w:rPr>
                <w:sz w:val="20"/>
                <w:szCs w:val="20"/>
                <w:color w:val="auto"/>
              </w:rPr>
            </w:pPr>
            <w:r>
              <w:rPr>
                <w:rFonts w:ascii="Arial" w:cs="Arial" w:eastAsia="Arial" w:hAnsi="Arial"/>
                <w:sz w:val="18"/>
                <w:szCs w:val="18"/>
                <w:b w:val="1"/>
                <w:bCs w:val="1"/>
                <w:color w:val="auto"/>
              </w:rPr>
              <w:t>(805) 447-1000</w:t>
            </w:r>
          </w:p>
        </w:tc>
        <w:tc>
          <w:tcPr>
            <w:tcW w:w="1340" w:type="dxa"/>
            <w:vAlign w:val="bottom"/>
          </w:tcPr>
          <w:p>
            <w:pPr>
              <w:spacing w:after="0"/>
              <w:rPr>
                <w:sz w:val="24"/>
                <w:szCs w:val="24"/>
                <w:color w:val="auto"/>
              </w:rPr>
            </w:pPr>
          </w:p>
        </w:tc>
      </w:tr>
      <w:tr>
        <w:trPr>
          <w:trHeight w:val="230"/>
        </w:trPr>
        <w:tc>
          <w:tcPr>
            <w:tcW w:w="6220" w:type="dxa"/>
            <w:vAlign w:val="bottom"/>
          </w:tcPr>
          <w:p>
            <w:pPr>
              <w:jc w:val="center"/>
              <w:ind w:left="1797"/>
              <w:spacing w:after="0"/>
              <w:rPr>
                <w:sz w:val="20"/>
                <w:szCs w:val="20"/>
                <w:color w:val="auto"/>
              </w:rPr>
            </w:pPr>
            <w:r>
              <w:rPr>
                <w:rFonts w:ascii="Arial" w:cs="Arial" w:eastAsia="Arial" w:hAnsi="Arial"/>
                <w:sz w:val="18"/>
                <w:szCs w:val="18"/>
                <w:color w:val="auto"/>
                <w:w w:val="90"/>
              </w:rPr>
              <w:t>(Registrant’s telephone number, including area code)</w:t>
            </w:r>
          </w:p>
        </w:tc>
        <w:tc>
          <w:tcPr>
            <w:tcW w:w="1340" w:type="dxa"/>
            <w:vAlign w:val="bottom"/>
          </w:tcPr>
          <w:p>
            <w:pPr>
              <w:spacing w:after="0"/>
              <w:rPr>
                <w:sz w:val="20"/>
                <w:szCs w:val="20"/>
                <w:color w:val="auto"/>
              </w:rPr>
            </w:pPr>
          </w:p>
        </w:tc>
      </w:tr>
    </w:tbl>
    <w:p>
      <w:pPr>
        <w:spacing w:after="0" w:line="148"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625" w:right="239" w:bottom="1440" w:gutter="0" w:footer="0" w:header="0"/>
        </w:sectPr>
      </w:pPr>
    </w:p>
    <w:p>
      <w:pPr>
        <w:spacing w:after="0" w:line="136" w:lineRule="exact"/>
        <w:rPr>
          <w:sz w:val="24"/>
          <w:szCs w:val="24"/>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7" w:lineRule="exact"/>
        <w:rPr>
          <w:sz w:val="24"/>
          <w:szCs w:val="24"/>
          <w:color w:val="auto"/>
        </w:rPr>
      </w:pPr>
    </w:p>
    <w:p>
      <w:pPr>
        <w:sectPr>
          <w:pgSz w:w="11900" w:h="16838" w:orient="portrait"/>
          <w:cols w:equalWidth="0" w:num="4">
            <w:col w:w="2120" w:space="560"/>
            <w:col w:w="1400" w:space="720"/>
            <w:col w:w="3380" w:space="720"/>
            <w:col w:w="2520"/>
          </w:cols>
          <w:pgMar w:left="240" w:top="625" w:right="239" w:bottom="1440" w:gutter="0" w:footer="0" w:header="0"/>
          <w:type w:val="continuous"/>
        </w:sectPr>
      </w:pPr>
    </w:p>
    <w:p>
      <w:pPr>
        <w:ind w:left="500" w:right="256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22, 2014, the registrant had 757,021,648 shares of common stock, $0.0001 par value, outstanding.</w:t>
      </w:r>
    </w:p>
    <w:p>
      <w:pPr>
        <w:sectPr>
          <w:pgSz w:w="11900" w:h="16838" w:orient="portrait"/>
          <w:cols w:equalWidth="0" w:num="1">
            <w:col w:w="11420"/>
          </w:cols>
          <w:pgMar w:left="240" w:top="625" w:right="239" w:bottom="1440"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AMGEN INC.</w:t>
      </w:r>
    </w:p>
    <w:p>
      <w:pPr>
        <w:spacing w:after="0" w:line="1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No.</w:t>
            </w:r>
          </w:p>
        </w:tc>
      </w:tr>
      <w:tr>
        <w:trPr>
          <w:trHeight w:val="196"/>
        </w:trPr>
        <w:tc>
          <w:tcPr>
            <w:tcW w:w="3140" w:type="dxa"/>
            <w:vAlign w:val="bottom"/>
            <w:tcBorders>
              <w:bottom w:val="single" w:sz="8" w:color="0000FF"/>
            </w:tcBorders>
            <w:gridSpan w:val="9"/>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652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b w:val="1"/>
                <w:bCs w:val="1"/>
                <w:color w:val="0000FF"/>
                <w:w w:val="79"/>
              </w:rPr>
            </w:pPr>
            <w:hyperlink w:anchor="page2">
              <w:r>
                <w:rPr>
                  <w:rFonts w:ascii="Arial" w:cs="Arial" w:eastAsia="Arial" w:hAnsi="Arial"/>
                  <w:sz w:val="18"/>
                  <w:szCs w:val="18"/>
                  <w:b w:val="1"/>
                  <w:bCs w:val="1"/>
                  <w:color w:val="0000FF"/>
                  <w:w w:val="79"/>
                </w:rPr>
                <w:t>1</w:t>
              </w:r>
            </w:hyperlink>
          </w:p>
        </w:tc>
        <w:tc>
          <w:tcPr>
            <w:tcW w:w="20" w:type="dxa"/>
            <w:vAlign w:val="bottom"/>
          </w:tcPr>
          <w:p>
            <w:pPr>
              <w:spacing w:after="0"/>
              <w:rPr>
                <w:sz w:val="17"/>
                <w:szCs w:val="17"/>
                <w:color w:val="auto"/>
              </w:rPr>
            </w:pP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w:t>
              </w:r>
            </w:hyperlink>
          </w:p>
        </w:tc>
        <w:tc>
          <w:tcPr>
            <w:tcW w:w="6520" w:type="dxa"/>
            <w:vAlign w:val="bottom"/>
            <w:gridSpan w:val="9"/>
          </w:tcPr>
          <w:p>
            <w:pPr>
              <w:spacing w:after="0"/>
              <w:rPr>
                <w:sz w:val="22"/>
                <w:szCs w:val="22"/>
                <w:color w:val="auto"/>
              </w:rPr>
            </w:pPr>
          </w:p>
        </w:tc>
        <w:tc>
          <w:tcPr>
            <w:tcW w:w="106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2"/>
                <w:szCs w:val="22"/>
                <w:color w:val="auto"/>
              </w:rPr>
            </w:pPr>
          </w:p>
        </w:tc>
      </w:tr>
      <w:tr>
        <w:trPr>
          <w:trHeight w:val="250"/>
        </w:trPr>
        <w:tc>
          <w:tcPr>
            <w:tcW w:w="980" w:type="dxa"/>
            <w:vAlign w:val="bottom"/>
          </w:tcPr>
          <w:p>
            <w:pPr>
              <w:spacing w:after="0"/>
              <w:rPr>
                <w:sz w:val="21"/>
                <w:szCs w:val="21"/>
                <w:color w:val="auto"/>
              </w:rPr>
            </w:pPr>
          </w:p>
        </w:tc>
        <w:tc>
          <w:tcPr>
            <w:tcW w:w="4720" w:type="dxa"/>
            <w:vAlign w:val="bottom"/>
            <w:tcBorders>
              <w:bottom w:val="single" w:sz="8" w:color="0000FF"/>
            </w:tcBorders>
            <w:gridSpan w:val="11"/>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INCOME</w:t>
              </w:r>
            </w:hyperlink>
          </w:p>
        </w:tc>
        <w:tc>
          <w:tcPr>
            <w:tcW w:w="3960" w:type="dxa"/>
            <w:vAlign w:val="bottom"/>
            <w:gridSpan w:val="6"/>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6280" w:type="dxa"/>
            <w:vAlign w:val="bottom"/>
            <w:tcBorders>
              <w:bottom w:val="single" w:sz="8" w:color="0000FF"/>
            </w:tcBorders>
            <w:gridSpan w:val="15"/>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CONDENSED CONSOLIDATED STATEMENTS OF COMPREHENSIVE INCOME</w:t>
              </w:r>
            </w:hyperlink>
          </w:p>
        </w:tc>
        <w:tc>
          <w:tcPr>
            <w:tcW w:w="240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16"/>
          </w:tcPr>
          <w:p>
            <w:pPr>
              <w:spacing w:after="0"/>
              <w:rPr>
                <w:rFonts w:ascii="Arial" w:cs="Arial" w:eastAsia="Arial" w:hAnsi="Arial"/>
                <w:sz w:val="18"/>
                <w:szCs w:val="18"/>
                <w:color w:val="0000FF"/>
                <w:w w:val="97"/>
              </w:rPr>
            </w:pPr>
            <w:hyperlink w:anchor="page23">
              <w:r>
                <w:rPr>
                  <w:rFonts w:ascii="Arial" w:cs="Arial" w:eastAsia="Arial" w:hAnsi="Arial"/>
                  <w:sz w:val="18"/>
                  <w:szCs w:val="18"/>
                  <w:color w:val="0000FF"/>
                  <w:w w:val="97"/>
                </w:rPr>
                <w:t>MANAGEMENT’S DISCUSSION AND ANALYSIS OF FINANCIAL CONDITION AND RESULTS OF</w:t>
              </w:r>
            </w:hyperlink>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8680" w:type="dxa"/>
            <w:vAlign w:val="bottom"/>
            <w:gridSpan w:val="17"/>
          </w:tcPr>
          <w:p>
            <w:pPr>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OPERATIONS</w:t>
              </w:r>
            </w:hyperlink>
          </w:p>
        </w:tc>
        <w:tc>
          <w:tcPr>
            <w:tcW w:w="1180" w:type="dxa"/>
            <w:vAlign w:val="bottom"/>
            <w:gridSpan w:val="4"/>
          </w:tcPr>
          <w:p>
            <w:pPr>
              <w:jc w:val="right"/>
              <w:ind w:right="20"/>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1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gridSpan w:val="1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254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6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 OTHER INFORMATION</w:t>
              </w:r>
            </w:hyperlink>
          </w:p>
        </w:tc>
        <w:tc>
          <w:tcPr>
            <w:tcW w:w="1180" w:type="dxa"/>
            <w:vAlign w:val="bottom"/>
            <w:gridSpan w:val="4"/>
          </w:tcPr>
          <w:p>
            <w:pPr>
              <w:jc w:val="right"/>
              <w:ind w:right="20"/>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30</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880" w:type="dxa"/>
            <w:vAlign w:val="bottom"/>
            <w:gridSpan w:val="6"/>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LEGAL PROCEEDINGS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880" w:type="dxa"/>
            <w:vAlign w:val="bottom"/>
            <w:gridSpan w:val="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24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7440" w:type="dxa"/>
            <w:vAlign w:val="bottom"/>
            <w:gridSpan w:val="13"/>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SIGNATURES</w:t>
              </w:r>
            </w:hyperlink>
          </w:p>
        </w:tc>
        <w:tc>
          <w:tcPr>
            <w:tcW w:w="8560" w:type="dxa"/>
            <w:vAlign w:val="bottom"/>
            <w:gridSpan w:val="16"/>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3"/>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INDEX TO EXHIBITS</w:t>
              </w:r>
            </w:hyperlink>
          </w:p>
        </w:tc>
        <w:tc>
          <w:tcPr>
            <w:tcW w:w="7860" w:type="dxa"/>
            <w:vAlign w:val="bottom"/>
            <w:gridSpan w:val="15"/>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32</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40"/>
          </w:cols>
          <w:pgMar w:left="280" w:top="364"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5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5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4,356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4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4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4,521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44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3,157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6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4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60" w:type="dxa"/>
            <w:vAlign w:val="bottom"/>
            <w:vMerge w:val="continue"/>
          </w:tcPr>
          <w:p>
            <w:pPr>
              <w:spacing w:after="0"/>
              <w:rPr>
                <w:sz w:val="24"/>
                <w:szCs w:val="24"/>
                <w:color w:val="auto"/>
              </w:rPr>
            </w:pP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26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Basic</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Arial" w:cs="Arial" w:eastAsia="Arial" w:hAnsi="Arial"/>
                <w:sz w:val="18"/>
                <w:szCs w:val="18"/>
                <w:color w:val="auto"/>
              </w:rPr>
              <w:t>Dividends paid per share</w:t>
            </w:r>
          </w:p>
        </w:tc>
        <w:tc>
          <w:tcPr>
            <w:tcW w:w="5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729"/>
        </w:trPr>
        <w:tc>
          <w:tcPr>
            <w:tcW w:w="4160" w:type="dxa"/>
            <w:vAlign w:val="bottom"/>
          </w:tcPr>
          <w:p>
            <w:pPr>
              <w:spacing w:after="0"/>
              <w:rPr>
                <w:sz w:val="24"/>
                <w:szCs w:val="24"/>
                <w:color w:val="auto"/>
              </w:rPr>
            </w:pPr>
          </w:p>
        </w:tc>
        <w:tc>
          <w:tcPr>
            <w:tcW w:w="5260" w:type="dxa"/>
            <w:vAlign w:val="bottom"/>
            <w:gridSpan w:val="2"/>
          </w:tcPr>
          <w:p>
            <w:pPr>
              <w:jc w:val="right"/>
              <w:ind w:right="2800"/>
              <w:spacing w:after="0"/>
              <w:rPr>
                <w:sz w:val="20"/>
                <w:szCs w:val="20"/>
                <w:color w:val="auto"/>
              </w:rPr>
            </w:pPr>
            <w:r>
              <w:rPr>
                <w:rFonts w:ascii="Arial" w:cs="Arial" w:eastAsia="Arial" w:hAnsi="Arial"/>
                <w:sz w:val="18"/>
                <w:szCs w:val="18"/>
                <w:color w:val="auto"/>
              </w:rPr>
              <w:t>See accompanying notes.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reclassification adjustments and taxes: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Effective portion of cash flow hedges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gains (losses) on available-for-sale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858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1,108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1,425</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4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4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2013</w:t>
            </w:r>
          </w:p>
        </w:tc>
      </w:tr>
      <w:tr>
        <w:trPr>
          <w:trHeight w:val="236"/>
        </w:trPr>
        <w:tc>
          <w:tcPr>
            <w:tcW w:w="74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16,115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15,596</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3,019</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28,302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27,367</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5,349</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13,566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14,832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14,968</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investments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1,767</w:t>
            </w:r>
          </w:p>
        </w:tc>
      </w:tr>
      <w:tr>
        <w:trPr>
          <w:trHeight w:val="27"/>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67,004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66,125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0"/>
        </w:trPr>
        <w:tc>
          <w:tcPr>
            <w:tcW w:w="8740" w:type="dxa"/>
            <w:vAlign w:val="bottom"/>
            <w:tcBorders>
              <w:bottom w:val="single" w:sz="8" w:color="CCEEFF"/>
            </w:tcBorders>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4,655</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7,947</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29,519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29,623</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6,459</w:t>
            </w:r>
          </w:p>
        </w:tc>
      </w:tr>
      <w:tr>
        <w:trPr>
          <w:trHeight w:val="567"/>
        </w:trPr>
        <w:tc>
          <w:tcPr>
            <w:tcW w:w="7440" w:type="dxa"/>
            <w:vAlign w:val="bottom"/>
          </w:tcPr>
          <w:p>
            <w:pPr>
              <w:ind w:left="40"/>
              <w:spacing w:after="0"/>
              <w:rPr>
                <w:sz w:val="20"/>
                <w:szCs w:val="20"/>
                <w:color w:val="auto"/>
              </w:rPr>
            </w:pPr>
            <w:r>
              <w:rPr>
                <w:rFonts w:ascii="Arial" w:cs="Arial" w:eastAsia="Arial" w:hAnsi="Arial"/>
                <w:sz w:val="18"/>
                <w:szCs w:val="18"/>
                <w:color w:val="auto"/>
              </w:rPr>
              <w:t>Contingencies and commitments</w:t>
            </w: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1"/>
        </w:trPr>
        <w:tc>
          <w:tcPr>
            <w:tcW w:w="7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w w:val="99"/>
              </w:rPr>
              <w:t>Common stock and additional paid-in capital; $0.0001 par value; 2,750.0 shares authorized;</w:t>
            </w: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outstanding - 756.9 shares in 2014 and 754.6 shares in 2013</w:t>
            </w:r>
          </w:p>
        </w:tc>
        <w:tc>
          <w:tcPr>
            <w:tcW w:w="13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29,890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29,891</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22,741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67,004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66,125</w:t>
            </w:r>
          </w:p>
        </w:tc>
      </w:tr>
      <w:tr>
        <w:trPr>
          <w:trHeight w:val="27"/>
        </w:trPr>
        <w:tc>
          <w:tcPr>
            <w:tcW w:w="74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1,434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 net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sales of marketable securities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6,013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Restriction of investments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1,809</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proceeds from issuance of common stock in connection with the Company’s equity award programs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2,530</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financial information for the three months ended March 31, 2014 and 2013, is unaudited but includes all adjustments (consisting of only normal recurring adjustments, unless otherwise indicated), which Amgen considers necessary for a fair presentation of its condensed consolidated results of operations for those periods. Interim results are not necessarily indicative of results for the full fiscal year.</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condensed consolidated financial statements should be read in conjunction with our consolidated financial statements and the notes thereto contained in our Annual Report on Form 10-K for the year ended December 31, 2013.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condensed consolidated financial statements include the accounts of Amgen as well as its majority-owned subsidiaries. We do not have any significant interests in any variable interest entities. All material intercompany transactions and balances have been eliminated in consolidation.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accounting principles generally accepted in the United States (GAAP) requires management to make estimates and assumptions that affect the amounts reported in the condensed consolidated financial statements and accompanying notes. Actual results may differ from those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net</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Property, plant and equipment is recorded at historical cost, net of accumulated depreciation and amortization of $7.1 billion and $6.9 billion as of March 31, 2014, and December 31, 2013,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investments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restricted investments on our Condensed Consolidated Balance Sheets that are owned by ATL Holdings Limited (ATL Holdings), a wholly-owned subsidiary. ATL Holdings is an entity distinct from the Company and its other subsidiaries, with separate assets and liabilities. Because certain third parties own Class A preferred shares of ATL Holdings, this entity is required to hold restricted investments, which were composed of interest-bearing securities, cash and related interest receivable as of March 31, 2014 and December 31, 2013.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Onyx Pharmaceuticals</w:t>
      </w:r>
    </w:p>
    <w:p>
      <w:pPr>
        <w:spacing w:after="0" w:line="144"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On October 1, 2013, we acquired all of the outstanding stock of Onyx Pharmaceuticals, Inc. (Onyx), a global biopharmaceutical company engaged in the development and commercialization of innovative therapies for improving the lives of people afflicted with cancer. Onyx has a multiple myeloma franchise, with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(carfilzomib) for Injection already approved in the United States, and with oprozomib being evaluated in clinical trials for patients with hematologic malignancies. In addition, Onyx has three partnered oncology assets: Nexavar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(sorafenib) tablets (an Onyx and Bayer compound), Stivarga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(regorafenib) tablets (a Bayer compound), and palbociclib (a Pfizer, Inc. compound). This transaction, which was accounted for as a business combination, provides us with an opportunity to expand our oncology franchise. Onyx’s operations have been included in our condensed consolidated financial statements commencing on the acquisition 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140" w:type="dxa"/>
            <w:vAlign w:val="bottom"/>
          </w:tcPr>
          <w:p>
            <w:pPr>
              <w:ind w:left="420"/>
              <w:spacing w:after="0"/>
              <w:rPr>
                <w:sz w:val="20"/>
                <w:szCs w:val="20"/>
                <w:color w:val="auto"/>
              </w:rPr>
            </w:pPr>
            <w:r>
              <w:rPr>
                <w:rFonts w:ascii="Arial" w:cs="Arial" w:eastAsia="Arial" w:hAnsi="Arial"/>
                <w:sz w:val="18"/>
                <w:szCs w:val="18"/>
                <w:color w:val="auto"/>
              </w:rPr>
              <w:t>The aggregate consideration to acquire Onyx was paid in cash and consisted of (in millions):</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Compensation expense</w:t>
            </w:r>
          </w:p>
        </w:tc>
        <w:tc>
          <w:tcPr>
            <w:tcW w:w="9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9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paid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9,714</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$9,517 million cash payment consisted of a $9,186 million cash payment to the outstanding common stockholders and a $331 million cash payment to the Onyx equity award holders for services rendered prior to October 1, 2013 under the Onyx equity award plans. The remaining $197 million of cash, which related to the accelerated vesting of the remaining Onyx equity awards, was recognized as compensation expense during the three months ended December 31, 2013. This amount was included primarily in Selling, general and administrative (SG&amp;A) expense in the Consolidated Statement of Income.</w:t>
      </w:r>
    </w:p>
    <w:p>
      <w:pPr>
        <w:spacing w:after="0" w:line="7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consideration to acquire Onyx was allocated preliminarily to the acquisition date fair values of assets acquired and liabilities assumed as follows (in millions):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337</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Indefinite-lived intangible assets - In-process research and development (IPR&amp;D)</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1,170</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 - Developed product technology rights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Finite-lived intangible assets - Licensing rights</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2,792</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2,393</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contingent consideration</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(liabilities), net</w:t>
            </w:r>
          </w:p>
        </w:tc>
        <w:tc>
          <w:tcPr>
            <w:tcW w:w="9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r>
      <w:tr>
        <w:trPr>
          <w:trHeight w:val="237"/>
        </w:trPr>
        <w:tc>
          <w:tcPr>
            <w:tcW w:w="9060" w:type="dxa"/>
            <w:vAlign w:val="bottom"/>
          </w:tcPr>
          <w:p>
            <w:pPr>
              <w:ind w:left="260"/>
              <w:spacing w:after="0"/>
              <w:rPr>
                <w:sz w:val="20"/>
                <w:szCs w:val="20"/>
                <w:color w:val="auto"/>
              </w:rPr>
            </w:pPr>
            <w:r>
              <w:rPr>
                <w:rFonts w:ascii="Arial" w:cs="Arial" w:eastAsia="Arial" w:hAnsi="Arial"/>
                <w:sz w:val="18"/>
                <w:szCs w:val="18"/>
                <w:color w:val="auto"/>
              </w:rPr>
              <w:t>Total consideration</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9,517</w:t>
            </w:r>
          </w:p>
        </w:tc>
      </w:tr>
      <w:tr>
        <w:trPr>
          <w:trHeight w:val="27"/>
        </w:trPr>
        <w:tc>
          <w:tcPr>
            <w:tcW w:w="9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Onyx’s preliminary goodwill at December 31, 2013 has been revised. Goodwill was reduced by $133 million due primarily to revisions which increased the acquisition date fair values of developed product technology rights by $280 million and deferred income taxes by $75 million, and decreased inventory by $80 million. The adjustments did not have a material effect on our current or prior period financial statements.</w:t>
      </w:r>
    </w:p>
    <w:p>
      <w:pPr>
        <w:spacing w:after="0" w:line="84"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The developed product technology rights acquired relate to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which is approved in the United States. This product technology is being amortized on a straight-line basis over the estimated useful life of 12 years.</w:t>
      </w:r>
    </w:p>
    <w:p>
      <w:pPr>
        <w:spacing w:after="0" w:line="12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Licensing rights acquired represent the aggregate estimated fair values of receiving future milestone, royalty and/or profit sharing payments associated with various contract agreements that were entered into by Onyx prior to the acquisition. The weighted-average useful life of these finite-lived intangible assets is ten years, and they are being amortized primarily on a straight-line basis.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accounting for this acquisition is preliminary. The fair value estimates for the assets acquired and liabilities assumed were based upon preliminary calculations and valuations, and our estimates and assumptions are subject to change as we obtain additional information for our estimates during the measurement period (up to one year from the acquisition date). The primary areas of those preliminary estimates that are not yet finalized relate to certain identifiable intangible assets and tax related items.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Filgrastim and pegfilgrastim rights acquisition</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October 2013, we entered into an agreement to acquire the licenses to filgrastim and pegfilgrastim effective January 1, 2014 (acquisition date), that were held by F. Hoffmann-La Roche Ltd. (Roche) in approximately 100 markets in Eastern Europe, Latin America, Asia, the Middle East and Africa, (Product Rights), and to settle our preexisting relationship related to the Product Rights for total consideration of $497 million. The acquisition of the Product Rights was accounted for as a business combination as the acquired rights and processes are capable of producing an immediate return to us, and the settlement of the preexisting relationship was accounted for separately from the business combination.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8" w:name="page9"/>
    <w:bookmarkEnd w:id="8"/>
    <w:p>
      <w:pPr>
        <w:jc w:val="both"/>
        <w:ind w:firstLine="405"/>
        <w:spacing w:after="0" w:line="312" w:lineRule="auto"/>
        <w:rPr>
          <w:sz w:val="20"/>
          <w:szCs w:val="20"/>
          <w:color w:val="auto"/>
        </w:rPr>
      </w:pPr>
      <w:r>
        <w:rPr>
          <w:rFonts w:ascii="Arial" w:cs="Arial" w:eastAsia="Arial" w:hAnsi="Arial"/>
          <w:sz w:val="16"/>
          <w:szCs w:val="16"/>
          <w:color w:val="auto"/>
        </w:rPr>
        <w:t>This transaction provides us with an opportunity to expand our geographic presence and reach more patients in more countries that could benefit from our therapies. The operations of the acquired set of activities have been included in our financial statements commencing on the acquisition date. Pro forma results of operations for this acquisition have not been presented because this acquisition is not material to our consolidated results of operations.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consideration transferred consisted of (in millions):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 or to be transferred</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Settlement of preexisting relationship at fair value</w:t>
            </w:r>
          </w:p>
        </w:tc>
        <w:tc>
          <w:tcPr>
            <w:tcW w:w="1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9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consideration transferred to acquire the Product Rights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0"/>
        </w:trPr>
        <w:tc>
          <w:tcPr>
            <w:tcW w:w="9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settlement of the preexisting relationship relates to a supply contract between Amgen and Roche that was terminated as a result of the acquisition of the Product Rights. The fair value of the contract of $99 million was recognized in Cost of sales in the Condensed Consolidated Statement of Income for the three months ended March 31, 2014.</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consideration to acquire the Product Rights was allocated to the acquisition date fair values of assets acquired as follows (in millions):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Finite-lived intangible assets - Marketing-related rights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Finite-lived intangible assets - Developed product technology rights</w:t>
            </w:r>
          </w:p>
        </w:tc>
        <w:tc>
          <w:tcPr>
            <w:tcW w:w="10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9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0"/>
        </w:trPr>
        <w:tc>
          <w:tcPr>
            <w:tcW w:w="9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marketing-related and developed product technology rights acquired relate to the Product Rights and are being amortized on a straight-line basis over their estimated useful lives of five years and three and one-half years, respectively.</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accounting for this acquisition is preliminary. The fair value estimates for the assets acquired and liabilities incurred were based upon preliminary calculations and valuations, and our estimates and assumptions are subject to change as we obtain additional information for our estimates during the measurement period (up to one year from the acquisition date). The primary areas of those preliminary estimates that are not yet finalized relate to certain tangible assets and liabilities incurred, and identifiable intangible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effective tax rate for the three months ended March 31, 2014 was 10.9% compared with (6.8)% for the corresponding period of the prior year. The effective rates are different from the federal statutory rates primarily as a result of indefinitely invested earnings of our foreign operations. We do not provide for U.S. income taxes on undistributed earnings of our foreign operations that are intended to be invested indefinitely outside of the United States. The effective tax rate for the three months ended March 31, 2014, increased due primarily to two significant events that occurred during the three months ended March 31, 2013. First, we settled our federal income tax examination for the years ended December 31, 2007, 2008 and 2009, in which we agreed to certain adjustments and remeasured our unrecognized tax benefits (UTBs) accordingly. Second, the American Taxpayer Relief Act of 2012, enacted during the first quarter of 2013, reinstated the federal research and development (R&amp;D) tax credit for 2012 and 2013. Therefore, our effective tax rate for the three months ended March 31, 2013, included a benefit for the full-year 2012 federal R&amp;D tax credit, recorded as a discrete item in the first quarter of 2013. The federal R&amp;D tax credit expired as of December 31, 2013 and was not reinstated as of March 31, 2014. Therefore, our effective tax rate for the three months ended March 31, 2014, does not include a benefit for the federal R&amp;D tax credit. In addition, the effective tax rates for both periods were reduced by foreign tax credits associated with the Puerto Rico excise tax described below.</w:t>
      </w:r>
    </w:p>
    <w:p>
      <w:pPr>
        <w:spacing w:after="0" w:line="1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Puerto Rico imposes an excise tax on the gross intercompany purchase price of goods and services from our manufacturing subsidiary in Puerto Rico. The rate was 2.75% in the first half of 2013 and 4.0% effective July 1, 2013 through December 31, 2017. We account for the excise tax as a manufacturing cost that is capitalized in inventory and expensed in cost of sales when the related products are sold. For U.S. income tax purposes, the excise tax results in foreign tax credits that are generally recognized in our provision for income taxes when the excise tax is incurred. Excluding the impact of the Puerto Rico excise tax, our effective tax rates for the three months ended March 31, 2014, would have been 15.4%, compared with (0.8)% for the corresponding period of the prior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One or more of our legal entities file income tax returns in the U.S. federal jurisdiction, various U.S. state jurisdictions and certain foreign jurisdictions. Our income tax returns are routinely audited by the tax authorities in those jurisdictions. Significant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disputes may arise with these tax authorities involving issues of the timing and amount of income and deductions, the use of tax credits and allocations of income among various tax jurisdictions because of differing interpretations of tax laws and regulations. We are no longer subject to U.S. federal income tax examinations for years ending on or before December 31, 2009, or to California state income tax examinations for years ending on or before December 31, 2005.</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2014, the gross amount of our UTBs increased by approximately $65 million as a result of tax positions taken during the current year. Substantially all of the UTBs as of March 31, 2014, if recognized, would affect our effective tax rate. As of March 31, 2014, we believe it is reasonably possible that our gross liabilities for UTBs may decrease by approximately $70 million within the succeeding 12 months due to the resolution of state audits.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computation of basic earnings per share (EPS) is based on the weighted-average number of our common shares outstanding. The computation of diluted EPS is based on the weighted-average number of our common shares outstanding and dilutive potential common shares, which include principally shares that may be issued under our stock option awards and restricted stock and performance unit awards, determined using the treasury stock method (collectively “dilutive securities”).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computation for basic and diluted EPS was as follows (in millions, except per share data):</w:t>
      </w:r>
    </w:p>
    <w:p>
      <w:pPr>
        <w:spacing w:after="0" w:line="36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66675</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(Numerator):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income for basic and diluted EPS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1,434</w:t>
            </w:r>
          </w:p>
        </w:tc>
      </w:tr>
      <w:tr>
        <w:trPr>
          <w:trHeight w:val="27"/>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(Denominator):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Weighted-average shares for basic EPS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751</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Weighted-average shares for diluted EPS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764</w:t>
            </w:r>
          </w:p>
        </w:tc>
      </w:tr>
      <w:tr>
        <w:trPr>
          <w:trHeight w:val="27"/>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1.88</w:t>
            </w: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2014 and 2013, the number of anti-dilutive employee stock-based awards excluded from the computation of diluted EPS was not significant.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Available-for-sale investments</w:t>
      </w:r>
    </w:p>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values of available-for-sale investments by type of security were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security as of March 31, 2014</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76"/>
              </w:rPr>
              <w:t>cost</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7"/>
              </w:rPr>
              <w:t>gains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government-related debt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Foreign and other</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Financial</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mortgage- and asset-backed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short-term interest-bearing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interest-bearing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22,911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22,889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23,002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22,997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security as of December 31, 2013</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76"/>
              </w:rPr>
              <w:t>cost</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7"/>
              </w:rPr>
              <w:t>gains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government-related debt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Foreign and other</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Financial</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mortgage- and asset-backed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short-term interest-bearing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interest-bearing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22,347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22,432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22,363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7"/>
          <w:szCs w:val="17"/>
          <w:color w:val="auto"/>
        </w:rPr>
        <w:t>The fair values of available-for-sale investments by classification in the Condensed Consolidated Balance Sheets were as follows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Classification in the Condensed Consolidated Balance Sheets</w:t>
            </w:r>
          </w:p>
        </w:tc>
        <w:tc>
          <w:tcPr>
            <w:tcW w:w="120" w:type="dxa"/>
            <w:vAlign w:val="bottom"/>
            <w:vMerge w:val="restart"/>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16,115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15,596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 noncurrent</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Restricted investments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22,997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22,363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Cash and cash equivalents in the table above excludes cash of $321 million and $539 million as of March 31, 2014, and December 31, 2013, respectively. Restricted investments in the table above excludes $6 million of interest receivable as of both March 31, 2014 and December 31, 2013.</w:t>
      </w:r>
    </w:p>
    <w:p>
      <w:pPr>
        <w:spacing w:after="0" w:line="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available-for-sale interest-bearing security investments by contractual maturity, except for mortgage- and asset- backed securities that do not have a single maturity date, were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vMerge w:val="restart"/>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in one year or less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Maturing after one year through three years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after three years through five years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Maturing after five years through ten years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and asset-backed securities</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7"/>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Total interest-bearing securities</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22,889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2014 and 2013, realized gains totaled $28 million and $85 million, respectively, and realized losses totaled $26 million and $18 million, respectively. The cost of securities sold is based on the specific identification method. Most of our available-for-sale investments that were in an unrealized loss position, which totaled $122 million as of March 31, 2014, have been in a continuous unrealized loss position for less than 12 months. These investments had an aggregate fair value of $8.9 billion as of March 31, 2014.</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primary objective of our investment portfolio is to enhance overall returns in an efficient manner while maintaining safety of principal, prudent levels of liquidity and acceptable levels of risk. Our investment policy limits interest-bearing security investments to certain types of debt and money market instruments issued by institutions with primarily investment grade credit ratings and places restrictions on maturities and concentration by asset class and issuer.</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review our available-for-sale investments for other-than-temporary declines in fair value below our cost basis each quarter and whenever events or changes in circumstances indicate that the cost basis of an asset may not be recoverable. This evaluation is based on a number of factors, including the length of time and the extent to which the fair value has been below our cost basis and adverse conditions related specifically to the security, including any changes to the credit rating of the security. As of March 31, 2014, and December 31, 2013, we believe the cost bases for our available-for-sale investments were recoverable in all material respects.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420" w:type="dxa"/>
            <w:vAlign w:val="bottom"/>
            <w:tcBorders>
              <w:bottom w:val="single" w:sz="8" w:color="CCEEFF"/>
            </w:tcBorders>
            <w:gridSpan w:val="2"/>
            <w:shd w:val="clear" w:color="auto" w:fill="CCEEFF"/>
          </w:tcPr>
          <w:p>
            <w:pPr>
              <w:jc w:val="right"/>
              <w:ind w:right="106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1,885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4160" w:type="dxa"/>
            <w:vAlign w:val="bottom"/>
          </w:tcPr>
          <w:p>
            <w:pPr>
              <w:spacing w:after="0"/>
              <w:rPr>
                <w:sz w:val="20"/>
                <w:szCs w:val="20"/>
                <w:color w:val="auto"/>
              </w:rPr>
            </w:pPr>
          </w:p>
        </w:tc>
        <w:tc>
          <w:tcPr>
            <w:tcW w:w="1260" w:type="dxa"/>
            <w:vAlign w:val="bottom"/>
            <w:tcBorders>
              <w:top w:val="single" w:sz="8" w:color="auto"/>
            </w:tcBorders>
          </w:tcPr>
          <w:p>
            <w:pPr>
              <w:jc w:val="right"/>
              <w:ind w:right="106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2,966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160" w:type="dxa"/>
            <w:vAlign w:val="bottom"/>
            <w:vMerge w:val="restart"/>
          </w:tcPr>
          <w:p>
            <w:pPr>
              <w:jc w:val="right"/>
              <w:ind w:right="177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160" w:type="dxa"/>
            <w:vAlign w:val="bottom"/>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5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carrying amounts of goodwill were as follows (in millions):</w:t>
      </w:r>
    </w:p>
    <w:p>
      <w:pPr>
        <w:spacing w:after="0" w:line="163"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29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14,968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12,662</w:t>
            </w:r>
          </w:p>
        </w:tc>
      </w:tr>
      <w:tr>
        <w:trPr>
          <w:trHeight w:val="270"/>
        </w:trPr>
        <w:tc>
          <w:tcPr>
            <w:tcW w:w="7840" w:type="dxa"/>
            <w:vAlign w:val="bottom"/>
          </w:tcPr>
          <w:p>
            <w:pPr>
              <w:ind w:left="20"/>
              <w:spacing w:after="0" w:line="270" w:lineRule="exact"/>
              <w:rPr>
                <w:sz w:val="20"/>
                <w:szCs w:val="20"/>
                <w:color w:val="auto"/>
              </w:rPr>
            </w:pPr>
            <w:r>
              <w:rPr>
                <w:rFonts w:ascii="Arial" w:cs="Arial" w:eastAsia="Arial" w:hAnsi="Arial"/>
                <w:sz w:val="18"/>
                <w:szCs w:val="18"/>
                <w:color w:val="auto"/>
              </w:rPr>
              <w:t>Goodwill related to acquisitions of businesses</w:t>
            </w:r>
            <w:r>
              <w:rPr>
                <w:rFonts w:ascii="Arial" w:cs="Arial" w:eastAsia="Arial" w:hAnsi="Arial"/>
                <w:sz w:val="25"/>
                <w:szCs w:val="25"/>
                <w:color w:val="auto"/>
                <w:vertAlign w:val="superscript"/>
              </w:rPr>
              <w:t>(1)</w:t>
            </w: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78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14,832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12,604</w:t>
            </w:r>
          </w:p>
        </w:tc>
      </w:tr>
      <w:tr>
        <w:trPr>
          <w:trHeight w:val="27"/>
        </w:trPr>
        <w:tc>
          <w:tcPr>
            <w:tcW w:w="78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40" w:right="20" w:hanging="208"/>
        <w:spacing w:after="0" w:line="216" w:lineRule="auto"/>
        <w:tabs>
          <w:tab w:leader="none" w:pos="5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Composed primarily of adjustments to goodwill resulting from changes to the acquisition date fair values of net assets acquired in business combinations recorded during their respective measurement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intangible assets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Intangible</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 net</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assets, net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Developed product technology rights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10,421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6,868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Licensing rights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R&amp;D technology rights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Marketing-related rights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15,844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15,197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IPR&amp;D</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Developed product technology rights consist of rights related to marketed products acquired in business combinations. Licensing rights are composed primarily of intangible assets acquired as part of the acquisition of Onyx, capitalized payments to third parties for milestones related to regulatory approvals to commercialize products and up-front payments associated with royalty obligations for marketed products. R&amp;D technology rights consist of technology used in R&amp;D with alternative future uses. Marketing-related intangible assets are composed primarily of rights related to the sale and distribution of marketed products. For information related to the acquisition of certain of these intangible assets, see Note 2, Business combinations.</w:t>
      </w:r>
    </w:p>
    <w:p>
      <w:pPr>
        <w:spacing w:after="0" w:line="50"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IPR&amp;D consists of R&amp;D projects acquired in a business combination which are not complete due to remaining technological risks and/or lack of receipt of the required regulatory approvals. These projects include Kyprolis</w:t>
      </w:r>
      <w:r>
        <w:rPr>
          <w:rFonts w:ascii="Arial" w:cs="Arial" w:eastAsia="Arial" w:hAnsi="Arial"/>
          <w:sz w:val="25"/>
          <w:szCs w:val="25"/>
          <w:color w:val="auto"/>
          <w:vertAlign w:val="superscript"/>
        </w:rPr>
        <w:t>®</w:t>
      </w:r>
      <w:r>
        <w:rPr>
          <w:rFonts w:ascii="Arial" w:cs="Arial" w:eastAsia="Arial" w:hAnsi="Arial"/>
          <w:sz w:val="18"/>
          <w:szCs w:val="18"/>
          <w:color w:val="auto"/>
        </w:rPr>
        <w:t>, a treatment for multiple myeloma being developed for use outside the United States (excluding Japan) acquired in the Onyx transaction (see Note 2, Business combinations); velcalcetide, a treatment for secondary hyperparathyroidism in patients with chronic kidney disease who are on dialysis; blinatumomab, a treatment for acute lymphoblastic leukemia (ALL), and talimogene laherparepvec, a treatment for melanoma.</w:t>
      </w:r>
    </w:p>
    <w:p>
      <w:pPr>
        <w:spacing w:after="0" w:line="9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all IPR&amp;D projects, there are major risks and uncertainties associated with the timely and successful completion of development and commercialization of these product candidates, including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3" w:name="page14"/>
    <w:bookmarkEnd w:id="13"/>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2014 and 2013, we recognized amortization charges associated with our finite-lived intangible assets of $357 million and $117 million, respectively. The total estimated amortization charges for our finite-lived intangible assets for the nine months ended December 31, 2014, and the years ended December 31, 2015, 2016, 2017, 2018 and 2019, are $951 million, $1.3 billion, $1.3 billion, $1.1 billion, $967 million and $894 million,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Financing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and the fixed contractual coupon rates, as applicable, of our long-term borrowings were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6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1.875% notes due 2014 (1.875% 2014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4.85% notes due 2014 (4.85% 2014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1,000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2.30% notes due 2016 (2.30% 2016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2.50% notes due 2016 (2.50% 2016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999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2.125% notes due 2017 (2.125% 2017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5.85% notes due 2017 (5.85% 2017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1,099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6.15% notes due 2018 (6.15% 2018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Master Repurchase Agreement obligation due 2018</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3,100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due 2018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4.375% euro-denominated notes due 2018 (4.375% 2018 euro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751</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5.70% notes due 2019 (5.70% 2019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2.125% euro-denominated notes due 2019 (2.125% 2019 euro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925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4.50% notes due 2020 (4.50% 2020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3.45% notes due 2020 (3.45% 2020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898</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4.10% notes due 2021 (4.10% 2021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3.875% notes due 2021 (3.875% 2021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1,746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3.625% notes due 2022 (3.625% 2022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5.50% pound-sterling-denominated notes due 2026 (5.50% 2026 pound sterling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781</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4.00% pound-sterling-denominated notes due 2029 (4.00% 2029 pound sterling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6.375% notes due 2037 (6.375% 2037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899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6.90% notes due 2038 (6.90% 2038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6.40% notes due 2039 (6.40% 2039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996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5.75% notes due 2040 (5.75% 2040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4.95% notes due 2041 (4.95% 2041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596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5.15% notes due 2041 (5.15% 2041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5.65% notes due 2042 (5.65% 2042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1,244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notes due 2043 (5.375% 2043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105</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32,128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(2,505)</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29,623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2014, we repaid $125 million of principal on our Term Loan Credit Facility.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had no repurchases under our stock repurchase program during the three months ended March 31, 2014. As of March 31, 2014, $1.6 billion remained available under our Board of Directors-approved stock repurchase program.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December 13, 2013, the Board of Directors declared a quarterly cash dividend of $0.61 per share of common stock, which was paid on March 7, 2014. On March 5, 2014, the Board of Directors declared a quarterly cash dividend of $0.61 per share of common stock, which will be paid on June 6, 2014, to all stockholders of record as of the close of business on May 15,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income (AOCI) were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40" w:type="dxa"/>
            <w:vAlign w:val="bottom"/>
          </w:tcPr>
          <w:p>
            <w:pPr>
              <w:jc w:val="center"/>
              <w:ind w:left="301"/>
              <w:spacing w:after="0"/>
              <w:rPr>
                <w:sz w:val="20"/>
                <w:szCs w:val="20"/>
                <w:color w:val="auto"/>
              </w:rPr>
            </w:pPr>
            <w:r>
              <w:rPr>
                <w:rFonts w:ascii="Arial" w:cs="Arial" w:eastAsia="Arial" w:hAnsi="Arial"/>
                <w:sz w:val="14"/>
                <w:szCs w:val="14"/>
                <w:b w:val="1"/>
                <w:bCs w:val="1"/>
                <w:color w:val="auto"/>
                <w:w w:val="89"/>
              </w:rPr>
              <w:t>Foreign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Cash flow</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Available-for-sale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4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1"/>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040" w:type="dxa"/>
            <w:vAlign w:val="bottom"/>
          </w:tcPr>
          <w:p>
            <w:pPr>
              <w:jc w:val="center"/>
              <w:ind w:left="301"/>
              <w:spacing w:after="0"/>
              <w:rPr>
                <w:sz w:val="20"/>
                <w:szCs w:val="20"/>
                <w:color w:val="auto"/>
              </w:rPr>
            </w:pPr>
            <w:r>
              <w:rPr>
                <w:rFonts w:ascii="Arial" w:cs="Arial" w:eastAsia="Arial" w:hAnsi="Arial"/>
                <w:sz w:val="14"/>
                <w:szCs w:val="14"/>
                <w:b w:val="1"/>
                <w:bCs w:val="1"/>
                <w:color w:val="auto"/>
                <w:w w:val="92"/>
              </w:rPr>
              <w:t>translation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hedges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040" w:type="dxa"/>
            <w:vAlign w:val="bottom"/>
            <w:tcBorders>
              <w:top w:val="single" w:sz="8" w:color="auto"/>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Reclassification adjustments to income</w:t>
            </w:r>
          </w:p>
        </w:tc>
        <w:tc>
          <w:tcPr>
            <w:tcW w:w="10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as of March 31, 2014</w:t>
            </w:r>
          </w:p>
        </w:tc>
        <w:tc>
          <w:tcPr>
            <w:tcW w:w="1040" w:type="dxa"/>
            <w:vAlign w:val="bottom"/>
            <w:tcBorders>
              <w:top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(76)</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reclassifications out of AOCI to Net income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Amounts reclassified out of AOCI</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Components of AOCI</w:t>
            </w:r>
          </w:p>
        </w:tc>
        <w:tc>
          <w:tcPr>
            <w:tcW w:w="36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0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Line item affected in the Statements of</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Foreign currency contract losses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swap contract gains (losses)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Total before income tax</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(expense)/benefit</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24"/>
                <w:szCs w:val="24"/>
                <w:color w:val="auto"/>
              </w:rPr>
            </w:pPr>
          </w:p>
        </w:tc>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Net realized gains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ind w:right="87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Fair value measurement</w:t>
      </w:r>
    </w:p>
    <w:p>
      <w:pPr>
        <w:spacing w:after="0" w:line="14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divided into three levels based on the source of inputs as follows:</w:t>
      </w:r>
    </w:p>
    <w:p>
      <w:pPr>
        <w:spacing w:after="0" w:line="212"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Valuations based on unadjusted quoted prices in active markets for identical assets or liabilities that the Company has the ability to access</w:t>
      </w:r>
    </w:p>
    <w:p>
      <w:pPr>
        <w:spacing w:after="0" w:line="63"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Valuations for which all significant inputs are observable, either directly or indirectly, other than level 1 inputs</w:t>
      </w:r>
    </w:p>
    <w:p>
      <w:pPr>
        <w:spacing w:after="0" w:line="63"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 Valuations based on inputs that are unobservable and significant to the overall fair value measurement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each major class of the Company’s financial assets and liabilities measured at fair value on a recurring basis was as follows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measurement</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other observable</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March 31, 2014,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6"/>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14,917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obligations in connection with</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0"/>
              <w:spacing w:after="0"/>
              <w:rPr>
                <w:sz w:val="20"/>
                <w:szCs w:val="20"/>
                <w:color w:val="auto"/>
              </w:rPr>
            </w:pPr>
            <w:r>
              <w:rPr>
                <w:rFonts w:ascii="Arial" w:cs="Arial" w:eastAsia="Arial" w:hAnsi="Arial"/>
                <w:sz w:val="18"/>
                <w:szCs w:val="18"/>
                <w:color w:val="auto"/>
              </w:rPr>
              <w:t>business combinations</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64"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measurement</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other observable</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December 31, 2013,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6"/>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obligations in connection with</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business combinations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values of our U.S. Treasury securities, money market mutual funds and equity securities are based on quoted market prices in active markets with no valuation adjustment.</w:t>
      </w:r>
    </w:p>
    <w:p>
      <w:pPr>
        <w:spacing w:after="0" w:line="8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Most of our other government-related and corporate debt securities are investment grade with maturity dates of five years or less from the balance sheet date. Our other government-related debt securities portfolio is composed of securities with weighted-average credit ratings of A by Standard &amp; Poor's Financial Services LLC (S&amp;P), A+ by Moody's Investor Service, Inc. (Moody's) or Fitch, Inc. (Fitch); and our corporate debt securities portfolio has a weighted-average credit rating of A- by S&amp;P, BBB+ by Moody's, and A by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8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residential mortgage-, other mortgage- and asset-backed securities portfolio is composed entirely of senior tranches, with credit ratings of AAA by S&amp;P, Moody's or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value our other short-term interest-bearing securities at amortized cost, which approximates fair value given their near term maturity dates.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72" w:right="239" w:bottom="1440" w:gutter="0" w:footer="0" w:header="0"/>
        </w:sectPr>
      </w:pPr>
    </w:p>
    <w:bookmarkStart w:id="17" w:name="page18"/>
    <w:bookmarkEnd w:id="17"/>
    <w:p>
      <w:pPr>
        <w:jc w:val="both"/>
        <w:ind w:firstLine="405"/>
        <w:spacing w:after="0" w:line="255" w:lineRule="auto"/>
        <w:rPr>
          <w:sz w:val="20"/>
          <w:szCs w:val="20"/>
          <w:color w:val="auto"/>
        </w:rPr>
      </w:pPr>
      <w:r>
        <w:rPr>
          <w:rFonts w:ascii="Arial" w:cs="Arial" w:eastAsia="Arial" w:hAnsi="Arial"/>
          <w:sz w:val="18"/>
          <w:szCs w:val="18"/>
          <w:color w:val="auto"/>
        </w:rPr>
        <w:t>All of our foreign currency forward and option derivatives contracts have maturities of three years or less and all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rates, London Interbank Offered Rates (LIBOR) cash and swap rates and obligor credit default swap rates. In addition, inputs for our foreign currency option contracts also include implied volatility measures. These inputs, where applicable, are at commonly quoted intervals. See Note 11, Derivative instruments.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cross-currency swap contracts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exchange rates, LIBOR, swap rates, obligor credit default swap rates and cross-currency basis swap spreads. See Note 11, Derivative instruments.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interest rate swap contracts are with counterparties that have minimum credit ratings of A- or equivalent by S&amp;P, Moody’s or Fitch. We estimated the fair values of these contracts by using an income-based industry standard valuation model for which all significant inputs were observable either directly or indirectly. These inputs included LIBOR, swap rates and obligor credit default swap rates.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obligations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incurred contingent consideration obligations as the result of our acquisition of a business and upon the assumption of contingent consideration obligations incurred by an acquired company discussed below. These contingent consideration obligations are recorded at their estimated fair values, and we revalue these obligations each reporting period until the related contingencies are resolved. Changes in fair values of contingent consideration obligations are recognized in Other operating expenses in the Condensed Consolidated Statements of Income.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carrying amounts of contingent consideration obligations were as follows (in millions):</w:t>
      </w:r>
    </w:p>
    <w:p>
      <w:pPr>
        <w:spacing w:after="0" w:line="29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changes in valuation</w:t>
            </w: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222</w:t>
            </w:r>
          </w:p>
        </w:tc>
      </w:tr>
      <w:tr>
        <w:trPr>
          <w:trHeight w:val="20"/>
        </w:trPr>
        <w:tc>
          <w:tcPr>
            <w:tcW w:w="7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As a result of our acquisition of BioVex Group, Inc. (BioVex) in March 2011, we are obligated to pay its former shareholders up to $575 million of additional consideration contingent upon achieving up to eight separate regulatory and sales-related milestones with regard to talimogene laherparepvec, which was acquired in the acquisition and is currently in phase 3 clinical development for the treatment of melanoma. The three largest of these potential payments are $125 million each, including the amount due if a Biologics License Application is filed with the U.S. Food and Drug Administration (FDA). Potential payments are also due upon the first commercial sale in each of the United States and the European Union (EU) following receipt of marketing approval which includes use of the product in specified patient populations and upon achievement of specified levels of sales within specified periods of time. The fair value measurements of these obligations are based on significant unobservable inputs, including the estimated probabilities and timing of achieving the related regulatory and commercial events in connection with these milestones and, as applicable, estimated annual sales. Significant changes which increase or decrease the probabilities of achieving the related regulatory and commercial events, shorten or lengthen the time required to achieve such events, or increase of decrease estimated annual sales would result in corresponding increases or decreases in the fair values of these obligations, as applicable.</w:t>
      </w:r>
    </w:p>
    <w:p>
      <w:pPr>
        <w:spacing w:after="0" w:line="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estimate the fair values of the obligations to the former shareholders of BioVex by using a combination of probability-adjusted discounted cash flows, option pricing techniques and a simulation model of expected annual sales. Quarterly, management in our R&amp;D and commercial sales organizations review key assumptions used in the fair value measurements of these obligations. In April 2014, we announced top-line results from the primary overall survival (OS) analysis of a phase 3 trial in melanoma. We are currently reviewing the results from this study with clinicians, regulators and payers to determine the best course forward. However, during the quarter ended March 31, 2014, there were no significant changes in underlying key assumptions, and there was no change in the estimated aggregate fair value of these contingent consideration obligations of $334 million.</w:t>
      </w:r>
    </w:p>
    <w:p>
      <w:pPr>
        <w:spacing w:after="0" w:line="97" w:lineRule="exact"/>
        <w:rPr>
          <w:sz w:val="20"/>
          <w:szCs w:val="20"/>
          <w:color w:val="auto"/>
        </w:rPr>
      </w:pPr>
    </w:p>
    <w:p>
      <w:pPr>
        <w:jc w:val="both"/>
        <w:ind w:firstLine="405"/>
        <w:spacing w:after="0" w:line="226" w:lineRule="auto"/>
        <w:rPr>
          <w:sz w:val="20"/>
          <w:szCs w:val="20"/>
          <w:color w:val="auto"/>
        </w:rPr>
      </w:pPr>
      <w:r>
        <w:rPr>
          <w:rFonts w:ascii="Arial" w:cs="Arial" w:eastAsia="Arial" w:hAnsi="Arial"/>
          <w:sz w:val="18"/>
          <w:szCs w:val="18"/>
          <w:color w:val="auto"/>
        </w:rPr>
        <w:t>We assumed contingent consideration obligations of $261 million upon the acquisition of Onyx arising from Onyx's 2009 acquisition of Proteolix, Inc. As of March 31, 2014, there are two separate milestone payments of $150 million each which would be triggered if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receives specified marketing approvals for relapsed multiple myeloma on or before March 31, 2016, by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each of the FDA and the European Medicines Agency. The fair value measurements of these obligations are based on significant unobservable inputs, including the estimated probabilities and timing of achieving the related regulatory approvals, which are reviewed quarterly. Significant changes which increase or decrease the probabilities of receiving regulatory approvals or shorten or lengthen the time required to achieve such approvals would result in corresponding increases or decreases in the fair values of these obligations. We estimate the fair values of contingent obligations to the former shareholders of Proteolix, Inc. by using probability-adjusted discounted cash flows. The estimated aggregate fair value of the contingent consideration obligations increased by $1 million during the three months ended March 31, 2014.</w:t>
      </w:r>
    </w:p>
    <w:p>
      <w:pPr>
        <w:spacing w:after="0" w:line="11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transfers of assets or liabilities between the fair value measurement levels, and there were no material remeasurements to fair value during the three months ended March 31, 2014 and 2013, of assets and liabilities that are not measured at fair value on a recurring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fair value of other financial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equivalents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fair values of cash equivalents approximate their carrying values due to the short-term nature of these financial instruments.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Borrowings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estimated the fair value of our long-term debt (Level 2) by taking into consideration indicative prices obtained from a third-party financial institution that utilizes industry standard valuation models, including both income- and market-based approaches, for which all significant inputs are observable either directly or indirectly. These inputs include reported trades of and broker/dealer quotes on the same or similar securities; credit spreads; benchmark yields; foreign currency exchange rates, as applicable; and other observable inputs. As of March 31, 2014, and December 31, 2013, the aggregate fair values of our long-term debt were $33.8 billion and $33.5 billion, respectively, and the carrying values were $32.0 billion and $32.1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4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is exposed to foreign currency exchange rate and interest rate risks related to its business operations. To reduce our risks related to these exposures, we utilize or have utilized certain derivative instruments, including foreign currency forward, foreign currency option, cross-currency swap, forward interest rate and interest rate swap contracts. We do not use derivatives for speculative trading purposes.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exposed to possible changes in the values of certain anticipated foreign currency cash flows resulting from changes in foreign currency exchange rates, associated primarily with our euro-denominated international product sales. Increases and decreases in the cash flows associated with our international product sales due to movements in foreign currency exchange rates are offset partially by the corresponding increases and decreases in our international operating expenses resulting from these foreign currency exchange rate movements. To further reduce our exposure to foreign currency exchange rate fluctuations on our international product sales, we enter into foreign currency forward and option contracts to hedge a portion of our projected international product sales primarily over a three-year time horizon, with, at any given point in time, a higher percentage of nearer-term projected product sales being hedged than in successive periods. As of March 31, 2014, and December 31, 2013, we had open foreign currency forward contracts with notional amounts of $3.9 billion and $4.0 billion, respectively, and open foreign currency option contracts with notional amounts of $366 million and $516 million, respectively. These foreign currency forward and option contracts, primarily euro based, have been designated as cash flow hedges, and accordingly, the effective portions of the unrealized gains and losses on these contracts are reported in AOCI in the Condensed Consolidated Balance Sheets and reclassified to earnings in the same periods during which the hedged transactions affect earnings.</w:t>
      </w:r>
    </w:p>
    <w:p>
      <w:pPr>
        <w:spacing w:after="0" w:line="10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hedge our exposure to foreign currency exchange rate risk associated with certain of our long-term notes denominated in foreign currencies, we entered into cross-currency swap contracts. Under the terms of these contracts, we paid euros/pounds sterling and received U.S. dollars for the notional amounts at the inception of the contracts, and we exchange interest payments based on these notional amounts at fixed rates over the lives of the contracts in which we pay U.S. dollars and receive euros/pounds sterling. In addition, we will pay U.S. dollars to and receive euros/pounds sterling from the counterparties at the maturities of the contracts for these same notional amounts. The terms of these contracts correspond to the related hedged notes, effectively converting the interest payments and principal repayment on these notes from euros/pounds sterling to U.S. dollars. These cross-currency swap contracts have been designated as cash flow hedges, and accordingly, the effective portions of the unrealized gains and losses on these contracts are reported in AOCI and reclassified to earnings in the same periods during which the hedged debt affects earnings. The notional amounts and interest rates of our cross-currency swaps are as follows (notional amounts in millions):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U.S. dollars</w:t>
            </w:r>
          </w:p>
        </w:tc>
        <w:tc>
          <w:tcPr>
            <w:tcW w:w="152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Hedged notes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7"/>
              </w:rPr>
              <w:t>Interest rate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Interest rate</w:t>
            </w: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2.125% 2019 euro Notes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5.50% 2026 pound sterling Notes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4.00% 2029 pound sterling Notes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 portions of the unrealized gain/(loss) recognized in other comprehensive income for our derivative instruments designated as cash flow hedges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r>
      <w:tr>
        <w:trPr>
          <w:trHeight w:val="203"/>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r>
      <w:tr>
        <w:trPr>
          <w:trHeight w:val="80"/>
        </w:trPr>
        <w:tc>
          <w:tcPr>
            <w:tcW w:w="8460" w:type="dxa"/>
            <w:vAlign w:val="bottom"/>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5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3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locations in the Condensed Consolidated Statements of Income and the effective portions of the gain/(loss) reclassified out of AOCI into earnings for our derivative instruments designated as cash flow hedges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500"/>
              <w:spacing w:after="0"/>
              <w:rPr>
                <w:sz w:val="20"/>
                <w:szCs w:val="20"/>
                <w:color w:val="auto"/>
              </w:rPr>
            </w:pPr>
            <w:r>
              <w:rPr>
                <w:rFonts w:ascii="Arial" w:cs="Arial" w:eastAsia="Arial" w:hAnsi="Arial"/>
                <w:sz w:val="14"/>
                <w:szCs w:val="14"/>
                <w:b w:val="1"/>
                <w:bCs w:val="1"/>
                <w:color w:val="auto"/>
                <w:w w:val="90"/>
              </w:rPr>
              <w:t>Three months ended</w:t>
            </w:r>
          </w:p>
        </w:tc>
        <w:tc>
          <w:tcPr>
            <w:tcW w:w="820" w:type="dxa"/>
            <w:vAlign w:val="bottom"/>
          </w:tcPr>
          <w:p>
            <w:pPr>
              <w:spacing w:after="0"/>
              <w:rPr>
                <w:sz w:val="16"/>
                <w:szCs w:val="16"/>
                <w:color w:val="auto"/>
              </w:rPr>
            </w:pPr>
          </w:p>
        </w:tc>
      </w:tr>
      <w:tr>
        <w:trPr>
          <w:trHeight w:val="203"/>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ind w:left="800"/>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7"/>
                <w:szCs w:val="17"/>
                <w:color w:val="auto"/>
              </w:rPr>
            </w:pPr>
          </w:p>
        </w:tc>
      </w:tr>
      <w:tr>
        <w:trPr>
          <w:trHeight w:val="80"/>
        </w:trPr>
        <w:tc>
          <w:tcPr>
            <w:tcW w:w="4920" w:type="dxa"/>
            <w:vAlign w:val="bottom"/>
            <w:gridSpan w:val="2"/>
          </w:tcPr>
          <w:p>
            <w:pPr>
              <w:spacing w:after="0"/>
              <w:rPr>
                <w:sz w:val="6"/>
                <w:szCs w:val="6"/>
                <w:color w:val="auto"/>
              </w:rPr>
            </w:pPr>
          </w:p>
        </w:tc>
        <w:tc>
          <w:tcPr>
            <w:tcW w:w="3560" w:type="dxa"/>
            <w:vAlign w:val="bottom"/>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5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 of Income location</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Interest and other income, net</w:t>
            </w:r>
          </w:p>
        </w:tc>
        <w:tc>
          <w:tcPr>
            <w:tcW w:w="3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portions of our cash flow hedge contracts are excluded from the assessment of hedge effectiveness, and the gains and losses of the ineffective portions of these hedging instruments were not material for the three months ended March 31, 2014 and 2013. As of March 31, 2014, the amounts expected to be reclassified out of AOCI into earnings over the next 12 months are approximately $39 million of net losses on our foreign currency and cross-currency swap contracts and approximately $1 million of losses on forward interest rate contracts.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To achieve a desired mix of fixed and floating interest rates on our long-term debt, we entered into interest rate swap contracts, which qualified and are designated as fair value hedges. The terms of these interest rate swap contracts correspond to the related hedged debt instruments and effectively converted a fixed interest rate coupon to a floating LIBOR-based coupon over the lives of the respective notes. During the year ended December 31, 2013, we entered into interest rate swap contracts with an aggregate notional amount of $4.4 billion with respect to our 3.45% 2020 Notes, 4.10% 2021 Notes, 3.875% 2021 Notes and 3.625% 2022 Notes. The contracts have rates that range from three-month LIBOR plus 1.1% to three-month LIBOR plus 2.0%.</w:t>
      </w:r>
    </w:p>
    <w:p>
      <w:pPr>
        <w:spacing w:after="0" w:line="7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derivative instruments that are designated and qualify as fair value hedges, the unrealized gain or loss on the derivative resulting from the change in fair value during the period as well as the offsetting unrealized loss or gain of the hedged item resulting from the change in fair value during the period attributable to the hedged risk is recognized in current earnings. For the three months ended March 31, 2014 and 2013, we included the unrealized losses on the hedged debt of $62 million and $22 million, respectively, in the same line item, Interest expense, net, in the Condensed Consolidated Statements of Income, as the offsetting unrealized gains of $62 million and $22 million, respectively, on the related interest rate swap agreements.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enter into foreign currency forward contracts that are not designated as hedging transactions to reduce our exposure to foreign currency fluctuations of certain assets and liabilities denominated in foreign currencies. These exposures are hedged on a month-to-month basis. As of March 31, 2014, and December 31, 2013, the total notional amounts of these foreign currency forward contracts were $977 million and $999 million,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9" w:right="239" w:bottom="1440" w:gutter="0" w:footer="0" w:header="0"/>
        </w:sectPr>
      </w:pPr>
    </w:p>
    <w:bookmarkStart w:id="20" w:name="page21"/>
    <w:bookmarkEnd w:id="20"/>
    <w:p>
      <w:pPr>
        <w:jc w:val="both"/>
        <w:ind w:firstLine="405"/>
        <w:spacing w:after="0" w:line="277" w:lineRule="auto"/>
        <w:rPr>
          <w:sz w:val="20"/>
          <w:szCs w:val="20"/>
          <w:color w:val="auto"/>
        </w:rPr>
      </w:pPr>
      <w:r>
        <w:rPr>
          <w:rFonts w:ascii="Arial" w:cs="Arial" w:eastAsia="Arial" w:hAnsi="Arial"/>
          <w:sz w:val="18"/>
          <w:szCs w:val="18"/>
          <w:color w:val="auto"/>
        </w:rPr>
        <w:t>The location in the Condensed Consolidated Statements of Income and the amount of gain/(loss) recognized in earnings for our derivative instruments not designated as hedging instruments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Pr>
          <w:p>
            <w:pPr>
              <w:spacing w:after="0"/>
              <w:rPr>
                <w:sz w:val="17"/>
                <w:szCs w:val="17"/>
                <w:color w:val="auto"/>
              </w:rPr>
            </w:pPr>
          </w:p>
        </w:tc>
      </w:tr>
      <w:tr>
        <w:trPr>
          <w:trHeight w:val="80"/>
        </w:trPr>
        <w:tc>
          <w:tcPr>
            <w:tcW w:w="4580" w:type="dxa"/>
            <w:vAlign w:val="bottom"/>
            <w:gridSpan w:val="2"/>
          </w:tcPr>
          <w:p>
            <w:pPr>
              <w:spacing w:after="0"/>
              <w:rPr>
                <w:sz w:val="6"/>
                <w:szCs w:val="6"/>
                <w:color w:val="auto"/>
              </w:rPr>
            </w:pPr>
          </w:p>
        </w:tc>
        <w:tc>
          <w:tcPr>
            <w:tcW w:w="3780" w:type="dxa"/>
            <w:vAlign w:val="bottom"/>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tcBorders>
              <w:bottom w:val="single" w:sz="8" w:color="CCEEFF"/>
            </w:tcBorders>
          </w:tcPr>
          <w:p>
            <w:pPr>
              <w:spacing w:after="0"/>
              <w:rPr>
                <w:sz w:val="22"/>
                <w:szCs w:val="22"/>
                <w:color w:val="auto"/>
              </w:rPr>
            </w:pP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 of Income location</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2013</w:t>
            </w:r>
          </w:p>
        </w:tc>
      </w:tr>
      <w:tr>
        <w:trPr>
          <w:trHeight w:val="263"/>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income, net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derivatives included in the Condensed Consolidated Balance Sheets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w w:val="94"/>
              </w:rPr>
              <w:t>Derivative assets</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6"/>
              </w:rPr>
              <w:t>Derivative liabilities</w:t>
            </w:r>
          </w:p>
        </w:tc>
        <w:tc>
          <w:tcPr>
            <w:tcW w:w="920" w:type="dxa"/>
            <w:vAlign w:val="bottom"/>
            <w:tcBorders>
              <w:bottom w:val="single" w:sz="8" w:color="auto"/>
            </w:tcBorders>
          </w:tcPr>
          <w:p>
            <w:pPr>
              <w:spacing w:after="0"/>
              <w:rPr>
                <w:sz w:val="16"/>
                <w:szCs w:val="16"/>
                <w:color w:val="auto"/>
              </w:rPr>
            </w:pP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04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22"/>
                <w:szCs w:val="22"/>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Fair value</w:t>
            </w:r>
          </w:p>
        </w:tc>
      </w:tr>
      <w:tr>
        <w:trPr>
          <w:trHeight w:val="190"/>
        </w:trPr>
        <w:tc>
          <w:tcPr>
            <w:tcW w:w="45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Other noncurrent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Other noncurrent assets</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Other noncurrent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Other noncurrent assets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Other noncurrent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Other noncurrent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r>
      <w:tr>
        <w:trPr>
          <w:trHeight w:val="171"/>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93"/>
        </w:trPr>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8"/>
                <w:szCs w:val="18"/>
                <w:color w:val="auto"/>
                <w:w w:val="98"/>
              </w:rPr>
              <w:t>Total derivatives not designated as hedging instruments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Derivative assets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Derivative liabilities</w:t>
            </w:r>
          </w:p>
        </w:tc>
        <w:tc>
          <w:tcPr>
            <w:tcW w:w="920" w:type="dxa"/>
            <w:vAlign w:val="bottom"/>
            <w:tcBorders>
              <w:bottom w:val="single" w:sz="8" w:color="auto"/>
            </w:tcBorders>
          </w:tcPr>
          <w:p>
            <w:pPr>
              <w:spacing w:after="0"/>
              <w:rPr>
                <w:sz w:val="24"/>
                <w:szCs w:val="24"/>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Fair value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Fair value</w:t>
            </w:r>
          </w:p>
        </w:tc>
      </w:tr>
      <w:tr>
        <w:trPr>
          <w:trHeight w:val="19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80" w:type="dxa"/>
            <w:vAlign w:val="bottom"/>
            <w:gridSpan w:val="3"/>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140" w:type="dxa"/>
            <w:vAlign w:val="bottom"/>
            <w:gridSpan w:val="3"/>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280" w:type="dxa"/>
            <w:vAlign w:val="bottom"/>
            <w:gridSpan w:val="4"/>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Accrued liabilities/ Other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0"/>
              <w:spacing w:after="0"/>
              <w:rPr>
                <w:sz w:val="20"/>
                <w:szCs w:val="20"/>
                <w:color w:val="auto"/>
              </w:rPr>
            </w:pPr>
            <w:r>
              <w:rPr>
                <w:rFonts w:ascii="Arial" w:cs="Arial" w:eastAsia="Arial" w:hAnsi="Arial"/>
                <w:sz w:val="18"/>
                <w:szCs w:val="18"/>
                <w:color w:val="auto"/>
              </w:rPr>
              <w:t>noncurrent assets</w:t>
            </w: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noncurrent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3"/>
              </w:rPr>
              <w:t>Accrued liabilities/ Other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noncurrent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280" w:type="dxa"/>
            <w:vAlign w:val="bottom"/>
            <w:gridSpan w:val="4"/>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Accrued liabilities/ Other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0"/>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noncurrent liabilities</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161</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r>
      <w:tr>
        <w:trPr>
          <w:trHeight w:val="171"/>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93"/>
        </w:trPr>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8"/>
                <w:szCs w:val="18"/>
                <w:color w:val="auto"/>
                <w:w w:val="98"/>
              </w:rPr>
              <w:t>Total derivatives not designated as hedging instruments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contracts that were in liability positions as of March 31, 2014,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1" w:name="page22"/>
    <w:bookmarkEnd w:id="21"/>
    <w:p>
      <w:pPr>
        <w:jc w:val="both"/>
        <w:ind w:right="20"/>
        <w:spacing w:after="0" w:line="308" w:lineRule="auto"/>
        <w:rPr>
          <w:sz w:val="20"/>
          <w:szCs w:val="20"/>
          <w:color w:val="auto"/>
        </w:rPr>
      </w:pPr>
      <w:r>
        <w:rPr>
          <w:rFonts w:ascii="Arial" w:cs="Arial" w:eastAsia="Arial" w:hAnsi="Arial"/>
          <w:sz w:val="17"/>
          <w:szCs w:val="17"/>
          <w:color w:val="auto"/>
        </w:rPr>
        <w:t>derivative contracts are not subject to any type of master netting arrangement, and amounts due to or from a counterparty under these contracts may only be offset against other amounts due to or from the same counterparty if an event of default or termination, as defined, were to occur.</w:t>
      </w:r>
    </w:p>
    <w:p>
      <w:pPr>
        <w:spacing w:after="0" w:line="6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cash flow effects of our derivatives contracts for the three months ended March 31, 2014 and 2013, are included within Net cash provided by operating activities in the Condensed Consolidated Statements of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 and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the ordinary course of business, we are involved in various legal proceedings and other matters, including those discussed in this Note, that are complex in nature and have outcomes that are difficult to predict. See Note 18, Contingencies and commitments to our consolidated financial statements in our Annual Report on Form 10-K for the year ended December 31, 2013, for further discussion of certain of our legal proceedings and other matters.</w:t>
      </w:r>
    </w:p>
    <w:p>
      <w:pPr>
        <w:spacing w:after="0" w:line="6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legal proceedings range from cases brought by a single plaintiff to class actions with thousands of putative class members. These legal proceedings, as well as other matters, involve various aspects of our business and a variety of claims (including but not limited to patent infringement, marketing, pricing and trade practices and securities law), some of which present novel factual allegations and/or unique legal theories. In each of the matters described in this filing or in Note 18, Contingencies and commitments to our consolidated financial statements in our Annual Report on Form 10-K for the year ended December 31, 2013, plaintiffs seek an award of a not-yet-quantified amount of damages or an amount that is not material. In addition, a number of the matters pending against us are at very early stages of the legal process (which in complex proceedings of the sort faced by us often extend for several years). As a result, none of the matters described in this filing have progressed sufficiently through discovery and/or development of important factual information and legal issues to enable us to estimate a range of possible loss, if any, or such amounts are not material. 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recent developments concerning our legal proceedings and other matters are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Onyx Litigation</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March 21, 2014, plaintiff Phil Rosen filed a motion seeking to certify a class and to be designated class representative in this consolidated class action matter pending against the former members of the board of directors of Onyx in which the plaintiffs allege, among other things, that the Onyx director defendants breached their fiduciary duties to Onyx shareholders in connection with the sale of Onyx to Amgen.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Litigation - In re Amgen Inc. Securities Litigation</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On April 14, 2014, the U.S. District Court for the Central District of California entered an order allowing plaintiffs leave to file a second consolidated amended class action complaint in this securities class action lawsuit. While the new complaint was filed under seal, like the first consolidated class action complaint the new complaint alleges that Amgen and certain of its officers and directors (the Federal Defendants) made false statements that resulted in: (i) deceiving the investing public regarding Amgen's prospects and business; (ii) artificially inflating the prices of Amgen's publicly traded securities and (iii) causing plaintiff and other members of the class to purchase Amgen publicly traded securities at inflated prices. In addition, like the first consolidated class action complaint, the new complaint makes off-label marketing allegations that, throughout the class period, the Federal Defendants improperly marketed Aranesp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(darbepoetin alfa) and EPOGEN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(epoetin alfa) for off-label uses while aware that there were alleged safety signals with these products. The named defendants have not changed and the alleged class period remains the same. Plaintiffs continue to seek compensatory damages, legal fees and other relief deemed proper.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April 1, 2014, we entered into a Termination and Transition Agreement (the Transition Agreement) with Glaxo Group Limited (Glaxo) which terminated, in part, and amended, in part, our agreement with Glaxo (the Collaboration Agreement) for the commercialization of denosumab for osteoporosis indications in certain geographic territories, including the EU, Switzerland, Australia, Norway, Russia and Mexico. The Transition Agreement terminates the Collaboration Agreement for all countries and regions, except for Australia. All commercial activities assigned to Glaxo under the Collaboration Agreement other than those in Australia will be transitioned back to us no later than December 31, 2014. In exchange for the early termination (except Australia) of the Collaboration Agreement, we will make payments to Glaxo totaling $275 million.</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Transition Agreement does not change the terms of the related Expansion Agreement under which Glaxo will commercialize denosumab for all indications in certain other geographic territories.</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evaluated whether the Transition Agreement should be accounted for as a business combination and concluded that the agreement represents the reacquisition of a previously shared economic interest, which qualifies as an asset acquisition.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3" w:name="page24"/>
    <w:bookmarkEnd w:id="23"/>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This report and other documents we file with the U.S. Securities and Exchange Commission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involve certain risks, uncertainties and assumptions that are difficult to predict. We describe our respective risks, uncertainties and assumptions that could affect the outcome or results of operations in Part I, Item 1A, of our Annual Report on Form 10-K for the fiscal year ended December 31, 2013.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Reference is made in particular to forward-looking statements regarding product sales, regulatory activities, clinical trial results, reimbursement, expenses, EPS, liquidity and capital resources, trends and planned dividends and stock repurchases.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assist the reader in understanding Amgen’s business. MD&amp;A is provided as a supplement to, and should be read in conjunction with, our Annual Report on Form 10-K for the year ended December 31, 2013. Our results of operations discussed in MD&amp;A are presented in conformity with GAAP.</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Amgen focuses on areas of high unmet medical need and leverages its biologics manufacturing expertise to strive for solutions that improve health outcomes and dramatically improve people’s lives. A biotechnology pioneer since 1980, Amgen has grown to be the world’s largest independent biotechnology company, has reached millions of patients around the world and is developing a pipeline of medicines with breakaway potential. Amgen operates in one business segment: human therapeutics. Therefore, our results of operations are discussed on a consolidated basis.</w:t>
      </w:r>
    </w:p>
    <w:p>
      <w:pPr>
        <w:spacing w:after="0" w:line="90"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8"/>
          <w:szCs w:val="18"/>
          <w:color w:val="auto"/>
        </w:rPr>
        <w:t>Currently, we market primarily recombinant protein therapeutics for supportive cancer care, inflammation, nephrology and bone disease. Our principal products are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(pegfilgrastim), 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(filgrastim), Enbrel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(etanercept),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(denosumab),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(denosumab),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(cinacalcet) and our erythropoiesis-stimulating agents: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(darbepoetin alfa) and 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(epoetin alfa). Our product sales outside the United States consist principally of sales in Europe. For the three months ended March 31, 2014 and 2013, our principal products represented 93% and 94% of worldwide product sales, respectively. We market several other products including 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(panitumumab), 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(romiplostim) and, through our wholly owned subsidiary Onyx,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(carfilzomib).</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Significant developments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is a summary of selected significant developments affecting our business that have occurred since December 31, 2013. For additional developments or for a more comprehensive discussion of certain developments discussed below, see our Annual Report on Form 10-K for the year ended December 31, 2013.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Evolocumab</w:t>
      </w:r>
    </w:p>
    <w:p>
      <w:pPr>
        <w:spacing w:after="0" w:line="144" w:lineRule="exact"/>
        <w:rPr>
          <w:sz w:val="20"/>
          <w:szCs w:val="20"/>
          <w:color w:val="auto"/>
        </w:rPr>
      </w:pPr>
    </w:p>
    <w:p>
      <w:pPr>
        <w:jc w:val="both"/>
        <w:ind w:left="660" w:hanging="166"/>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March 2014, we announced that the phase 3 TESLA (Trial Evaluating PCSK9 Antibody in Subjects with LDL Receptor Abnormalities) trial evaluating evolocumab met its primary endpoint of the percent reduction from baseline at week 12 in low-density lipoprotein cholesterol (LDL-C). The percent reduction in LDL-C, or "bad" cholesterol, was clinically meaningful and statistically significant.</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Talimogene Laherparepvec</w:t>
      </w:r>
    </w:p>
    <w:p>
      <w:pPr>
        <w:spacing w:after="0" w:line="144" w:lineRule="exact"/>
        <w:rPr>
          <w:sz w:val="20"/>
          <w:szCs w:val="20"/>
          <w:color w:val="auto"/>
        </w:rPr>
      </w:pPr>
    </w:p>
    <w:p>
      <w:pPr>
        <w:jc w:val="both"/>
        <w:ind w:left="660" w:hanging="166"/>
        <w:spacing w:after="0" w:line="29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April 2014, we announced top-line results from the primary OS analysis of a phase 3 trial in melanoma, which evaluated the efficacy and safety of talimogene laherparepvec for the treatment of unresected stage IIIB, IIIC or IV melanoma compared to treatment with subcutaneous granulocyte-macrophage colony-stimulating factor. Results showed that, while the primary end point of durable response rate was met (as previously reported), the secondary endpoint of OS was not met, although there was a strong trend in favor of talimogene laherparepvec (p=0.051). The estimated OS hazard ratio and improvement in median OS were similar to what was previously reported at the interim OS analysis.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Brodalumab</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In April 2014, we announced the recent initiation of two phase 3 studies in patients with psoriatic arthritis.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Blinatumomab</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In April 2014, we announced that a confirmatory phase 2 study in relapsed/refractory ALL had completed.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an overview of our results of operations (in millions, except percentages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6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676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67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U.S.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3,172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the world (ROW)</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product sales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7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The increase in global product sales for the three months ended March 31, 2014, was driven by the addition of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 a result of the Onyx acquisition on October 1, 2013 and XGEVA</w:t>
      </w:r>
      <w:r>
        <w:rPr>
          <w:rFonts w:ascii="Arial" w:cs="Arial" w:eastAsia="Arial" w:hAnsi="Arial"/>
          <w:sz w:val="25"/>
          <w:szCs w:val="25"/>
          <w:color w:val="auto"/>
          <w:vertAlign w:val="superscript"/>
        </w:rPr>
        <w:t>®</w:t>
      </w:r>
      <w:r>
        <w:rPr>
          <w:rFonts w:ascii="Arial" w:cs="Arial" w:eastAsia="Arial" w:hAnsi="Arial"/>
          <w:sz w:val="18"/>
          <w:szCs w:val="18"/>
          <w:color w:val="auto"/>
        </w:rPr>
        <w:t>,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Neulasta</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23" w:lineRule="exact"/>
        <w:rPr>
          <w:sz w:val="20"/>
          <w:szCs w:val="20"/>
          <w:color w:val="auto"/>
        </w:rPr>
      </w:pPr>
    </w:p>
    <w:p>
      <w:pPr>
        <w:jc w:val="both"/>
        <w:ind w:firstLine="405"/>
        <w:spacing w:after="0" w:line="186" w:lineRule="auto"/>
        <w:rPr>
          <w:sz w:val="20"/>
          <w:szCs w:val="20"/>
          <w:color w:val="auto"/>
        </w:rPr>
      </w:pPr>
      <w:r>
        <w:rPr>
          <w:rFonts w:ascii="Arial" w:cs="Arial" w:eastAsia="Arial" w:hAnsi="Arial"/>
          <w:sz w:val="18"/>
          <w:szCs w:val="18"/>
          <w:color w:val="auto"/>
        </w:rPr>
        <w:t>The increase in other revenues for the three months ended March 31, 2014, was due primarily to our Nexavar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collaboration revenues and Stivarga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royalties as a result of the Onyx acquisition.</w:t>
      </w:r>
    </w:p>
    <w:p>
      <w:pPr>
        <w:spacing w:after="0" w:line="12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operating expenses for the three months ended March 31, 2014, was driven primarily by Cost of sales as a result of acquisition-related expenses, including amortization of the acquired developed product technology rights.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decreases in net income and diluted EPS were due primarily to favorable tax items in the three months ended March 31,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product sales were as follows (dollar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6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688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68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6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1,379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ENBREL</w:t>
            </w:r>
          </w:p>
        </w:tc>
        <w:tc>
          <w:tcPr>
            <w:tcW w:w="9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880" w:type="dxa"/>
            <w:vAlign w:val="bottom"/>
          </w:tcPr>
          <w:p>
            <w:pPr>
              <w:ind w:left="40"/>
              <w:spacing w:after="0" w:line="270" w:lineRule="exact"/>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p>
        </w:tc>
        <w:tc>
          <w:tcPr>
            <w:tcW w:w="9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0"/>
        </w:trPr>
        <w:tc>
          <w:tcPr>
            <w:tcW w:w="6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70"/>
        </w:trPr>
        <w:tc>
          <w:tcPr>
            <w:tcW w:w="6880" w:type="dxa"/>
            <w:vAlign w:val="bottom"/>
          </w:tcPr>
          <w:p>
            <w:pPr>
              <w:ind w:left="40"/>
              <w:spacing w:after="0" w:line="270"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p>
        </w:tc>
        <w:tc>
          <w:tcPr>
            <w:tcW w:w="9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70"/>
        </w:trPr>
        <w:tc>
          <w:tcPr>
            <w:tcW w:w="6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 products</w:t>
            </w:r>
          </w:p>
        </w:tc>
        <w:tc>
          <w:tcPr>
            <w:tcW w:w="9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6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product sales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4,356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4,151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6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Future sales of our products are influenced by a number of factors, some of which may impact sales of certain of our products more significantly than others. Such factors are discussed below and in the Overview, Item 1. Business — Marketing, Distribution and Selected Marketed Products, Item 1A. Risk Factors and Item 7 — Product Sales in our Annual Report on Form 10-K for the year ended December 31, 2013.</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/NEUPOGEN</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70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70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 U.S.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70"/>
        </w:trPr>
        <w:tc>
          <w:tcPr>
            <w:tcW w:w="7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 ROW</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r>
      <w:tr>
        <w:trPr>
          <w:trHeight w:val="264"/>
        </w:trPr>
        <w:tc>
          <w:tcPr>
            <w:tcW w:w="700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64"/>
        </w:trPr>
        <w:tc>
          <w:tcPr>
            <w:tcW w:w="7000" w:type="dxa"/>
            <w:vAlign w:val="bottom"/>
          </w:tcPr>
          <w:p>
            <w:pPr>
              <w:ind w:left="40"/>
              <w:spacing w:after="0" w:line="264" w:lineRule="exact"/>
              <w:rPr>
                <w:sz w:val="20"/>
                <w:szCs w:val="20"/>
                <w:color w:val="auto"/>
              </w:rPr>
            </w:pP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U.S.</w:t>
            </w:r>
          </w:p>
        </w:tc>
        <w:tc>
          <w:tcPr>
            <w:tcW w:w="3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ROW</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64"/>
        </w:trPr>
        <w:tc>
          <w:tcPr>
            <w:tcW w:w="700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 NEUPOGEN</w:t>
            </w:r>
            <w:r>
              <w:rPr>
                <w:rFonts w:ascii="Arial" w:cs="Arial" w:eastAsia="Arial" w:hAnsi="Arial"/>
                <w:sz w:val="25"/>
                <w:szCs w:val="25"/>
                <w:color w:val="auto"/>
                <w:vertAlign w:val="superscript"/>
              </w:rPr>
              <w: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70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ROW Neulasta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NEUPOGEN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included sales in new markets as a result of reacquiring rights to filgrastim and pegfilgrastim effective January 1,</w:t>
      </w:r>
    </w:p>
    <w:p>
      <w:pPr>
        <w:spacing w:after="0"/>
        <w:rPr>
          <w:sz w:val="20"/>
          <w:szCs w:val="20"/>
          <w:color w:val="auto"/>
        </w:rPr>
      </w:pPr>
      <w:r>
        <w:rPr>
          <w:rFonts w:ascii="Arial" w:cs="Arial" w:eastAsia="Arial" w:hAnsi="Arial"/>
          <w:sz w:val="18"/>
          <w:szCs w:val="18"/>
          <w:color w:val="auto"/>
        </w:rPr>
        <w:t>2014.</w:t>
      </w:r>
    </w:p>
    <w:p>
      <w:pPr>
        <w:spacing w:after="0" w:line="128"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The increase in global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2014, was driven mainly by an increase in the average net sales price in the United States, offset partially by lower wholesaler inventory.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global NEUPOGEN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sales for the three months ended March 31, 2014, was driven by a decrease in unit demand in the United States.</w:t>
      </w:r>
    </w:p>
    <w:p>
      <w:pPr>
        <w:spacing w:after="0" w:line="98" w:lineRule="exact"/>
        <w:rPr>
          <w:sz w:val="20"/>
          <w:szCs w:val="20"/>
          <w:color w:val="auto"/>
        </w:rPr>
      </w:pPr>
    </w:p>
    <w:p>
      <w:pPr>
        <w:jc w:val="both"/>
        <w:ind w:firstLine="405"/>
        <w:spacing w:after="0" w:line="211" w:lineRule="auto"/>
        <w:rPr>
          <w:sz w:val="20"/>
          <w:szCs w:val="20"/>
          <w:color w:val="auto"/>
        </w:rPr>
      </w:pPr>
      <w:r>
        <w:rPr>
          <w:rFonts w:ascii="Arial" w:cs="Arial" w:eastAsia="Arial" w:hAnsi="Arial"/>
          <w:sz w:val="18"/>
          <w:szCs w:val="18"/>
          <w:color w:val="auto"/>
        </w:rPr>
        <w:t>Our material U.S. patents for filgrastim (NEUPOGEN</w:t>
      </w:r>
      <w:r>
        <w:rPr>
          <w:rFonts w:ascii="Arial" w:cs="Arial" w:eastAsia="Arial" w:hAnsi="Arial"/>
          <w:sz w:val="25"/>
          <w:szCs w:val="25"/>
          <w:color w:val="auto"/>
          <w:vertAlign w:val="superscript"/>
        </w:rPr>
        <w:t>®</w:t>
      </w:r>
      <w:r>
        <w:rPr>
          <w:rFonts w:ascii="Arial" w:cs="Arial" w:eastAsia="Arial" w:hAnsi="Arial"/>
          <w:sz w:val="18"/>
          <w:szCs w:val="18"/>
          <w:color w:val="auto"/>
        </w:rPr>
        <w:t>) expired in December 2013. We now face competition in the United States, which may have a material adverse impact over time on future sales of 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to a lesser extent, Neulasta</w:t>
      </w:r>
      <w:r>
        <w:rPr>
          <w:rFonts w:ascii="Arial" w:cs="Arial" w:eastAsia="Arial" w:hAnsi="Arial"/>
          <w:sz w:val="25"/>
          <w:szCs w:val="25"/>
          <w:color w:val="auto"/>
          <w:vertAlign w:val="superscript"/>
        </w:rPr>
        <w:t>®</w:t>
      </w:r>
      <w:r>
        <w:rPr>
          <w:rFonts w:ascii="Arial" w:cs="Arial" w:eastAsia="Arial" w:hAnsi="Arial"/>
          <w:sz w:val="18"/>
          <w:szCs w:val="18"/>
          <w:color w:val="auto"/>
        </w:rPr>
        <w:t>. Our outstanding material U.S. patent for pegfilgrastim (Neulasta</w:t>
      </w:r>
      <w:r>
        <w:rPr>
          <w:rFonts w:ascii="Arial" w:cs="Arial" w:eastAsia="Arial" w:hAnsi="Arial"/>
          <w:sz w:val="25"/>
          <w:szCs w:val="25"/>
          <w:color w:val="auto"/>
          <w:vertAlign w:val="superscript"/>
        </w:rPr>
        <w:t>®</w:t>
      </w:r>
      <w:r>
        <w:rPr>
          <w:rFonts w:ascii="Arial" w:cs="Arial" w:eastAsia="Arial" w:hAnsi="Arial"/>
          <w:sz w:val="18"/>
          <w:szCs w:val="18"/>
          <w:color w:val="auto"/>
        </w:rPr>
        <w:t>) expires in 2015.</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i w:val="1"/>
          <w:iCs w:val="1"/>
          <w:color w:val="auto"/>
        </w:rPr>
        <w:t>ENBREL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ENBREL sales by geographic region were as follows (dollar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620" w:type="dxa"/>
            <w:vAlign w:val="bottom"/>
            <w:gridSpan w:val="5"/>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73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73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ENBREL — U.S.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ENBREL — Canada</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ENBREL</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988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1,039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ENBREL sales for the three months ended March 31, 2014, was driven primarily by a decline in unit demand, which included a larger draw-down in end-customer inventory compared to the first quarter of the prior year.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1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73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73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177</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70"/>
        </w:trPr>
        <w:tc>
          <w:tcPr>
            <w:tcW w:w="7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283</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300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732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Aranesp</w:t>
            </w:r>
            <w:r>
              <w:rPr>
                <w:rFonts w:ascii="Arial" w:cs="Arial" w:eastAsia="Arial" w:hAnsi="Arial"/>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468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global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2014, was driven primarily by a decline in unit demand.</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EPOGEN</w:t>
      </w:r>
      <w:r>
        <w:rPr>
          <w:rFonts w:ascii="Arial" w:cs="Arial" w:eastAsia="Arial" w:hAnsi="Arial"/>
          <w:sz w:val="25"/>
          <w:szCs w:val="25"/>
          <w:i w:val="1"/>
          <w:iCs w:val="1"/>
          <w:color w:val="auto"/>
          <w:vertAlign w:val="superscript"/>
        </w:rPr>
        <w:t>®</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6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2014, increased 6%.</w:t>
      </w:r>
    </w:p>
    <w:p>
      <w:pPr>
        <w:spacing w:after="0" w:line="41" w:lineRule="exact"/>
        <w:rPr>
          <w:sz w:val="20"/>
          <w:szCs w:val="20"/>
          <w:color w:val="auto"/>
        </w:rPr>
      </w:pPr>
    </w:p>
    <w:p>
      <w:pPr>
        <w:jc w:val="both"/>
        <w:ind w:firstLine="405"/>
        <w:spacing w:after="0" w:line="201" w:lineRule="auto"/>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face competition from the launch of MIRCERA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the United States. Pursuant to a December 2009 settlement agreement between Amgen and Roche, Roche is allowed to begin selling MIRCERA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the United States in mid-2014 under terms of a limited license agreement.</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XGEVA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and Prolia</w:t>
      </w:r>
      <w:r>
        <w:rPr>
          <w:rFonts w:ascii="Arial" w:cs="Arial" w:eastAsia="Arial" w:hAnsi="Arial"/>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total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200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76%</w:t>
            </w:r>
          </w:p>
        </w:tc>
      </w:tr>
      <w:tr>
        <w:trPr>
          <w:trHeight w:val="264"/>
        </w:trPr>
        <w:tc>
          <w:tcPr>
            <w:tcW w:w="7360" w:type="dxa"/>
            <w:vAlign w:val="bottom"/>
            <w:shd w:val="clear" w:color="auto" w:fill="CCEEFF"/>
          </w:tcPr>
          <w:p>
            <w:pPr>
              <w:ind w:left="520"/>
              <w:spacing w:after="0" w:line="264" w:lineRule="exact"/>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p>
        </w:tc>
        <w:tc>
          <w:tcPr>
            <w:tcW w:w="8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279</w:t>
            </w:r>
          </w:p>
        </w:tc>
        <w:tc>
          <w:tcPr>
            <w:tcW w:w="12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7360" w:type="dxa"/>
            <w:vAlign w:val="bottom"/>
          </w:tcPr>
          <w:p>
            <w:pPr>
              <w:ind w:left="40"/>
              <w:spacing w:after="0" w:line="264"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40" w:type="dxa"/>
            <w:vAlign w:val="bottom"/>
          </w:tcPr>
          <w:p>
            <w:pPr>
              <w:spacing w:after="0"/>
              <w:rPr>
                <w:sz w:val="22"/>
                <w:szCs w:val="22"/>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119</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7360" w:type="dxa"/>
            <w:vAlign w:val="bottom"/>
            <w:tcBorders>
              <w:bottom w:val="single" w:sz="8" w:color="CCEEFF"/>
            </w:tcBorders>
          </w:tcPr>
          <w:p>
            <w:pPr>
              <w:ind w:left="520"/>
              <w:spacing w:after="0" w:line="264" w:lineRule="exact"/>
              <w:rPr>
                <w:sz w:val="20"/>
                <w:szCs w:val="20"/>
                <w:color w:val="auto"/>
              </w:rPr>
            </w:pPr>
            <w:r>
              <w:rPr>
                <w:rFonts w:ascii="Arial" w:cs="Arial" w:eastAsia="Arial" w:hAnsi="Arial"/>
                <w:sz w:val="18"/>
                <w:szCs w:val="18"/>
                <w:color w:val="auto"/>
              </w:rPr>
              <w:t>Total Prolia</w:t>
            </w:r>
            <w:r>
              <w:rPr>
                <w:rFonts w:ascii="Arial" w:cs="Arial" w:eastAsia="Arial" w:hAnsi="Arial"/>
                <w:sz w:val="25"/>
                <w:szCs w:val="25"/>
                <w:color w:val="auto"/>
                <w:vertAlign w:val="superscript"/>
              </w:rPr>
              <w:t>®</w:t>
            </w: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196</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142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73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r>
              <w:rPr>
                <w:rFonts w:ascii="Arial" w:cs="Arial" w:eastAsia="Arial" w:hAnsi="Arial"/>
                <w:sz w:val="18"/>
                <w:szCs w:val="18"/>
                <w:color w:val="auto"/>
              </w:rPr>
              <w:t>/Prolia</w:t>
            </w:r>
            <w:r>
              <w:rPr>
                <w:rFonts w:ascii="Arial" w:cs="Arial" w:eastAsia="Arial" w:hAnsi="Arial"/>
                <w:sz w:val="25"/>
                <w:szCs w:val="25"/>
                <w:color w:val="auto"/>
                <w:vertAlign w:val="superscript"/>
              </w:rPr>
              <w: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increases in global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2014, were driven by increases in unit demand.</w:t>
      </w:r>
    </w:p>
    <w:p>
      <w:pPr>
        <w:sectPr>
          <w:pgSz w:w="11900" w:h="16838" w:orient="portrait"/>
          <w:cols w:equalWidth="0" w:num="1">
            <w:col w:w="11420"/>
          </w:cols>
          <w:pgMar w:left="240" w:top="368"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8" w:right="239" w:bottom="1440" w:gutter="0" w:footer="0" w:header="0"/>
          <w:type w:val="continuous"/>
        </w:sectPr>
      </w:pPr>
    </w:p>
    <w:bookmarkStart w:id="27" w:name="page28"/>
    <w:bookmarkEnd w:id="27"/>
    <w:p>
      <w:pPr>
        <w:ind w:left="42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/Mimpara</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1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73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73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178</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r>
      <w:tr>
        <w:trPr>
          <w:trHeight w:val="264"/>
        </w:trPr>
        <w:tc>
          <w:tcPr>
            <w:tcW w:w="732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7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7"/>
          <w:szCs w:val="17"/>
          <w:color w:val="auto"/>
        </w:rPr>
        <w:t>The increase in global Sensipar</w:t>
      </w:r>
      <w:r>
        <w:rPr>
          <w:rFonts w:ascii="Arial" w:cs="Arial" w:eastAsia="Arial" w:hAnsi="Arial"/>
          <w:sz w:val="24"/>
          <w:szCs w:val="24"/>
          <w:color w:val="auto"/>
          <w:vertAlign w:val="superscript"/>
        </w:rPr>
        <w:t>®</w:t>
      </w:r>
      <w:r>
        <w:rPr>
          <w:rFonts w:ascii="Arial" w:cs="Arial" w:eastAsia="Arial" w:hAnsi="Arial"/>
          <w:sz w:val="17"/>
          <w:szCs w:val="17"/>
          <w:color w:val="auto"/>
        </w:rPr>
        <w:t>/Mimpara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sales for the three months ended March 31, 2014, was driven primarily by an increase in unit demand and an increase in the average net sales price in the United States, offset partially by a favorable change in accounting estimates in the prior year.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products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product sales by geographic region were as follows (dollar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3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color w:val="auto"/>
              </w:rPr>
              <w:t>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color w:val="auto"/>
              </w:rPr>
              <w:t>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color w:val="auto"/>
              </w:rPr>
              <w:t>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 ROW</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7"/>
        </w:trPr>
        <w:tc>
          <w:tcPr>
            <w:tcW w:w="7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other products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Total U.S. — other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ROW — other products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products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i w:val="1"/>
                <w:iCs w:val="1"/>
                <w:color w:val="auto"/>
              </w:rPr>
              <w:t>Operating expenses</w:t>
            </w: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ind w:left="420"/>
              <w:spacing w:after="0"/>
              <w:rPr>
                <w:sz w:val="20"/>
                <w:szCs w:val="20"/>
                <w:color w:val="auto"/>
              </w:rPr>
            </w:pPr>
            <w:r>
              <w:rPr>
                <w:rFonts w:ascii="Arial" w:cs="Arial" w:eastAsia="Arial" w:hAnsi="Arial"/>
                <w:sz w:val="18"/>
                <w:szCs w:val="18"/>
                <w:color w:val="auto"/>
              </w:rPr>
              <w:t>Operating expenses were as follows (dollar amounts in millions):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Cost of sales increased to 25.0% of product sales for the three months ended March 31, 2014, driven by acquisition-related expenses that included $219 million of non-cash amortization of intangible assets acquired in the Onyx acquisition and a $99-million charge related to the termination of the supply contract with Roche as a result of acquiring the licenses to filgrastim and pegfilgrastim effective January 1, 2014.</w:t>
      </w:r>
    </w:p>
    <w:p>
      <w:pPr>
        <w:sectPr>
          <w:pgSz w:w="11900" w:h="16838" w:orient="portrait"/>
          <w:cols w:equalWidth="0" w:num="1">
            <w:col w:w="11420"/>
          </w:cols>
          <w:pgMar w:left="240" w:top="368"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8" w:right="239" w:bottom="1440" w:gutter="0" w:footer="0" w:header="0"/>
          <w:type w:val="continuous"/>
        </w:sectPr>
      </w:pPr>
    </w:p>
    <w:bookmarkStart w:id="28" w:name="page29"/>
    <w:bookmarkEnd w:id="28"/>
    <w:p>
      <w:pPr>
        <w:jc w:val="both"/>
        <w:ind w:firstLine="405"/>
        <w:spacing w:after="0" w:line="264" w:lineRule="auto"/>
        <w:rPr>
          <w:sz w:val="20"/>
          <w:szCs w:val="20"/>
          <w:color w:val="auto"/>
        </w:rPr>
      </w:pPr>
      <w:r>
        <w:rPr>
          <w:rFonts w:ascii="Arial" w:cs="Arial" w:eastAsia="Arial" w:hAnsi="Arial"/>
          <w:sz w:val="18"/>
          <w:szCs w:val="18"/>
          <w:color w:val="auto"/>
        </w:rPr>
        <w:t>Excluding the impact of the Puerto Rico excise tax, Cost of sales would have been 22.9% and 15.9% of product sales for the three months ended March 31, 2014 and 2013, respectively. See Note 3, Income taxes, to the condensed consolidated financial statements for further discussion of the Puerto Rico excise tax.</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R&amp;D expenses for the three months ended March 31, 2014, was driven primarily by an increase of $176 million in our later stage clinical programs, including Onyx programs, offset partially by reduced expenses associated with marketed product support and Discovery Research and Translational Sciences activities of $17 million and $10 million, respectively.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Selling, general and administrative</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decrease in SG&amp;A expenses for the three months ended March 31, 2014, was driven primarily by the expiration of the ENBREL profit share in October 2013, which reduced expenses by $220 million. This decline was offset partially by the addition of $57 million as a result of the Onyx acquisition.</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matters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discussed previously, we announced top-line results from the primary OS analysis of a phase 3 trial of talimogene laherparepvec in melanoma. We are currently reviewing the results from this study with clinicians, regulators and payers to determine the best course forward. We acquired talimogene laherparepvec in 2011 and have a $675 million IPR&amp;D asset and a contingent consideration liability of $334 million as of March 31, 2014, related to this project.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expenses/income and income taxes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Non-operating expenses/income and income taxes were as follows (dollar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16"/>
                <w:szCs w:val="16"/>
                <w:color w:val="auto"/>
              </w:rPr>
            </w:pPr>
          </w:p>
        </w:tc>
      </w:tr>
      <w:tr>
        <w:trPr>
          <w:trHeight w:val="203"/>
        </w:trPr>
        <w:tc>
          <w:tcPr>
            <w:tcW w:w="8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7"/>
                <w:szCs w:val="17"/>
                <w:color w:val="auto"/>
              </w:rPr>
            </w:pPr>
          </w:p>
        </w:tc>
      </w:tr>
      <w:tr>
        <w:trPr>
          <w:trHeight w:val="80"/>
        </w:trPr>
        <w:tc>
          <w:tcPr>
            <w:tcW w:w="840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58"/>
        </w:trPr>
        <w:tc>
          <w:tcPr>
            <w:tcW w:w="84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263</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96"/>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w w:val="99"/>
              </w:rPr>
              <w:t>164</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10.9%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(6.8)%</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decrease in interest expense, net for the three months ended March 31, 2014, was due primarily to interest on the 0.375% 2013 Convertible Notes which were settled in February 2013, offset partially by interest resulting from a higher average debt balance in the current year.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and other income, net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interest and other income, net for the three months ended March 31, 2014, was due primarily to higher net gains on sales of investments recognized in the prior year.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effective tax rates for the three months ended March 31, 2014 and 2013, were 10.9% and (6.8)%, respectively. The increase in our effective tax rate for the three months ended March 31, 2014, was due primarily to two significant events that occurred during the three months ended March 31, 2013. First, we settled our federal income tax examination for the years ended December 31, 2007, 2008 and 2009, in which we agreed to certain adjustments and remeasured our UTBs accordingly, resulting in a net tax benefit of $185 million. Second, the American Taxpayer Relief Act of 2012, enacted during the first quarter of 2013, reinstated the federal R&amp;D tax credit for 2012 and 2013. Therefore, our effective tax rate for the three months ended March 31, 2013, included a benefit of approximately $60 million for the full-year 2012 federal R&amp;D tax credit, recorded as a discrete item in the first quarter of 2013. The federal R&amp;D credit expired as of December 31, 2013 and was not reinstated as of March 31, 2014. Therefore, our effective tax rate for the three months ended March 31, 2014, does not include a benefit for the federal R&amp;D tax credit. The increase was offset partially by the favorable tax impact of changes in the jurisdictional mix of income and expenses as a result of higher amortization of acquired intangible assets during the three months ended March 31, 2014.</w:t>
      </w:r>
    </w:p>
    <w:p>
      <w:pPr>
        <w:spacing w:after="0" w:line="5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Excluding the impact of the Puerto Rico excise tax, our effective tax rates for the three months ended March 31, 2014 and 2013, would have been 15.4% and (0.8)%, respectively.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Income taxes, to the condensed consolidated financial statements for further discussion.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financial data was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19,802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19,401</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Restricted investments</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3,412</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cash equivalents, marketable securities and restricted investments</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23,216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22,813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67,004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66,125</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29,519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29,623</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22,741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22,096</w:t>
            </w:r>
          </w:p>
        </w:tc>
      </w:tr>
      <w:tr>
        <w:trPr>
          <w:trHeight w:val="27"/>
        </w:trPr>
        <w:tc>
          <w:tcPr>
            <w:tcW w:w="7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intends to continue to return capital to stockholders through the payment of cash dividends, reflecting our confidence in the future cash flows of our business. Whether and when we declare dividends and the size of any dividend could be affected by a number of factors. (See our Annual Report on Form 10-K for the year ended December 31, 2013, Item 1A. Risk Factors — There can be no assurance that we will continue to declare cash dividends.) In December 2013, the Board of Directors declared a quarterly cash dividend of $0.61 per share of common stock, which was paid on March 7, 2014. In March 2014, the Board of Directors declared a quarterly cash dividend of $0.61 per share of common stock which will be paid on June 6, 2014.</w:t>
      </w:r>
    </w:p>
    <w:p>
      <w:pPr>
        <w:spacing w:after="0" w:line="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also returned capital to stockholders through its stock repurchase program, however we have not made repurchases under this program since the first quarter of 2013. As of March 31, 2014, $1.6 billion remained available under our Board of Directors-approved stock repurchase program. While we may repurchase additional shares of our common stock in the future, we do not currently have plans to make any significant repurchases during 2014 and 2015.</w:t>
      </w:r>
    </w:p>
    <w:p>
      <w:pPr>
        <w:spacing w:after="0" w:line="10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believe that existing funds, cash generated from operations and existing sources of and access to financing are adequate, for the foreseeable future, to satisfy: our needs for working capital; capital expenditure and debt service requirements; our plans to pay dividends; and other business initiatives we may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With respect to our U.S. operations, we believe that existing funds intended for use in the United States; cash generated from our U.S. operations, including intercompany payments and receipts; and existing sources of and access to financing (collectively referred to as U.S. funds) are adequate to continue to meet our U.S. obligations (including our plans to pay dividends with U.S. funds) for the foreseeable future. See our Annual Report on Form 10-K for the year ended December 31, 2013, Item 1A. Risk Factors — Global economic conditions may negatively affect us and may magnify certain risks that affect our business.</w:t>
      </w:r>
    </w:p>
    <w:p>
      <w:pPr>
        <w:spacing w:after="0" w:line="10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 significant portion of our operating cash flows is dependent on the timing of payments from our customers located in the United States and, to a lesser extent, our customers outside the United States, which include government-owned or -supported healthcare providers (government healthcare providers). Payments from these government healthcare providers are dependent in part on the economic stability and creditworthiness of their applicable country. Historically, some payments from a number of European government healthcare providers have extended beyond the contractual terms of sale, and regional economic uncertainty continues. In particular, credit and economic conditions in Southern Europe, particularly in Spain, Italy, Greece and Portugal, continue to adversely impact the timing of collections of our trade receivables in this region. As of March 31, 2014, accounts receivable in these four countries totaled $334 million, of which $206 million was past due. Although economic conditions in this region may continue to affect the average length of time it takes to collect payments, to date we have not incurred any significant losses related to these receivables; and the timing of payments in these countries has not had nor is it currently expected to have a material adverse impact on our overall operating cash flows. However, if government funding for healthcare were to become unavailable in these countries or if significant adverse adjustments to past payment practices were to occur, we might not be able to collect the entire balance of these receivables. We will continue working closely with these customers, monitoring the economic situation and taking appropriate actions as necessary.</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Of our total cash, cash equivalents, marketable securities and restricted investments balances totaling $23.2 billion as of March 31, 2014, approximately $20.1 billion was generated from operations in foreign tax jurisdictions and is intended to be invested indefinitely outside of the United States. Under current tax laws, if these funds were repatriated for use in our U.S. operations, we would be required to pay additional U.S. federal and state income taxes at the applicable marginal tax rates.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30" w:name="page31"/>
    <w:bookmarkEnd w:id="30"/>
    <w:p>
      <w:pPr>
        <w:jc w:val="both"/>
        <w:ind w:right="20" w:firstLine="405"/>
        <w:spacing w:after="0" w:line="264" w:lineRule="auto"/>
        <w:rPr>
          <w:sz w:val="20"/>
          <w:szCs w:val="20"/>
          <w:color w:val="auto"/>
        </w:rPr>
      </w:pPr>
      <w:r>
        <w:rPr>
          <w:rFonts w:ascii="Arial" w:cs="Arial" w:eastAsia="Arial" w:hAnsi="Arial"/>
          <w:sz w:val="18"/>
          <w:szCs w:val="18"/>
          <w:color w:val="auto"/>
        </w:rPr>
        <w:t>Certain of our financing arrangements contain non-financial covenants. In addition, our revolving credit agreement and Term Loan Credit Facility each includes a financial covenant with respect to the level of our borrowings in relation to our equity, as defined. We were in compliance with all applicable covenants under these arrangements as of March 31,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bottom w:val="single" w:sz="8" w:color="CCEEFF"/>
            </w:tcBorders>
            <w:shd w:val="clear" w:color="auto" w:fill="CCEEFF"/>
          </w:tcPr>
          <w:p>
            <w:pPr>
              <w:jc w:val="right"/>
              <w:ind w:right="97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180" w:type="dxa"/>
            <w:vAlign w:val="bottom"/>
          </w:tcPr>
          <w:p>
            <w:pPr>
              <w:jc w:val="right"/>
              <w:ind w:right="97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1,809</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shd w:val="clear" w:color="auto" w:fill="CCEEFF"/>
          </w:tcPr>
          <w:p>
            <w:pPr>
              <w:jc w:val="right"/>
              <w:ind w:right="97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r>
      <w:tr>
        <w:trPr>
          <w:trHeight w:val="27"/>
        </w:trPr>
        <w:tc>
          <w:tcPr>
            <w:tcW w:w="7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provided by operating activities has been and is expected to continue to be our primary recurring source of funds. Cash provided by operating activities during the three months ended March 31, 2014, increased due primarily to timing of receipts from customers, including the impact of $100 million received under a government-funded program in Spain, and lower payments to taxing authorities, offset partially by the termination of the supply contract with Roche as well as the timing of payments for sales incentives and to vendors and employees.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investing activities during the three months ended March 31, 2014, was due primarily to net activity related to marketable securities and restricted investments of $445 million, capital expenditures of $172 million and cash paid for the acquisition of companies of $104 million. Cash provided by investing activities during the three months ended March 31, 2013, was due primarily to net sales of marketable securities of $2.0 billion offset partially by capital expenditures of $158 million. Capital expenditures during the three months ended March 31, 2014 and 2013 were associated primarily with manufacturing capacity expansions in Singapore, Ireland and Puerto Rico, as well as other site developments. We currently estimate 2014 spending on capital projects and equipment to be approximately $800 million.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used in financing activities during the three months ended March 31, 2014, was due primarily to the payment of dividends of $460 million and the repayment of long-term debt of $125 million.</w:t>
      </w:r>
    </w:p>
    <w:p>
      <w:pPr>
        <w:spacing w:after="0" w:line="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used in financing activities during the three months ended March 31, 2013, was due primarily to the cash settlement of the $2.5 billion principal amount of the 0.375% 2013 Convertible Notes which matured/converted, repurchases of our common stock of $832 million and the payment of dividends of $353 million.</w:t>
      </w:r>
    </w:p>
    <w:p>
      <w:pPr>
        <w:spacing w:after="0" w:line="100" w:lineRule="exact"/>
        <w:rPr>
          <w:sz w:val="20"/>
          <w:szCs w:val="20"/>
          <w:color w:val="auto"/>
        </w:rPr>
      </w:pPr>
    </w:p>
    <w:p>
      <w:pPr>
        <w:ind w:right="580" w:firstLine="405"/>
        <w:spacing w:after="0" w:line="407" w:lineRule="auto"/>
        <w:rPr>
          <w:sz w:val="20"/>
          <w:szCs w:val="20"/>
          <w:color w:val="auto"/>
        </w:rPr>
      </w:pPr>
      <w:r>
        <w:rPr>
          <w:rFonts w:ascii="Arial" w:cs="Arial" w:eastAsia="Arial" w:hAnsi="Arial"/>
          <w:sz w:val="18"/>
          <w:szCs w:val="18"/>
          <w:color w:val="auto"/>
        </w:rPr>
        <w:t xml:space="preserve">See Note 8, Financing arrangements, and Note 9, Stockholders’ equity, to the condensed consolidated financial statements for further discussion. </w:t>
      </w:r>
      <w:r>
        <w:rPr>
          <w:rFonts w:ascii="Arial" w:cs="Arial" w:eastAsia="Arial" w:hAnsi="Arial"/>
          <w:sz w:val="18"/>
          <w:szCs w:val="18"/>
          <w:b w:val="1"/>
          <w:bCs w:val="1"/>
          <w:color w:val="auto"/>
        </w:rPr>
        <w:t>Critical accounting policies</w:t>
      </w:r>
    </w:p>
    <w:p>
      <w:pPr>
        <w:jc w:val="both"/>
        <w:ind w:firstLine="405"/>
        <w:spacing w:after="0" w:line="276" w:lineRule="auto"/>
        <w:rPr>
          <w:sz w:val="20"/>
          <w:szCs w:val="20"/>
          <w:color w:val="auto"/>
        </w:rPr>
      </w:pPr>
      <w:r>
        <w:rPr>
          <w:rFonts w:ascii="Arial" w:cs="Arial" w:eastAsia="Arial" w:hAnsi="Arial"/>
          <w:sz w:val="17"/>
          <w:szCs w:val="17"/>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of our Annual Report on Form 10-K for the year ended December 31, 2013. There have been no material changes to our critical accounting policies during the three months ended March 31, 2014.</w:t>
      </w:r>
    </w:p>
    <w:p>
      <w:pPr>
        <w:spacing w:after="0" w:line="25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Information about our market risk is disclosed in Part II, Item 7A, of our Annual Report on Form 10-K for the fiscal year ended December 31, 2013, and is incorporated herein by reference. There have been no material changes during the three months ended March 31, 2014, to the information provided in Part II, Item 7A, of our Annual Report on Form 10-K for the fiscal year ended December 31, 2013.</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1" w:name="page32"/>
    <w:bookmarkEnd w:id="31"/>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maintain “disclosure controls and procedures,” as such term is defined under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Acting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Acting Chief Financial Officer, of the effectiveness of the design and operation of Amgen’s disclosure controls and procedures. Based upon their evaluation and subject to the foregoing, the Chief Executive Officer and Acting Chief Financial Officer concluded that our disclosure controls and procedures were effective as of March 31, 2014.</w:t>
      </w:r>
    </w:p>
    <w:p>
      <w:pPr>
        <w:spacing w:after="0" w:line="8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Management determined that, as of March 31, 2014,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See Note 12, Contingencies and commitments, to the condensed consolidated financial statements for discussions that are limited to certain recent developments concerning our legal proceedings. Those discussions should be read in conjunction with Note 18, Contingencies and commitments, to our consolidated financial statements in Part IV of our Annual Report on Form 10-K for the year ended December 31, 2013.</w:t>
      </w:r>
    </w:p>
    <w:p>
      <w:pPr>
        <w:spacing w:after="0" w:line="2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facing our business. We have described in our Annual Report on Form 10-K for the fiscal year ended December 31, 2013, the primary risks related to our business and periodically update those risks for material developments. Those risks are not the only ones facing us.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are no material updates from the risk factors previously disclosed in Part 1, Item 1A, of our Annual Report, on Form 10-K for the fiscal year ended December 31, 2013.</w:t>
      </w:r>
    </w:p>
    <w:p>
      <w:pPr>
        <w:spacing w:after="0" w:line="24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Reference is made to the Index to Exhibits included herein.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6"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25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Amgen Inc.</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00" w:val="left"/>
          <w:tab w:leader="none" w:pos="5280" w:val="left"/>
          <w:tab w:leader="none" w:pos="7880" w:val="left"/>
          <w:tab w:leader="none" w:pos="8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April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MICHAEL 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2"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Michael A. Kelly</w:t>
      </w:r>
    </w:p>
    <w:p>
      <w:pPr>
        <w:spacing w:after="0" w:line="10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4"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660"/>
              <w:spacing w:after="0"/>
              <w:rPr>
                <w:sz w:val="20"/>
                <w:szCs w:val="20"/>
                <w:color w:val="auto"/>
              </w:rPr>
            </w:pPr>
            <w:r>
              <w:rPr>
                <w:rFonts w:ascii="Arial" w:cs="Arial" w:eastAsia="Arial" w:hAnsi="Arial"/>
                <w:sz w:val="18"/>
                <w:szCs w:val="18"/>
                <w:b w:val="1"/>
                <w:bCs w:val="1"/>
                <w:color w:val="auto"/>
              </w:rPr>
              <w:t>AMGEN INC.</w:t>
            </w:r>
          </w:p>
        </w:tc>
      </w:tr>
      <w:tr>
        <w:trPr>
          <w:trHeight w:val="432"/>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534"/>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Restated Certificate of Incorporation of Amgen Inc. (As Restated March 6, 2013.)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2013 on May 3,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Amended and Restated Bylaws of Amgen Inc. (As Amended and Restated March 6, 2013). (Filed as an exhibit to Form 8-K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Amendment to the Amended and Restated Bylaws of Amgen Inc. (As Amended and Restated March 6, 2013). (Filed as an exhibit</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to Form 8-K on October 16,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Form of stock certificate for the common stock, par value $.0001 of the Company.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1997 on May 13, 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Indenture, dated January 1, 1992. (Filed as an exhibit to Form S-3 Registration Statement filed on December 19, 1991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Agreement of Resignation, Appointment and Acceptance dated February 15, 2008. (Filed as an exhibit to Form 10-K for the year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December 31, 2007 on February 28,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Supplemental Indenture, dated February 26, 1997. (Filed as an exhibit to Form 8-K on March 14, 1997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8-1/8% Debentures due April 1, 2097. (Filed as an exhibit to Form 8-K on April 8, 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dated as of January 1, 1992, as supplemented by the First Supplemental Indenture, dated as of February 26, 1997,</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establishing a series of securities entitled “8 1/8% Debentures due April 1, 2097.” (Filed as an exhibit to Form 8-K on April 8, 1997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Indenture, dated as of August 4, 2003. (Filed as an exhibit to Form S-3 Registration Statement on August 4, 2003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dated November 18, 2004, including forms of the 4.00% Senior Notes due 2009 and 4.85% Senior Notes due 2014.</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as an exhibit to Form 8-K on November 19, 2004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Corporate Commercial Paper - Master Note between and among Amgen Inc., as Issuer, Cede &amp; Co., as Nominee of The Depository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Trust Company, and Citibank, N.A., as Paying Agent. (Filed as an exhibit to Form 10-Q for the quarter ended March 31, 1998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May 13, 1998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Officers' Certificate of Amgen Inc., dated as of May 30, 2007, including forms of the Company's Senior Floating Rate Notes due 2008,</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5.85% Senior Notes due 2017 and 6.375% Senior Notes due 2037. (Filed as an exhibit to Form 8-K on May 30, 2007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Officers' Certificate of Amgen Inc., dated as of May 23, 2008, including forms of the Company's 6.15% Senior Notes due 2018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6.90% Senior Notes due 2038. (Filed as exhibit to Form 8-K on May 23,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Officers' Certificate of Amgen Inc., dated as of January 16, 2009, including forms of the Company's 5.70% Senior Notes due 2019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6.40% Senior Notes due 2039. (Filed as exhibit to Form 8-K on January 16,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Officers' Certificate of Amgen Inc., dated as of March 12, 2010, including forms of the Company's 4.50% Senior Notes due 2020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5.75% Senior Notes due 2040. (Filed as exhibit to Form 8-K on March 15, 2010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Officers' Certificate of Amgen Inc., dated as of September 16, 2010, including forms of the Company's 3.45% Senior Notes due 2020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and 4.95% Senior Notes due 2041. (Filed as an exhibit to Form 8-K on September 17, 2010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Officers' Certificate of Amgen Inc., dated as of June 30, 2011, including forms of the Company's 2.30% Senior Notes due 2016, 4.10%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Senior Notes due 2021 and 5.65% Senior Notes due 2042. (Filed as an exhibit to Form 8-K on June 30, 2011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64"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Officers' Certificate of Amgen Inc., dated as of November 10, 2011, including forms of the Company's 1.875% Senior Notes due 2014,</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2.50% Senior Notes due 2016, 3.875% Senior Notes due 2021 and 5.15% Senior Notes due 2041. (Filed as an exhibit to Form 8-K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November 10, 2011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Certificate of Amgen Inc., dated as of December 5, 2011, including forms of the Company's 4.375% Senior Notes due 2018</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and 5.50% Senior Notes due 2026. (Filed as an exhibit to Form 8-K on December 5, 2011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Officers' Certificate of Amgen Inc., dated as of May 15, 2012, including forms of the Company's 2.125% Senior Notes due 2017,</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3.625% Senior Notes due 2022 and 5.375% Senior Notes due 2043. (Filed as an exhibit to Form 8-K on May 15, 2012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Officers' Certificate of Amgen Inc., dated as of September 13, 2012, including forms of the Company's 2.125% Senior Notes due 2019</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and 4.000% Senior Notes due 2029. (Filed as an exhibit to Form 8-K on September 13, 2012 and incorporated herein by reference.)</w:t>
            </w:r>
          </w:p>
        </w:tc>
      </w:tr>
      <w:tr>
        <w:trPr>
          <w:trHeight w:val="418"/>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Amended and Restated 2009 Equity Incentive Plan. (Filed as Appendix C to the Definitive Proxy Statement on Schedule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14A on April 8,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Stock Option Agreement for the Amgen Inc. Amended and Restated 2009 Equity Incentive Plan. (As Amended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2013.) (Filed as an exhibit to Form 10-Q for the quarter 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Form of Restricted Stock Unit Agreement for the Amgen Inc. Amended and Restated 2009 Equity Incentive Plan. (As Amended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5, 2014.)</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2009 Performance Award Program. (As Amended on December 13, 2013.) (Filed as an exhibit to Form 10-K for the year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December 31, 2013 on February 24, 2014 and incorporated herein by reference.)</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Form of Performance Unit Agreement for the Amgen Inc. 2009 Performance Award Program. (As Amended on March 5, 2014.)</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2009 Director Equity Incentive Program. (As Amended on March 6, 2013.)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Form of Grant of Non-Qualified Stock Option Agreement for the Amgen Inc. 2009 Director Equity Incentive Program.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8-K on May 8, 2009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Form of Restricted Stock Unit Agreement for the Amgen Inc. 2009 Director Equity Incentive Program. (As Amended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2013.) (Filed as an exhibit to Form 10-Q for the quarter 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Supplemental Retirement Plan. (As Amended and Restated effective October 16, 2013.) (Filed as an exhibit to Form 10-K</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 the year ended December 31, 2013 on February 24,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Amgen Change of Control Severance Plan. (As Amended and Restated effective December 9, 2010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subsequently amended effective March 2, 2011.) (Filed as an exhibit to Form 10-Q for the quarter ended March 31, 2011 on May 10,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2011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Executive Incentive Plan. (As Amended and Restated effective January 1, 2009.) (Filed as an exhibit to Form 10-Q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ended September 30, 2008 on November 7,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First Amendment to the Amgen Inc. Executive Incentive Plan, effective December 13, 2012. (Filed as an exhibit to Form 10-K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year ended December 31, 2012 on February 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Amgen Inc. Executive Nonqualified Retirement Plan. (As Amended and Restated effective January 1, 2009.)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September 30, 2008 on November 7,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Amendment to the Amgen Inc. Executive Nonqualified Retirement Plan, effective July 21, 2010. (Filed as an exhibit to Form 10-Q</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 the quarter ended June 30, 2010 on August 9, 2010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Amgen Nonqualified Deferred Compensation Plan. (As Amended and Restated effective October 16, 2013.)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10-K for the year ended December 31, 2013 on February 24, 2014 and 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Agreement between Amgen Inc. and Mr. Anthony C. Hooper, dated October 12, 2011. (Filed as an exhibit to Form 10-K for the year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December 31, 2011 on February 29,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Agreement and General Release of Claims, entered into as of January 9, 2014, by and between Amgen Inc. and Jonathan M. Peacock.</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(Filed as an exhibit to Form 10-K for the year ended December 31, 2013 on February 24,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Restricted Stock Unit Agreement, dated April 27, 2012, between Amgen Inc. and Kevin W. Sharer. (Filed as an exhibit to Form 10-Q for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the quarter ended June 30, 2012 on August 8, 2012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Performance Unit Agreement, dated April 27, 2012, between Amgen Inc. and Kevin W. Sharer. (Filed as an exhibit to Form 10-Q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ended June 30, 2012 on August 8, 2012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Product License Agreement, dated September 30, 1985, between Amgen and Ortho Pharmaceutical Corporation.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June 30, 2000 on August 1, 2000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Shareholders' Agreement, dated May 11, 1984, among Amgen, Kirin Brewery Company, Limited and Kirin-Amgen, Inc.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No. 1 dated March 19, 1985, Amendment No. 2 dated July 29, 1985 (effective July 1, 1985), and Amendment No. 3,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December 19, 1985, to the Shareholders' Agreement dated May 11, 1984. (Filed as an exhibit to Form 10-Q for the quarter ended June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30, 2000 on August 1, 2000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4 dated October 16, 1986 (effective July 1, 1986), Amendment No. 5 dated December 6, 1986 (effective July 1, 1986),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No. 6 dated June 1, 1987, Amendment No. 7 dated July 17, 1987 (effective April 1, 1987), Amendment No. 8 dated May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28, 1993 (effective November 13, 1990), Amendment No. 9 dated December 9, 1994 (effective June 14, 1994), Amendment No. 10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effective March 1, 1996, and Amendment No. 11 effective March 20, 2000 to the Shareholders' Agreement, dated May 11, 1984.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as exhibits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No. 12 to the Shareholders' Agreement, dated January 31, 2001. (Filed as an exhibit to Form 10-Q for the quarter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June 30, 2005 on August 8, 2005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89"/>
              </w:rPr>
              <w:t>Amendment No. 13 to the Shareholders' Agreement, dated June 28, 2007 (portions of the exhibit have been omitted pursuant to a request</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for confidential treatment). (Filed as an exhibit to Form 10-Q for the quarter ended June 30, 2007 on August 9, 2007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Amendment No. 14 to the Shareholders' Agreement, dated March 26, 2014.</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Assignment and License Agreement, dated October 16, 1986 (effective July 1, 1986), between Amgen and Kirin-Amgen, Inc. (Filed as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 exhibit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G-CSF United States License Agreement, dated June 1, 1987 (effective July 1, 1986), Amendment No. 1, dated October 20, 1988,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Amendment No. 2, dated October 17, 1991 (effective November 13, 1990), between Kirin-Amgen, Inc. and Amgen Inc. (Filed as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exhibits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G-CSF European License Agreement, dated December 30, 1986, between Kirin-Amgen and Amgen, Amendment No. 1 to Kirin-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 Amgen G-CSF European License Agreement, dated June 1, 1987, Amendment No. 2 to Kirin-Amgen, Inc. / Amgen G-</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CSF European License Agreement, dated March 15, 1998, Amendment No. 3 to Kirin-Amgen, Inc. / Amgen G-CSF European License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dated October 20, 1988, and Amendment No. 4 to Kirin-Amgen, Inc. / Amgen G-CSF European License Agreement,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December 29, 1989, between Kirin-Amgen, Inc. and Amgen Inc. (Filed as exhibits to Form 10-K for the year ended December 31, 2000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Amended and Restated Promotion Agreement, dated as of December 16, 2001, by and among Immunex Corporation, American Home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Products Corporation and Amgen Inc. (portions of the exhibit have been omitted pursuant to a request for confidential treatment).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as an exhibit to Amendment No. 1 to Form S-4 Registration Statement on March 22, 2002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Description of Amendment No. 1 to Amended and Restated Promotion Agreement, effective as of July 8, 2003, among Wyeth, Amgen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 and Immunex Corporation (portions of the exhibit have been omitted pursuant to a request for confidential treatment).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10-K for the year ended December 31, 2003 on March 11, 2004 and incorporated herein by reference.)</w:t>
            </w:r>
          </w:p>
        </w:tc>
      </w:tr>
      <w:tr>
        <w:trPr>
          <w:trHeight w:val="74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589"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Description of Amendment No. 2 to Amended and Restated Promotion Agreement, effective as of April 20, 2004, by and among Wyeth,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and Immunex Corporation. (Filed as an exhibit to Amendment No. 1 to Form S-4 Registration Statement on June 29, 2004</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3 to Amended and Restated Promotion Agreement, effective as of January 1, 2005, by and among Wyeth, Amgen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and Immunex Corporation (portions of the exhibit have been omitted pursuant to a request for confidential treatment).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10-Q for the quarter ended March 31, 2005 on May 4, 2005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Credit Agreement, dated as of December 2, 2011, among Amgen Inc., with Citibank, N.A., as administrative agent, JPMorgan Chase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Bank, N.A., as syndication agent, Citigroup Global Markets Inc. and J.P. Morgan Securities LLC as joint lead arrangers and joint book</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runners, and the other banks party thereto. (Filed as an exhibit to Form 8-K on December 2, 2011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Collaboration and License Agreement between Amgen Inc. and Celltech R&amp;D Limited dated May 10, 2002 (portions of the exhibit have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been omitted pursuant to a request for confidential treatment) and Amendment No. 1, effective as of June 9, 2003, to Collaboration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License Agreement between Amgen Inc. and Celltech R&amp;D Limited (portions of the exhibit have been omitted pursuant to a request for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confidential treatment). (Filed as an exhibit to Form 10-K/A for the year ended December 31, 2012 on July 31, 2013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Collaboration Agreement dated July 27, 2009 between Amgen Inc. and Glaxo Group Limited, a wholly owned subsidiary of</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GlaxoSmithKline plc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September 30, 2009 on November 6,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Number 1, dated as of January 24, 2012, to Collaboration Agreement dated July 27, 2009 between Amgen Inc. and Glaxo</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Group Limited, a wholly owned subsidiary of GlaxoSmithKline plc. (Filed as an exhibit to Form 10-K for the year ended December 31,</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2012 on February 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Expansion Agreement dated July 27, 2009 between Amgen Inc. and Glaxo Group Limited, a wholly owned subsidiary of</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GlaxoSmithKline plc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September 30, 2009 on November 6,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Number 1, dated September 20, 2010, to Expansion Agreement dated July 27, 2009 between Amgen Inc. and Glaxo Group</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Limited, a wholly owned subsidiary of GlaxoSmithKline plc (portions of the exhibit have been omitted pursuant to a request for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confidential treatment). (Filed as an exhibit to Form 10-Q for the quarter ended September 30, 2010 on November 8, 2010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Number 2, dated as of January 24, 2012, to Expansion Agreement dated July 27, 2009 between Amgen Inc. and Glaxo</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Group Limited, a wholly owned subsidiary of GlaxoSmithKline plc. (Filed as an exhibit to Form 10-K for the year ended December 31,</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2012 on February 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Sourcing and Supply Agreement, dated November 15, 2011, by and between Amgen USA Inc, a wholly owned subsidiary of Amgen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 and DaVita Inc.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10-K for the year ended December 31, 2011 on February 29,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Number 1 to Sourcing and Supply Agreement, effective as of January 1, 2013, by and between Amgen USA Inc.,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owned subsidiary of Amgen Inc., and DaVita Healthcare Partners Inc. f/k/a DaVita Inc. (portions of the exhibit have been omitted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pursuant to a request for confidential treatment). (Filed as an exhibit to Form 10-K for the year ended December 31, 2012 on February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Collaboration Agreement dated March 30, 2012 by and between Amgen Inc. and AstraZeneca Collaboration Ventures, LLC,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owned subsidiary of AstraZeneca Pharmaceuticals LP (portions of the exhibit have been omitted pursuant to a request for confidential</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treatment). (Filed as an exhibit to Form 10-Q for the quarter ended March 31, 2012 on May 8, 2012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Collaboration Agreement, dated April 22, 1994, by and between Bayer Corporation (formerly Miles, Inc.) and Onyx Pharmaceuticals,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Inc. (Filed as an exhibit to Form 10-Q for the quarter ended March 31, 2011 by Onyx Pharmaceuticals, Inc. on May 10, 2011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Amendment to Collaboration Agreement, dated April 24, 1996,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589"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Amendment to Collaboration Agreement, dated February 1, 1999,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United States Co-Promotion Agreement, dated March 6, 2006, by and between Bayer Pharmaceuticals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Pharmaceuticals, Inc. (Filed as an exhibit to Form 10-Q for the quarter ended March 31, 2006 by Onyx Pharmaceuticals, Inc. on May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 2006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Settlement Agreement and Release, dated October 11, 2011, by and between Bayer Corporation, Bayer AG, Bayer HealthCare LLC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Bayer Pharma AG and Onyx Pharmaceuticals, Inc. (Filed as an exhibit to Form 10-K for the year ended December 31, 2011 by Onyx</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Pharmaceuticals, Inc. on February 27,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Fourth  Amendment  to  Collaboration  Agreement,  dated  October  11,  2011,  by  and  between  Bayer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Pharmaceuticals, Inc. (Filed as an exhibit to Form 10-K for the year ended December 31, 2011 by Onyx Pharmaceuticals, Inc.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February 27,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Commitment Letter, dated August 24, 2013, among Amgen Inc., Bank of America, N.A., Merrill Lynch, Pierce, Fenner &amp; Smith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Incorporated, JPMorgan Chase Bank, N.A., J.P. Morgan Securities LLC and Barclays Bank PLC. (Filed as an exhibit to Form 8-K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August 26,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Master Repurchase Agreement, dated August 24, 2013, between Amgen Inc. and Bank of America, N.A. (Filed as an exhibit to Form 8-</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K on August 26,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Master Repurchase Agreement, dated October 28, 2013, between Amgen Inc. and SMBC Repo Pass-Thru Trust, 2013-1.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10-Q for the quarter ended September 30, 2013 on October 29,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Master Repurchase Agreement, dated October 29, 2013, between Amgen Inc. and HSBC Bank USA, N.A.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10-Q for the quarter ended September 30, 2013 on October 29,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Term Loan Facility Credit Agreement, dated as of September 20, 2013, among Amgen Inc., the Banks therein named, Bank of America,</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N.A., as Administrative Agent, and Barclays Bank PLC and JPMorgan Chase Bank, N.A., as Syndication Agents.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8-K on September 20, 2013 and incorporated herein by reference.)</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Rule 13a-14(a) Certifications.</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furnished herewith and not “filed” for purposes of Section 18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 Notice</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The information set forth in this Award Notice will be contained on the related pages on Merrill Lynch Benefits Website (or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 xml:space="preserve">website of any successor company to Merrill Lynch Bank &amp; Trust Co., FSB). This Award Notice shall be replaced by the equivalent pages on such website. References to Award Notice in this Agreement shall then refer to the equivalent pages on such website </w:t>
      </w:r>
      <w:r>
        <w:rPr>
          <w:rFonts w:ascii="Arial" w:cs="Arial" w:eastAsia="Arial" w:hAnsi="Arial"/>
          <w:sz w:val="22"/>
          <w:szCs w:val="22"/>
          <w:b w:val="1"/>
          <w:bCs w:val="1"/>
          <w:color w:val="auto"/>
        </w:rPr>
        <w: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notice of Award (the “</w:t>
      </w:r>
      <w:r>
        <w:rPr>
          <w:rFonts w:ascii="Arial" w:cs="Arial" w:eastAsia="Arial" w:hAnsi="Arial"/>
          <w:sz w:val="22"/>
          <w:szCs w:val="22"/>
          <w:u w:val="single" w:color="auto"/>
          <w:color w:val="auto"/>
        </w:rPr>
        <w:t>Award Notice</w:t>
      </w:r>
      <w:r>
        <w:rPr>
          <w:rFonts w:ascii="Arial" w:cs="Arial" w:eastAsia="Arial" w:hAnsi="Arial"/>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Employee ID: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Award Type: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Grant ID:</w:t>
      </w:r>
    </w:p>
    <w:p>
      <w:pPr>
        <w:sectPr>
          <w:pgSz w:w="11900" w:h="16838" w:orient="portrait"/>
          <w:cols w:equalWidth="0" w:num="1">
            <w:col w:w="11420"/>
          </w:cols>
          <w:pgMar w:left="240" w:top="121"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Amgen Inc. 2009 Equity Incentive Plan, as amended and/or restated from time to time</w:t>
      </w:r>
    </w:p>
    <w:p>
      <w:pPr>
        <w:spacing w:after="0" w:line="52" w:lineRule="exact"/>
        <w:rPr>
          <w:sz w:val="20"/>
          <w:szCs w:val="20"/>
          <w:color w:val="auto"/>
        </w:rPr>
      </w:pPr>
    </w:p>
    <w:p>
      <w:pPr>
        <w:sectPr>
          <w:pgSz w:w="11900" w:h="16838" w:orient="portrait"/>
          <w:cols w:equalWidth="0" w:num="2">
            <w:col w:w="1880" w:space="720"/>
            <w:col w:w="8820"/>
          </w:cols>
          <w:pgMar w:left="240" w:top="121" w:right="239" w:bottom="1440" w:gutter="0" w:footer="0" w:header="0"/>
          <w:type w:val="continuous"/>
        </w:sectPr>
      </w:pPr>
    </w:p>
    <w:p>
      <w:pPr>
        <w:spacing w:after="0"/>
        <w:rPr>
          <w:sz w:val="20"/>
          <w:szCs w:val="20"/>
          <w:color w:val="auto"/>
        </w:rPr>
      </w:pPr>
      <w:r>
        <w:rPr>
          <w:rFonts w:ascii="Arial" w:cs="Arial" w:eastAsia="Arial" w:hAnsi="Arial"/>
          <w:sz w:val="19"/>
          <w:szCs w:val="19"/>
          <w:color w:val="auto"/>
        </w:rPr>
        <w:t>Grant Date:</w:t>
      </w:r>
    </w:p>
    <w:p>
      <w:pPr>
        <w:sectPr>
          <w:pgSz w:w="11900" w:h="16838" w:orient="portrait"/>
          <w:cols w:equalWidth="0" w:num="1">
            <w:col w:w="11420"/>
          </w:cols>
          <w:pgMar w:left="240" w:top="12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Grant Price: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$________</w:t>
      </w:r>
    </w:p>
    <w:p>
      <w:pPr>
        <w:spacing w:after="0" w:line="52" w:lineRule="exact"/>
        <w:rPr>
          <w:sz w:val="20"/>
          <w:szCs w:val="20"/>
          <w:color w:val="auto"/>
        </w:rPr>
      </w:pPr>
    </w:p>
    <w:p>
      <w:pPr>
        <w:sectPr>
          <w:pgSz w:w="11900" w:h="16838" w:orient="portrait"/>
          <w:cols w:equalWidth="0" w:num="2">
            <w:col w:w="1880" w:space="720"/>
            <w:col w:w="8820"/>
          </w:cols>
          <w:pgMar w:left="240" w:top="121" w:right="239" w:bottom="1440" w:gutter="0" w:footer="0" w:header="0"/>
          <w:type w:val="continuous"/>
        </w:sectPr>
      </w:pPr>
    </w:p>
    <w:p>
      <w:pPr>
        <w:spacing w:after="0"/>
        <w:rPr>
          <w:sz w:val="20"/>
          <w:szCs w:val="20"/>
          <w:color w:val="auto"/>
        </w:rPr>
      </w:pPr>
      <w:r>
        <w:rPr>
          <w:rFonts w:ascii="Arial" w:cs="Arial" w:eastAsia="Arial" w:hAnsi="Arial"/>
          <w:sz w:val="19"/>
          <w:szCs w:val="19"/>
          <w:color w:val="auto"/>
        </w:rPr>
        <w:t>Number of Shares: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Number of Units</w:t>
      </w:r>
    </w:p>
    <w:p>
      <w:pPr>
        <w:sectPr>
          <w:pgSz w:w="11900" w:h="16838" w:orient="portrait"/>
          <w:cols w:equalWidth="0" w:num="1">
            <w:col w:w="11420"/>
          </w:cols>
          <w:pgMar w:left="240" w:top="121"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Vesting Date: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Vesting Schedule: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Vesting Details: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Means the vesting date indicated in the Vesting Schedule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Means the schedule of vesting set forth under Vesting Details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Means the presentation (tabular or otherwise) of the Vesting Date and the quantity of Shares vesting.</w:t>
      </w:r>
    </w:p>
    <w:p>
      <w:pPr>
        <w:spacing w:after="0" w:line="225" w:lineRule="exact"/>
        <w:rPr>
          <w:sz w:val="20"/>
          <w:szCs w:val="20"/>
          <w:color w:val="auto"/>
        </w:rPr>
      </w:pPr>
    </w:p>
    <w:p>
      <w:pPr>
        <w:sectPr>
          <w:pgSz w:w="11900" w:h="16838" w:orient="portrait"/>
          <w:cols w:equalWidth="0" w:num="2">
            <w:col w:w="1880" w:space="720"/>
            <w:col w:w="8820"/>
          </w:cols>
          <w:pgMar w:left="240" w:top="121" w:right="239" w:bottom="1440" w:gutter="0" w:footer="0" w:header="0"/>
          <w:type w:val="continuous"/>
        </w:sectPr>
      </w:pPr>
    </w:p>
    <w:p>
      <w:pPr>
        <w:spacing w:after="0"/>
        <w:rPr>
          <w:sz w:val="20"/>
          <w:szCs w:val="20"/>
          <w:color w:val="auto"/>
        </w:rPr>
      </w:pPr>
      <w:r>
        <w:rPr>
          <w:rFonts w:ascii="Arial" w:cs="Arial" w:eastAsia="Arial" w:hAnsi="Arial"/>
          <w:sz w:val="22"/>
          <w:szCs w:val="22"/>
          <w:b w:val="1"/>
          <w:bCs w:val="1"/>
          <w:i w:val="1"/>
          <w:iCs w:val="1"/>
          <w:u w:val="single" w:color="auto"/>
          <w:color w:val="auto"/>
        </w:rPr>
        <w:t>IMPORTANT NOTICE REGARDING ACCEPTANCE OF THE AWARD</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i w:val="1"/>
          <w:iCs w:val="1"/>
          <w:color w:val="auto"/>
        </w:rPr>
        <w:t>RESIDENTS OF THE U.S. AND PUERTO RICO</w:t>
      </w:r>
      <w:r>
        <w:rPr>
          <w:rFonts w:ascii="Arial" w:cs="Arial" w:eastAsia="Arial" w:hAnsi="Arial"/>
          <w:sz w:val="21"/>
          <w:szCs w:val="21"/>
          <w:color w:val="auto"/>
        </w:rPr>
        <w:t>: Please read this Award Notice, the Plan and the Agreement (collectively,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Grant Documents</w:t>
      </w:r>
      <w:r>
        <w:rPr>
          <w:rFonts w:ascii="Arial" w:cs="Arial" w:eastAsia="Arial" w:hAnsi="Arial"/>
          <w:sz w:val="21"/>
          <w:szCs w:val="21"/>
          <w:color w:val="auto"/>
        </w:rPr>
        <w:t xml:space="preserve">”) carefully. If you, as a resident of the U.S. or Puerto Rico,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wish to receive this Award and/or you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w:t>
      </w:r>
    </w:p>
    <w:p>
      <w:pPr>
        <w:spacing w:after="0" w:line="235" w:lineRule="auto"/>
        <w:rPr>
          <w:sz w:val="20"/>
          <w:szCs w:val="20"/>
          <w:color w:val="auto"/>
        </w:rPr>
      </w:pPr>
      <w:r>
        <w:rPr>
          <w:rFonts w:ascii="Arial" w:cs="Arial" w:eastAsia="Arial" w:hAnsi="Arial"/>
          <w:sz w:val="22"/>
          <w:szCs w:val="22"/>
          <w:color w:val="auto"/>
        </w:rPr>
        <w:t>_________________________</w:t>
      </w: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i w:val="1"/>
          <w:iCs w:val="1"/>
          <w:color w:val="auto"/>
        </w:rPr>
        <w:t>This provision is only for use on the form of grant used for the U.S. and Puerto Rico.</w:t>
      </w:r>
    </w:p>
    <w:p>
      <w:pPr>
        <w:sectPr>
          <w:pgSz w:w="11900" w:h="16838" w:orient="portrait"/>
          <w:cols w:equalWidth="0" w:num="1">
            <w:col w:w="11420"/>
          </w:cols>
          <w:pgMar w:left="240" w:top="121"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WHICH ACCOMPANIES THIS DOCUMENT. THE TERMS OF THE AWARD NOTICE ARE INCORPORATED INTO THIS RESTRICTED STOCK UNIT AGREEMENT.</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On the Grant Date specified in the Award Notice, Amgen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has granted to you, the grantee named in the Award Notice, under the plan specified in the Award Notice (the “</w:t>
      </w:r>
      <w:r>
        <w:rPr>
          <w:rFonts w:ascii="Arial" w:cs="Arial" w:eastAsia="Arial" w:hAnsi="Arial"/>
          <w:sz w:val="21"/>
          <w:szCs w:val="21"/>
          <w:u w:val="single" w:color="auto"/>
          <w:color w:val="auto"/>
        </w:rPr>
        <w:t>Plan</w:t>
      </w:r>
      <w:r>
        <w:rPr>
          <w:rFonts w:ascii="Arial" w:cs="Arial" w:eastAsia="Arial" w:hAnsi="Arial"/>
          <w:sz w:val="21"/>
          <w:szCs w:val="21"/>
          <w:color w:val="auto"/>
        </w:rPr>
        <w:t>”), the Number of Units with respect to the number of shares of the $0.0001 par value common stock of the Company (the “</w:t>
      </w:r>
      <w:r>
        <w:rPr>
          <w:rFonts w:ascii="Arial" w:cs="Arial" w:eastAsia="Arial" w:hAnsi="Arial"/>
          <w:sz w:val="21"/>
          <w:szCs w:val="21"/>
          <w:u w:val="single" w:color="auto"/>
          <w:color w:val="auto"/>
        </w:rPr>
        <w:t>Shares</w:t>
      </w:r>
      <w:r>
        <w:rPr>
          <w:rFonts w:ascii="Arial" w:cs="Arial" w:eastAsia="Arial" w:hAnsi="Arial"/>
          <w:sz w:val="21"/>
          <w:szCs w:val="21"/>
          <w:color w:val="auto"/>
        </w:rPr>
        <w:t xml:space="preserve">”) specified in the Award Notice, on the terms and conditions set forth in this Restricted Stock Unit Agreement, any special terms and conditions for your country set forth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the Award Notice (together, the “</w:t>
      </w:r>
      <w:r>
        <w:rPr>
          <w:rFonts w:ascii="Arial" w:cs="Arial" w:eastAsia="Arial" w:hAnsi="Arial"/>
          <w:sz w:val="21"/>
          <w:szCs w:val="21"/>
          <w:u w:val="single" w:color="auto"/>
          <w:color w:val="auto"/>
        </w:rPr>
        <w:t>Agreement</w:t>
      </w:r>
      <w:r>
        <w:rPr>
          <w:rFonts w:ascii="Arial" w:cs="Arial" w:eastAsia="Arial" w:hAnsi="Arial"/>
          <w:sz w:val="21"/>
          <w:szCs w:val="21"/>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222" w:lineRule="exact"/>
        <w:rPr>
          <w:sz w:val="20"/>
          <w:szCs w:val="20"/>
          <w:color w:val="auto"/>
        </w:rPr>
      </w:pPr>
    </w:p>
    <w:p>
      <w:pPr>
        <w:ind w:left="1440" w:hanging="784"/>
        <w:spacing w:after="0"/>
        <w:tabs>
          <w:tab w:leader="none" w:pos="144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Vesting Schedule and Termination of Units</w:t>
      </w:r>
      <w:r>
        <w:rPr>
          <w:rFonts w:ascii="Arial" w:cs="Arial" w:eastAsia="Arial" w:hAnsi="Arial"/>
          <w:sz w:val="22"/>
          <w:szCs w:val="22"/>
          <w:color w:val="auto"/>
        </w:rPr>
        <w:t>.</w:t>
      </w:r>
    </w:p>
    <w:p>
      <w:pPr>
        <w:spacing w:after="0" w:line="260" w:lineRule="exact"/>
        <w:rPr>
          <w:sz w:val="20"/>
          <w:szCs w:val="20"/>
          <w:color w:val="auto"/>
        </w:rPr>
      </w:pPr>
    </w:p>
    <w:p>
      <w:pPr>
        <w:jc w:val="both"/>
        <w:ind w:left="980" w:hanging="324"/>
        <w:spacing w:after="0" w:line="257"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Subject to the terms and conditions of this Agreement, on each Vesting Date, the Number of Units indicated on</w:t>
      </w:r>
      <w:r>
        <w:rPr>
          <w:rFonts w:ascii="Arial" w:cs="Arial" w:eastAsia="Arial" w:hAnsi="Arial"/>
          <w:sz w:val="20"/>
          <w:szCs w:val="20"/>
          <w:i w:val="1"/>
          <w:iCs w:val="1"/>
          <w:color w:val="auto"/>
        </w:rPr>
        <w:t xml:space="preserve"> </w:t>
      </w:r>
      <w:r>
        <w:rPr>
          <w:rFonts w:ascii="Arial" w:cs="Arial" w:eastAsia="Arial" w:hAnsi="Arial"/>
          <w:sz w:val="20"/>
          <w:szCs w:val="20"/>
          <w:color w:val="auto"/>
        </w:rPr>
        <w:t>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Arial" w:cs="Arial" w:eastAsia="Arial" w:hAnsi="Arial"/>
          <w:sz w:val="26"/>
          <w:szCs w:val="26"/>
          <w:color w:val="auto"/>
          <w:vertAlign w:val="superscript"/>
        </w:rPr>
        <w:t>2</w:t>
      </w:r>
      <w:r>
        <w:rPr>
          <w:rFonts w:ascii="Arial" w:cs="Arial" w:eastAsia="Arial" w:hAnsi="Arial"/>
          <w:sz w:val="20"/>
          <w:szCs w:val="20"/>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(e) or (f) of this Section I below, your unvested Units shall automatically expire and terminate on the date of termination of your active employment. Notwithstanding anything herein to the contrary, the Vesting Schedule</w:t>
      </w:r>
    </w:p>
    <w:p>
      <w:pPr>
        <w:spacing w:after="0" w:line="4" w:lineRule="exact"/>
        <w:rPr>
          <w:sz w:val="20"/>
          <w:szCs w:val="20"/>
          <w:color w:val="auto"/>
        </w:rPr>
      </w:pPr>
    </w:p>
    <w:p>
      <w:pPr>
        <w:jc w:val="both"/>
        <w:ind w:left="980"/>
        <w:spacing w:after="0" w:line="255" w:lineRule="auto"/>
        <w:rPr>
          <w:sz w:val="20"/>
          <w:szCs w:val="20"/>
          <w:color w:val="auto"/>
        </w:rPr>
      </w:pPr>
      <w:r>
        <w:rPr>
          <w:rFonts w:ascii="Arial" w:cs="Arial" w:eastAsia="Arial" w:hAnsi="Arial"/>
          <w:sz w:val="21"/>
          <w:szCs w:val="21"/>
          <w:color w:val="auto"/>
        </w:rPr>
        <w:t>may be accelerated (by notice in writing) by the Company in its sole discretion at any time during the term of the Units. In addition, if not prohibited by local law, vesting may be suspended by the Company in its sole discretion during a leave of absence as provided from time to time according to Company policies and practices.</w:t>
      </w:r>
    </w:p>
    <w:p>
      <w:pPr>
        <w:spacing w:after="0" w:line="227" w:lineRule="auto"/>
        <w:rPr>
          <w:sz w:val="20"/>
          <w:szCs w:val="20"/>
          <w:color w:val="auto"/>
        </w:rPr>
      </w:pPr>
      <w:r>
        <w:rPr>
          <w:rFonts w:ascii="Arial" w:cs="Arial" w:eastAsia="Arial" w:hAnsi="Arial"/>
          <w:sz w:val="22"/>
          <w:szCs w:val="22"/>
          <w:color w:val="auto"/>
        </w:rPr>
        <w:t>_____________________________</w:t>
      </w:r>
    </w:p>
    <w:p>
      <w:pPr>
        <w:spacing w:after="0" w:line="1" w:lineRule="exact"/>
        <w:rPr>
          <w:sz w:val="20"/>
          <w:szCs w:val="20"/>
          <w:color w:val="auto"/>
        </w:rPr>
      </w:pPr>
    </w:p>
    <w:p>
      <w:pPr>
        <w:jc w:val="both"/>
        <w:ind w:firstLine="8"/>
        <w:spacing w:after="0" w:line="224" w:lineRule="auto"/>
        <w:tabs>
          <w:tab w:leader="none" w:pos="132" w:val="left"/>
        </w:tabs>
        <w:numPr>
          <w:ilvl w:val="0"/>
          <w:numId w:val="8"/>
        </w:numPr>
        <w:rPr>
          <w:rFonts w:ascii="Arial" w:cs="Arial" w:eastAsia="Arial" w:hAnsi="Arial"/>
          <w:sz w:val="29"/>
          <w:szCs w:val="29"/>
          <w:i w:val="1"/>
          <w:iCs w:val="1"/>
          <w:color w:val="auto"/>
          <w:vertAlign w:val="superscript"/>
        </w:rPr>
      </w:pPr>
      <w:r>
        <w:rPr>
          <w:rFonts w:ascii="Arial" w:cs="Arial" w:eastAsia="Arial" w:hAnsi="Arial"/>
          <w:sz w:val="22"/>
          <w:szCs w:val="22"/>
          <w:i w:val="1"/>
          <w:iCs w:val="1"/>
          <w:color w:val="auto"/>
        </w:rPr>
        <w:t>Paragraph (d) of Section I of this Agreement is not applicable to awards identified by the Administrator as new hire, retention or promotion grants and the provisions of such paragraph shall be reserved and references thereto identified by an asterisk (*) shall be omitted from the agreements evidencing such grants.</w:t>
      </w:r>
    </w:p>
    <w:p>
      <w:pPr>
        <w:sectPr>
          <w:pgSz w:w="11900" w:h="16838" w:orient="portrait"/>
          <w:cols w:equalWidth="0" w:num="1">
            <w:col w:w="11420"/>
          </w:cols>
          <w:pgMar w:left="240" w:top="369" w:right="239" w:bottom="1440" w:gutter="0" w:footer="0" w:header="0"/>
        </w:sectPr>
      </w:pPr>
    </w:p>
    <w:bookmarkStart w:id="40" w:name="page41"/>
    <w:bookmarkEnd w:id="40"/>
    <w:p>
      <w:pPr>
        <w:jc w:val="both"/>
        <w:ind w:left="980" w:hanging="324"/>
        <w:spacing w:after="0" w:line="290" w:lineRule="auto"/>
        <w:tabs>
          <w:tab w:leader="none" w:pos="980"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 xml:space="preserve">Permanent and Total Disability. </w:t>
      </w:r>
      <w:r>
        <w:rPr>
          <w:rFonts w:ascii="Arial" w:cs="Arial" w:eastAsia="Arial" w:hAnsi="Arial"/>
          <w:sz w:val="19"/>
          <w:szCs w:val="19"/>
          <w:color w:val="auto"/>
        </w:rPr>
        <w:t>Notwithstanding the provisions in paragraph (a) above, if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terminates due to your Permanent and Total Disability (as defined below), then the vesting of Units granted under this Agreement shall be accelerated, subject to your execution of a general release and waiver in a form provided by the Company, to vest as of the day immediately preceding such termination of your employment with respect to all Units granted hereunder, except that if the Units were granted in the calendar year in which such termination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197" w:lineRule="exact"/>
        <w:rPr>
          <w:rFonts w:ascii="Arial" w:cs="Arial" w:eastAsia="Arial" w:hAnsi="Arial"/>
          <w:sz w:val="19"/>
          <w:szCs w:val="19"/>
          <w:color w:val="auto"/>
        </w:rPr>
      </w:pPr>
    </w:p>
    <w:p>
      <w:pPr>
        <w:jc w:val="both"/>
        <w:ind w:left="980" w:hanging="324"/>
        <w:spacing w:after="0" w:line="260" w:lineRule="auto"/>
        <w:tabs>
          <w:tab w:leader="none" w:pos="980" w:val="left"/>
        </w:tabs>
        <w:numPr>
          <w:ilvl w:val="0"/>
          <w:numId w:val="9"/>
        </w:numPr>
        <w:rPr>
          <w:rFonts w:ascii="Arial" w:cs="Arial" w:eastAsia="Arial" w:hAnsi="Arial"/>
          <w:sz w:val="21"/>
          <w:szCs w:val="21"/>
          <w:color w:val="auto"/>
        </w:rPr>
      </w:pPr>
      <w:r>
        <w:rPr>
          <w:rFonts w:ascii="Arial" w:cs="Arial" w:eastAsia="Arial" w:hAnsi="Arial"/>
          <w:sz w:val="21"/>
          <w:szCs w:val="21"/>
          <w:i w:val="1"/>
          <w:iCs w:val="1"/>
          <w:color w:val="auto"/>
        </w:rPr>
        <w:t>Death</w:t>
      </w:r>
      <w:r>
        <w:rPr>
          <w:rFonts w:ascii="Arial" w:cs="Arial" w:eastAsia="Arial" w:hAnsi="Arial"/>
          <w:sz w:val="21"/>
          <w:szCs w:val="21"/>
          <w:color w:val="auto"/>
        </w:rPr>
        <w:t>. Notwithstanding the provisions in paragraph (a) above, if your employment with the Company or an Affiliate</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terminates due to your death, then the vesting of Units granted under this Agreement shall be accelerated to vest as of the day immediately preceding your death with respect to all Units granted hereunder, except that if the Units were granted in the calendar year in which your death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221" w:lineRule="exact"/>
        <w:rPr>
          <w:rFonts w:ascii="Arial" w:cs="Arial" w:eastAsia="Arial" w:hAnsi="Arial"/>
          <w:sz w:val="21"/>
          <w:szCs w:val="21"/>
          <w:color w:val="auto"/>
        </w:rPr>
      </w:pPr>
    </w:p>
    <w:p>
      <w:pPr>
        <w:jc w:val="both"/>
        <w:ind w:left="980" w:hanging="324"/>
        <w:spacing w:after="0" w:line="281" w:lineRule="auto"/>
        <w:tabs>
          <w:tab w:leader="none" w:pos="980"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[Retirement</w:t>
      </w:r>
      <w:r>
        <w:rPr>
          <w:rFonts w:ascii="Arial" w:cs="Arial" w:eastAsia="Arial" w:hAnsi="Arial"/>
          <w:sz w:val="19"/>
          <w:szCs w:val="19"/>
          <w:color w:val="auto"/>
        </w:rPr>
        <w:t>. Notwithstanding the provisions in paragraph (a) above, if you terminate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(“Voluntary Termination”), then the Units will vest pursuant to the Vesting Schedule without regard to the termination of employment prior to the Vesting Date, subject to your execution of a general release and waiver in a form provided by the Company, with respect to all Units granted hereunder; provided, however, that if the Units were granted in the calendar year in which the Voluntary Termination occurs, the Units will vest pursuant to the Vesting Schedule provided in the Award Notice only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w:t>
      </w:r>
    </w:p>
    <w:p>
      <w:pPr>
        <w:ind w:left="980"/>
        <w:spacing w:after="0" w:line="213" w:lineRule="auto"/>
        <w:rPr>
          <w:sz w:val="20"/>
          <w:szCs w:val="20"/>
          <w:color w:val="auto"/>
        </w:rPr>
      </w:pPr>
      <w:r>
        <w:rPr>
          <w:rFonts w:ascii="Arial" w:cs="Arial" w:eastAsia="Arial" w:hAnsi="Arial"/>
          <w:sz w:val="22"/>
          <w:szCs w:val="22"/>
          <w:color w:val="auto"/>
        </w:rPr>
        <w:t>Committee will not apply the favorable treatment described above.][Reserved]*</w:t>
      </w:r>
      <w:r>
        <w:rPr>
          <w:rFonts w:ascii="Arial" w:cs="Arial" w:eastAsia="Arial" w:hAnsi="Arial"/>
          <w:sz w:val="28"/>
          <w:szCs w:val="28"/>
          <w:color w:val="auto"/>
          <w:vertAlign w:val="superscript"/>
        </w:rPr>
        <w:t>3</w:t>
      </w:r>
    </w:p>
    <w:p>
      <w:pPr>
        <w:spacing w:after="0" w:line="228" w:lineRule="auto"/>
        <w:rPr>
          <w:sz w:val="20"/>
          <w:szCs w:val="20"/>
          <w:color w:val="auto"/>
        </w:rPr>
      </w:pPr>
      <w:r>
        <w:rPr>
          <w:rFonts w:ascii="Arial" w:cs="Arial" w:eastAsia="Arial" w:hAnsi="Arial"/>
          <w:sz w:val="22"/>
          <w:szCs w:val="22"/>
          <w:color w:val="auto"/>
        </w:rPr>
        <w:t>_____________________________</w:t>
      </w:r>
    </w:p>
    <w:p>
      <w:pPr>
        <w:jc w:val="both"/>
        <w:ind w:firstLine="8"/>
        <w:spacing w:after="0" w:line="224" w:lineRule="auto"/>
        <w:tabs>
          <w:tab w:leader="none" w:pos="132" w:val="left"/>
        </w:tabs>
        <w:numPr>
          <w:ilvl w:val="0"/>
          <w:numId w:val="10"/>
        </w:numPr>
        <w:rPr>
          <w:rFonts w:ascii="Arial" w:cs="Arial" w:eastAsia="Arial" w:hAnsi="Arial"/>
          <w:sz w:val="29"/>
          <w:szCs w:val="29"/>
          <w:i w:val="1"/>
          <w:iCs w:val="1"/>
          <w:color w:val="auto"/>
          <w:vertAlign w:val="superscript"/>
        </w:rPr>
      </w:pPr>
      <w:r>
        <w:rPr>
          <w:rFonts w:ascii="Arial" w:cs="Arial" w:eastAsia="Arial" w:hAnsi="Arial"/>
          <w:sz w:val="22"/>
          <w:szCs w:val="22"/>
          <w:i w:val="1"/>
          <w:iCs w:val="1"/>
          <w:color w:val="auto"/>
        </w:rPr>
        <w:t>Paragraph( d) of Section I of this Agreement is not applicable to awards identified by the Administrator as new hire, retention or promotion grants and the provisions of such paragraph shall be reserved and references thereto identified by an asterisk (*) shall be omitted from the agreements evidencing such grants.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41" w:name="page42"/>
    <w:bookmarkEnd w:id="41"/>
    <w:p>
      <w:pPr>
        <w:jc w:val="both"/>
        <w:ind w:left="980" w:hanging="324"/>
        <w:spacing w:after="0" w:line="312" w:lineRule="auto"/>
        <w:tabs>
          <w:tab w:leader="none" w:pos="980"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Qualified Termination after a Change of Control</w:t>
      </w:r>
      <w:r>
        <w:rPr>
          <w:rFonts w:ascii="Arial" w:cs="Arial" w:eastAsia="Arial" w:hAnsi="Arial"/>
          <w:sz w:val="19"/>
          <w:szCs w:val="19"/>
          <w:color w:val="auto"/>
        </w:rPr>
        <w:t>. Notwithstanding the provisions in paragraph (a) above, in the event of</w:t>
      </w:r>
      <w:r>
        <w:rPr>
          <w:rFonts w:ascii="Arial" w:cs="Arial" w:eastAsia="Arial" w:hAnsi="Arial"/>
          <w:sz w:val="19"/>
          <w:szCs w:val="19"/>
          <w:i w:val="1"/>
          <w:iCs w:val="1"/>
          <w:color w:val="auto"/>
        </w:rPr>
        <w:t xml:space="preserve"> </w:t>
      </w:r>
      <w:r>
        <w:rPr>
          <w:rFonts w:ascii="Arial" w:cs="Arial" w:eastAsia="Arial" w:hAnsi="Arial"/>
          <w:sz w:val="19"/>
          <w:szCs w:val="19"/>
          <w:color w:val="auto"/>
        </w:rPr>
        <w:t>a Qualified Termination (as defined below), then, to the extent permitted by applicable law, the vesting of Units granted under this Agreement shall be accelerated to vest as of the day immediately prior to the Qualified Termination.</w:t>
      </w:r>
    </w:p>
    <w:p>
      <w:pPr>
        <w:spacing w:after="0" w:line="174"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Continued Vesting</w:t>
      </w:r>
      <w:r>
        <w:rPr>
          <w:rFonts w:ascii="Arial" w:cs="Arial" w:eastAsia="Arial" w:hAnsi="Arial"/>
          <w:sz w:val="22"/>
          <w:szCs w:val="22"/>
          <w:color w:val="auto"/>
        </w:rPr>
        <w:t>. Notwithstanding the provisions in paragraph (a) above, the Company may in its sole discretion at</w:t>
      </w:r>
      <w:r>
        <w:rPr>
          <w:rFonts w:ascii="Arial" w:cs="Arial" w:eastAsia="Arial" w:hAnsi="Arial"/>
          <w:sz w:val="22"/>
          <w:szCs w:val="22"/>
          <w:i w:val="1"/>
          <w:iCs w:val="1"/>
          <w:color w:val="auto"/>
        </w:rPr>
        <w:t xml:space="preserve"> </w:t>
      </w:r>
      <w:r>
        <w:rPr>
          <w:rFonts w:ascii="Arial" w:cs="Arial" w:eastAsia="Arial" w:hAnsi="Arial"/>
          <w:sz w:val="22"/>
          <w:szCs w:val="22"/>
          <w:color w:val="auto"/>
        </w:rPr>
        <w:t>any 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Agreement:</w:t>
      </w:r>
    </w:p>
    <w:p>
      <w:pPr>
        <w:spacing w:after="0" w:line="260" w:lineRule="exact"/>
        <w:rPr>
          <w:sz w:val="20"/>
          <w:szCs w:val="20"/>
          <w:color w:val="auto"/>
        </w:rPr>
      </w:pPr>
    </w:p>
    <w:p>
      <w:pPr>
        <w:jc w:val="both"/>
        <w:ind w:firstLine="656"/>
        <w:spacing w:after="0" w:line="289" w:lineRule="auto"/>
        <w:tabs>
          <w:tab w:leader="none" w:pos="9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active employment</w:t>
      </w:r>
      <w:r>
        <w:rPr>
          <w:rFonts w:ascii="Arial" w:cs="Arial" w:eastAsia="Arial" w:hAnsi="Arial"/>
          <w:sz w:val="19"/>
          <w:szCs w:val="19"/>
          <w:color w:val="auto"/>
        </w:rPr>
        <w:t>” shall mean the last date that you are either an active employee of the Company or an Affiliate or actively engaged as a Consultant or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any period of “garden leave” or similar period mandated under employment laws in the jurisdiction where you are employed or the terms of your employment agreement, if any). The Company shall have exclusive discretion to determine when you are no longer actively providing services for purposes of the Units (including whether you may still be considered to be providing services while on a leave of absence);</w:t>
      </w:r>
    </w:p>
    <w:p>
      <w:pPr>
        <w:spacing w:after="0" w:line="198" w:lineRule="exact"/>
        <w:rPr>
          <w:rFonts w:ascii="Arial" w:cs="Arial" w:eastAsia="Arial" w:hAnsi="Arial"/>
          <w:sz w:val="19"/>
          <w:szCs w:val="19"/>
          <w:color w:val="auto"/>
        </w:rPr>
      </w:pPr>
    </w:p>
    <w:p>
      <w:pPr>
        <w:jc w:val="both"/>
        <w:ind w:firstLine="656"/>
        <w:spacing w:after="0" w:line="288" w:lineRule="auto"/>
        <w:tabs>
          <w:tab w:leader="none" w:pos="966" w:val="left"/>
        </w:tabs>
        <w:numPr>
          <w:ilvl w:val="1"/>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(ii) your engaging in conduct that constitutes willful gross neglect or willful gross misconduct in carrying out your duties, resulting, in either case, in material economic harm to the Company, unless you believed in good faith that such conduct was in, or not contrary to, the best interests of the Company. For purposes of clause</w:t>
      </w:r>
    </w:p>
    <w:p>
      <w:pPr>
        <w:spacing w:after="0" w:line="1" w:lineRule="exact"/>
        <w:rPr>
          <w:rFonts w:ascii="Arial" w:cs="Arial" w:eastAsia="Arial" w:hAnsi="Arial"/>
          <w:sz w:val="19"/>
          <w:szCs w:val="19"/>
          <w:color w:val="auto"/>
        </w:rPr>
      </w:pPr>
    </w:p>
    <w:p>
      <w:pPr>
        <w:ind w:firstLine="8"/>
        <w:spacing w:after="0" w:line="246" w:lineRule="auto"/>
        <w:tabs>
          <w:tab w:leader="none" w:pos="33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above, no act, or failure to act, on your part shall be deemed “willful” unless done, or omitted to be done, by you not in good faith;</w:t>
      </w:r>
    </w:p>
    <w:p>
      <w:pPr>
        <w:spacing w:after="0" w:line="233" w:lineRule="exact"/>
        <w:rPr>
          <w:rFonts w:ascii="Arial" w:cs="Arial" w:eastAsia="Arial" w:hAnsi="Arial"/>
          <w:sz w:val="22"/>
          <w:szCs w:val="22"/>
          <w:color w:val="auto"/>
        </w:rPr>
      </w:pPr>
    </w:p>
    <w:p>
      <w:pPr>
        <w:jc w:val="both"/>
        <w:ind w:firstLine="656"/>
        <w:spacing w:after="0" w:line="248" w:lineRule="auto"/>
        <w:tabs>
          <w:tab w:leader="none" w:pos="1026" w:val="left"/>
        </w:tabs>
        <w:numPr>
          <w:ilvl w:val="1"/>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Permanent and Total Disability</w:t>
      </w:r>
      <w:r>
        <w:rPr>
          <w:rFonts w:ascii="Arial" w:cs="Arial" w:eastAsia="Arial" w:hAnsi="Arial"/>
          <w:sz w:val="22"/>
          <w:szCs w:val="22"/>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spacing w:after="0" w:line="232" w:lineRule="exact"/>
        <w:rPr>
          <w:rFonts w:ascii="Arial" w:cs="Arial" w:eastAsia="Arial" w:hAnsi="Arial"/>
          <w:sz w:val="22"/>
          <w:szCs w:val="22"/>
          <w:color w:val="auto"/>
        </w:rPr>
      </w:pPr>
    </w:p>
    <w:p>
      <w:pPr>
        <w:ind w:left="1020" w:hanging="364"/>
        <w:spacing w:after="0"/>
        <w:tabs>
          <w:tab w:leader="none" w:pos="10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Termination</w:t>
      </w:r>
      <w:r>
        <w:rPr>
          <w:rFonts w:ascii="Arial" w:cs="Arial" w:eastAsia="Arial" w:hAnsi="Arial"/>
          <w:sz w:val="22"/>
          <w:szCs w:val="22"/>
          <w:color w:val="auto"/>
        </w:rPr>
        <w:t>” shall mean</w:t>
      </w:r>
    </w:p>
    <w:p>
      <w:pPr>
        <w:spacing w:after="0" w:line="260"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13"/>
        </w:numPr>
        <w:rPr>
          <w:rFonts w:ascii="Arial" w:cs="Arial" w:eastAsia="Arial" w:hAnsi="Arial"/>
          <w:sz w:val="22"/>
          <w:szCs w:val="22"/>
          <w:color w:val="auto"/>
        </w:rPr>
      </w:pPr>
      <w:r>
        <w:rPr>
          <w:rFonts w:ascii="Arial" w:cs="Arial" w:eastAsia="Arial" w:hAnsi="Arial"/>
          <w:sz w:val="22"/>
          <w:szCs w:val="22"/>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22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13"/>
        </w:numPr>
        <w:rPr>
          <w:rFonts w:ascii="Arial" w:cs="Arial" w:eastAsia="Arial" w:hAnsi="Arial"/>
          <w:sz w:val="22"/>
          <w:szCs w:val="22"/>
          <w:color w:val="auto"/>
        </w:rPr>
      </w:pPr>
      <w:r>
        <w:rPr>
          <w:rFonts w:ascii="Arial" w:cs="Arial" w:eastAsia="Arial" w:hAnsi="Arial"/>
          <w:sz w:val="22"/>
          <w:szCs w:val="22"/>
          <w:color w:val="auto"/>
        </w:rPr>
        <w:t>if you are an employee who does not participate in the Change of Control Plan or the Change of Control Plan is no longer in effect, your termination of employment within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42" w:name="page43"/>
    <w:bookmarkEnd w:id="42"/>
    <w:p>
      <w:pPr>
        <w:ind w:left="1960"/>
        <w:spacing w:after="0" w:line="263" w:lineRule="auto"/>
        <w:rPr>
          <w:sz w:val="20"/>
          <w:szCs w:val="20"/>
          <w:color w:val="auto"/>
        </w:rPr>
      </w:pPr>
      <w:r>
        <w:rPr>
          <w:rFonts w:ascii="Arial" w:cs="Arial" w:eastAsia="Arial" w:hAnsi="Arial"/>
          <w:sz w:val="22"/>
          <w:szCs w:val="22"/>
          <w:color w:val="auto"/>
        </w:rPr>
        <w:t>two (2) years following a Change of Control by the Company other than for Cause, Disability (as defined below), or as a result of your death;</w:t>
      </w:r>
    </w:p>
    <w:p>
      <w:pPr>
        <w:spacing w:after="0" w:line="215"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the occurrence of any of the following:</w:t>
      </w:r>
    </w:p>
    <w:p>
      <w:pPr>
        <w:spacing w:after="0" w:line="219" w:lineRule="exact"/>
        <w:rPr>
          <w:rFonts w:ascii="Arial" w:cs="Arial" w:eastAsia="Arial" w:hAnsi="Arial"/>
          <w:sz w:val="22"/>
          <w:szCs w:val="22"/>
          <w:color w:val="auto"/>
        </w:rPr>
      </w:pPr>
    </w:p>
    <w:p>
      <w:pPr>
        <w:jc w:val="both"/>
        <w:ind w:firstLine="980"/>
        <w:spacing w:after="0" w:line="247" w:lineRule="auto"/>
        <w:tabs>
          <w:tab w:leader="none" w:pos="1607"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93" w:lineRule="exact"/>
        <w:rPr>
          <w:rFonts w:ascii="Arial" w:cs="Arial" w:eastAsia="Arial" w:hAnsi="Arial"/>
          <w:sz w:val="22"/>
          <w:szCs w:val="22"/>
          <w:color w:val="auto"/>
        </w:rPr>
      </w:pPr>
    </w:p>
    <w:p>
      <w:pPr>
        <w:jc w:val="both"/>
        <w:ind w:firstLine="980"/>
        <w:spacing w:after="0" w:line="260" w:lineRule="auto"/>
        <w:tabs>
          <w:tab w:leader="none" w:pos="1363" w:val="left"/>
        </w:tabs>
        <w:numPr>
          <w:ilvl w:val="1"/>
          <w:numId w:val="14"/>
        </w:numPr>
        <w:rPr>
          <w:rFonts w:ascii="Arial" w:cs="Arial" w:eastAsia="Arial" w:hAnsi="Arial"/>
          <w:sz w:val="21"/>
          <w:szCs w:val="21"/>
          <w:color w:val="auto"/>
        </w:rPr>
      </w:pPr>
      <w:r>
        <w:rPr>
          <w:rFonts w:ascii="Arial" w:cs="Arial" w:eastAsia="Arial" w:hAnsi="Arial"/>
          <w:sz w:val="21"/>
          <w:szCs w:val="21"/>
          <w:color w:val="auto"/>
        </w:rPr>
        <w:t>individuals who, as of April 2, 1991, constitute the Board (the “Incumbent Board”) cease for any reason to constitute at least a majority of the Board, provided that any person becoming a director subsequent to April 2, 1991,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promulgated under the Exchange Act) shall be, for purposes of the Plan, considered as though such person were a member of the Incumbent Board; or</w:t>
      </w:r>
    </w:p>
    <w:p>
      <w:pPr>
        <w:spacing w:after="0" w:line="181" w:lineRule="exact"/>
        <w:rPr>
          <w:rFonts w:ascii="Arial" w:cs="Arial" w:eastAsia="Arial" w:hAnsi="Arial"/>
          <w:sz w:val="21"/>
          <w:szCs w:val="21"/>
          <w:color w:val="auto"/>
        </w:rPr>
      </w:pPr>
    </w:p>
    <w:p>
      <w:pPr>
        <w:jc w:val="both"/>
        <w:ind w:firstLine="980"/>
        <w:spacing w:after="0" w:line="297" w:lineRule="auto"/>
        <w:tabs>
          <w:tab w:leader="none" w:pos="166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(B), (C) or (D) above must also constitute a “change in control event,” as defined in U.S. Treasury Regulation § 1.409A-3(i)(5), in order to constitute a Change of Control for purposes of payment of such Unit.</w:t>
      </w:r>
    </w:p>
    <w:p>
      <w:pPr>
        <w:spacing w:after="0" w:line="233" w:lineRule="exact"/>
        <w:rPr>
          <w:sz w:val="20"/>
          <w:szCs w:val="20"/>
          <w:color w:val="auto"/>
        </w:rPr>
      </w:pPr>
    </w:p>
    <w:p>
      <w:pPr>
        <w:jc w:val="both"/>
        <w:ind w:firstLine="656"/>
        <w:spacing w:after="0" w:line="248" w:lineRule="auto"/>
        <w:tabs>
          <w:tab w:leader="none" w:pos="119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Plan</w:t>
      </w:r>
      <w:r>
        <w:rPr>
          <w:rFonts w:ascii="Arial" w:cs="Arial" w:eastAsia="Arial" w:hAnsi="Arial"/>
          <w:sz w:val="22"/>
          <w:szCs w:val="22"/>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92" w:lineRule="exact"/>
        <w:rPr>
          <w:rFonts w:ascii="Arial" w:cs="Arial" w:eastAsia="Arial" w:hAnsi="Arial"/>
          <w:sz w:val="22"/>
          <w:szCs w:val="22"/>
          <w:color w:val="auto"/>
        </w:rPr>
      </w:pPr>
    </w:p>
    <w:p>
      <w:pPr>
        <w:ind w:firstLine="656"/>
        <w:spacing w:after="0" w:line="263" w:lineRule="auto"/>
        <w:tabs>
          <w:tab w:leader="none" w:pos="1236"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be determined in accordance with the Company’s long-term disability plan as in effect immediately prior to a Change of Control.</w:t>
      </w:r>
    </w:p>
    <w:p>
      <w:pPr>
        <w:spacing w:after="0" w:line="175" w:lineRule="exact"/>
        <w:rPr>
          <w:sz w:val="20"/>
          <w:szCs w:val="20"/>
          <w:color w:val="auto"/>
        </w:rPr>
      </w:pPr>
    </w:p>
    <w:p>
      <w:pPr>
        <w:jc w:val="both"/>
        <w:ind w:firstLine="656"/>
        <w:spacing w:after="0" w:line="250" w:lineRule="auto"/>
        <w:tabs>
          <w:tab w:leader="none" w:pos="149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Subject to satisfaction of tax or similar obligations as provided for in Section III, any vested Units shall be paid by the Company in Shares (on a one-to-one basis) on, or as soon as practicable after, and in any event within 90 days after the applicable Vesting Date, which for purposes of this Section II, includes the date of any accelerated vesting, if any (the “</w:t>
      </w:r>
      <w:r>
        <w:rPr>
          <w:rFonts w:ascii="Arial" w:cs="Arial" w:eastAsia="Arial" w:hAnsi="Arial"/>
          <w:sz w:val="22"/>
          <w:szCs w:val="22"/>
          <w:u w:val="single" w:color="auto"/>
          <w:color w:val="auto"/>
        </w:rPr>
        <w:t>Settlement Period</w:t>
      </w:r>
      <w:r>
        <w:rPr>
          <w:rFonts w:ascii="Arial" w:cs="Arial" w:eastAsia="Arial" w:hAnsi="Arial"/>
          <w:sz w:val="22"/>
          <w:szCs w:val="22"/>
          <w:color w:val="auto"/>
        </w:rPr>
        <w:t>”). [(For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20"/>
          <w:szCs w:val="20"/>
          <w:color w:val="auto"/>
        </w:rPr>
        <w:t>avoidance of doubt, in the event that any Units continue to vest following a Voluntary Termination in accordance with Section 1(d) above, the Vesting Date(s) for purposes of payments pursuant to this Section II shall be the regularly scheduled Vesting Dates following such termination.]*</w:t>
      </w:r>
      <w:r>
        <w:rPr>
          <w:rFonts w:ascii="Arial" w:cs="Arial" w:eastAsia="Arial" w:hAnsi="Arial"/>
          <w:sz w:val="26"/>
          <w:szCs w:val="26"/>
          <w:color w:val="auto"/>
          <w:vertAlign w:val="superscript"/>
        </w:rPr>
        <w:t>4</w:t>
      </w:r>
      <w:r>
        <w:rPr>
          <w:rFonts w:ascii="Arial" w:cs="Arial" w:eastAsia="Arial" w:hAnsi="Arial"/>
          <w:sz w:val="20"/>
          <w:szCs w:val="20"/>
          <w:color w:val="auto"/>
        </w:rPr>
        <w:t xml:space="preserve"> Notwithstanding anything to the contrary in the foregoing, in the event that (i) the vesting and settlement of Units is conditioned on your execution and delivery of a release and (ii) the Settlement Period commences in one calendar year and ends in the next calendar year, the Units will be paid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18" w:lineRule="exact"/>
        <w:rPr>
          <w:sz w:val="20"/>
          <w:szCs w:val="20"/>
          <w:color w:val="auto"/>
        </w:rPr>
      </w:pPr>
    </w:p>
    <w:p>
      <w:pPr>
        <w:jc w:val="both"/>
        <w:ind w:firstLine="656"/>
        <w:spacing w:after="0" w:line="257" w:lineRule="auto"/>
        <w:tabs>
          <w:tab w:leader="none" w:pos="1566"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Tax Withholding; Issuance of Certificates</w:t>
      </w:r>
      <w:r>
        <w:rPr>
          <w:rFonts w:ascii="Arial" w:cs="Arial" w:eastAsia="Arial" w:hAnsi="Arial"/>
          <w:sz w:val="21"/>
          <w:szCs w:val="21"/>
          <w:color w:val="auto"/>
        </w:rPr>
        <w:t>. Regardless of any action the Company or your actual employer (the “</w:t>
      </w:r>
      <w:r>
        <w:rPr>
          <w:rFonts w:ascii="Arial" w:cs="Arial" w:eastAsia="Arial" w:hAnsi="Arial"/>
          <w:sz w:val="21"/>
          <w:szCs w:val="21"/>
          <w:u w:val="single" w:color="auto"/>
          <w:color w:val="auto"/>
        </w:rPr>
        <w:t>Employer</w:t>
      </w:r>
      <w:r>
        <w:rPr>
          <w:rFonts w:ascii="Arial" w:cs="Arial" w:eastAsia="Arial" w:hAnsi="Arial"/>
          <w:sz w:val="21"/>
          <w:szCs w:val="21"/>
          <w:color w:val="auto"/>
        </w:rPr>
        <w:t>”) takes with respect to any or all income tax (including federal, state and local taxes), social insurance, payroll tax, payment on account or other tax-related items related to your participation in the Plan and legally applicable to you (“</w:t>
      </w:r>
      <w:r>
        <w:rPr>
          <w:rFonts w:ascii="Arial" w:cs="Arial" w:eastAsia="Arial" w:hAnsi="Arial"/>
          <w:sz w:val="21"/>
          <w:szCs w:val="21"/>
          <w:u w:val="single" w:color="auto"/>
          <w:color w:val="auto"/>
        </w:rPr>
        <w:t>Tax</w:t>
      </w:r>
      <w:r>
        <w:rPr>
          <w:rFonts w:ascii="Arial" w:cs="Arial" w:eastAsia="Arial" w:hAnsi="Arial"/>
          <w:sz w:val="21"/>
          <w:szCs w:val="21"/>
          <w:color w:val="auto"/>
        </w:rPr>
        <w:t xml:space="preserve"> </w:t>
      </w:r>
      <w:r>
        <w:rPr>
          <w:rFonts w:ascii="Arial" w:cs="Arial" w:eastAsia="Arial" w:hAnsi="Arial"/>
          <w:sz w:val="21"/>
          <w:szCs w:val="21"/>
          <w:u w:val="single" w:color="auto"/>
          <w:color w:val="auto"/>
        </w:rPr>
        <w:t>Obligations”)</w:t>
      </w:r>
      <w:r>
        <w:rPr>
          <w:rFonts w:ascii="Arial" w:cs="Arial" w:eastAsia="Arial" w:hAnsi="Arial"/>
          <w:sz w:val="21"/>
          <w:szCs w:val="21"/>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Units, including the grant of the Units, the vesting of Units, the conversion of the Units into Shares or the receipt of an equivalent cash payment, the subsequent sale of any Shares acquired at vesting and the receipt of any dividends, and (ii) do not commit to and are under no obligation to structure the terms of the grant or any aspect of the Units to reduce or eliminate your liability for Tax Obligations or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spacing w:after="0" w:line="188"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paid to you by the Company and/or your Employer; or</w:t>
      </w:r>
    </w:p>
    <w:p>
      <w:pPr>
        <w:spacing w:after="0" w:line="267" w:lineRule="exact"/>
        <w:rPr>
          <w:rFonts w:ascii="Arial" w:cs="Arial" w:eastAsia="Arial" w:hAnsi="Arial"/>
          <w:sz w:val="19"/>
          <w:szCs w:val="19"/>
          <w:color w:val="auto"/>
        </w:rPr>
      </w:pPr>
    </w:p>
    <w:p>
      <w:pPr>
        <w:ind w:firstLine="656"/>
        <w:spacing w:after="0" w:line="301" w:lineRule="auto"/>
        <w:tabs>
          <w:tab w:leader="none" w:pos="1202" w:val="left"/>
        </w:tabs>
        <w:numPr>
          <w:ilvl w:val="0"/>
          <w:numId w:val="18"/>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upon vesting or payment of the Units either through a voluntary sale or through a mandatory sale arranged by the Company (on your behalf pursuant to this authorization); or</w:t>
      </w:r>
    </w:p>
    <w:p>
      <w:pPr>
        <w:spacing w:after="0" w:line="137" w:lineRule="exact"/>
        <w:rPr>
          <w:rFonts w:ascii="Arial" w:cs="Arial" w:eastAsia="Arial" w:hAnsi="Arial"/>
          <w:sz w:val="21"/>
          <w:szCs w:val="21"/>
          <w:color w:val="auto"/>
        </w:rPr>
      </w:pPr>
    </w:p>
    <w:p>
      <w:pPr>
        <w:ind w:firstLine="656"/>
        <w:spacing w:after="0" w:line="276" w:lineRule="auto"/>
        <w:tabs>
          <w:tab w:leader="none" w:pos="1217"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withholding in Shares to be issued upon vesting or payment of the Units, provided that the Company and your Employer shall only withhold an amount of Shares with a fair market value equal to the Tax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5" w:lineRule="exact"/>
        <w:rPr>
          <w:sz w:val="20"/>
          <w:szCs w:val="20"/>
          <w:color w:val="auto"/>
        </w:rPr>
      </w:pPr>
    </w:p>
    <w:p>
      <w:pPr>
        <w:jc w:val="both"/>
        <w:ind w:firstLine="8"/>
        <w:spacing w:after="0" w:line="224" w:lineRule="auto"/>
        <w:tabs>
          <w:tab w:leader="none" w:pos="132" w:val="left"/>
        </w:tabs>
        <w:numPr>
          <w:ilvl w:val="0"/>
          <w:numId w:val="19"/>
        </w:numPr>
        <w:rPr>
          <w:rFonts w:ascii="Arial" w:cs="Arial" w:eastAsia="Arial" w:hAnsi="Arial"/>
          <w:sz w:val="29"/>
          <w:szCs w:val="29"/>
          <w:i w:val="1"/>
          <w:iCs w:val="1"/>
          <w:color w:val="auto"/>
          <w:vertAlign w:val="superscript"/>
        </w:rPr>
      </w:pPr>
      <w:r>
        <w:rPr>
          <w:rFonts w:ascii="Arial" w:cs="Arial" w:eastAsia="Arial" w:hAnsi="Arial"/>
          <w:sz w:val="22"/>
          <w:szCs w:val="22"/>
          <w:i w:val="1"/>
          <w:iCs w:val="1"/>
          <w:color w:val="auto"/>
        </w:rPr>
        <w:t>Paragraph (d) of Section I of this Agreement is not applicable to awards identified by the Administrator as new hire, retention or promotion grants and the provisions of such paragraph shall be reserved and references thereto identified by an asterisk (*) shall be omitted from the agreements evidencing such grants.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44" w:name="page45"/>
    <w:bookmarkEnd w:id="44"/>
    <w:p>
      <w:pPr>
        <w:jc w:val="both"/>
        <w:ind w:firstLine="648"/>
        <w:spacing w:after="0" w:line="294" w:lineRule="auto"/>
        <w:rPr>
          <w:sz w:val="20"/>
          <w:szCs w:val="20"/>
          <w:color w:val="auto"/>
        </w:rPr>
      </w:pPr>
      <w:r>
        <w:rPr>
          <w:rFonts w:ascii="Arial" w:cs="Arial" w:eastAsia="Arial" w:hAnsi="Arial"/>
          <w:sz w:val="19"/>
          <w:szCs w:val="19"/>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vested Units, notwithstanding that a number of the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Finally, you shall pay to the Company or your Employer any amount of Tax Obligations that the Company or your Employer may be required to withhold or account for as a result of your participation in the Plan that cannot be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188"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u w:val="single" w:color="auto"/>
          <w:color w:val="auto"/>
        </w:rPr>
        <w:t>Dividend Equivalents</w:t>
      </w:r>
    </w:p>
    <w:p>
      <w:pPr>
        <w:spacing w:after="0" w:line="260" w:lineRule="exact"/>
        <w:rPr>
          <w:sz w:val="20"/>
          <w:szCs w:val="20"/>
          <w:color w:val="auto"/>
        </w:rPr>
      </w:pPr>
    </w:p>
    <w:p>
      <w:pPr>
        <w:jc w:val="both"/>
        <w:ind w:firstLine="1953"/>
        <w:spacing w:after="0" w:line="287" w:lineRule="auto"/>
        <w:tabs>
          <w:tab w:leader="none" w:pos="2414"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Crediting and Payment of Dividend Equivalents</w:t>
      </w:r>
      <w:r>
        <w:rPr>
          <w:rFonts w:ascii="Arial" w:cs="Arial" w:eastAsia="Arial" w:hAnsi="Arial"/>
          <w:sz w:val="19"/>
          <w:szCs w:val="19"/>
          <w:color w:val="auto"/>
        </w:rPr>
        <w:t>. Subject to this Section IV, Dividend Equivalents shall be credited on each Unit granted to you under this Agreement in the manner set forth in the remainder of this Section IV. If the Company declares one or more dividends or distributions (each, a “</w:t>
      </w:r>
      <w:r>
        <w:rPr>
          <w:rFonts w:ascii="Arial" w:cs="Arial" w:eastAsia="Arial" w:hAnsi="Arial"/>
          <w:sz w:val="19"/>
          <w:szCs w:val="19"/>
          <w:u w:val="single" w:color="auto"/>
          <w:color w:val="auto"/>
        </w:rPr>
        <w:t>Dividend</w:t>
      </w:r>
      <w:r>
        <w:rPr>
          <w:rFonts w:ascii="Arial" w:cs="Arial" w:eastAsia="Arial" w:hAnsi="Arial"/>
          <w:sz w:val="19"/>
          <w:szCs w:val="19"/>
          <w:color w:val="auto"/>
        </w:rPr>
        <w:t>”) on its Common Stock with a record date which occurs during the period commencing on the Grant Date through and including the day immediately preceding the day the shares of Common Stock subject to the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of Common Stock equal to the number of your Units as of the record date for such Dividend, unless the Units have been forfeited between the record date and payment date for such Dividend. Any such Dividend Equivalents shall be credited and deemed reinvested in the Common Stock as of the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200" w:lineRule="exact"/>
        <w:rPr>
          <w:rFonts w:ascii="Arial" w:cs="Arial" w:eastAsia="Arial" w:hAnsi="Arial"/>
          <w:sz w:val="19"/>
          <w:szCs w:val="19"/>
          <w:color w:val="auto"/>
        </w:rPr>
      </w:pPr>
    </w:p>
    <w:p>
      <w:pPr>
        <w:jc w:val="both"/>
        <w:ind w:firstLine="1953"/>
        <w:spacing w:after="0" w:line="248" w:lineRule="auto"/>
        <w:tabs>
          <w:tab w:leader="none" w:pos="2521"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Treatment of Dividend Equivalents.</w:t>
      </w:r>
      <w:r>
        <w:rPr>
          <w:rFonts w:ascii="Arial" w:cs="Arial" w:eastAsia="Arial" w:hAnsi="Arial"/>
          <w:sz w:val="22"/>
          <w:szCs w:val="22"/>
          <w:color w:val="auto"/>
        </w:rPr>
        <w:t xml:space="preserve"> Except as otherwise expressly provided in this Section IV, any Dividend Equivalents credited to you shall be subject to all of the provisions of this Agreement which apply to the Units with respect to which they have been credited and shall be payable, if at all, at the time and to the extent that the underlying Unit becomes payable. Dividend Equivalents shall not be payable on any Units that do not vest, or are forfeited, pursuant to the terms of this Agreement.</w:t>
      </w:r>
    </w:p>
    <w:p>
      <w:pPr>
        <w:spacing w:after="0" w:line="232" w:lineRule="exact"/>
        <w:rPr>
          <w:rFonts w:ascii="Arial" w:cs="Arial" w:eastAsia="Arial" w:hAnsi="Arial"/>
          <w:sz w:val="22"/>
          <w:szCs w:val="22"/>
          <w:color w:val="auto"/>
        </w:rPr>
      </w:pPr>
    </w:p>
    <w:p>
      <w:pPr>
        <w:jc w:val="both"/>
        <w:ind w:left="80" w:firstLine="657"/>
        <w:spacing w:after="0" w:line="263" w:lineRule="auto"/>
        <w:tabs>
          <w:tab w:leader="none" w:pos="147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No benefit payable under, or interest in, this Agreement or in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nothing in this Section V shall prevent transfer (i) by will or (ii) by applicable laws of descent and distribution.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VI. Notices. Any notices provided for in this Agreement or the Plan shall be given in writing or electronically and shall be deemed effectively given upon receipt or, in the case of notices delivered by the Company to you, five (5) days after deposit in the United States mail, postage prepaid, addressed to you at such address as is currently maintained in the Company’s records or at such other address as you hereafter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22"/>
          <w:szCs w:val="22"/>
          <w:color w:val="auto"/>
        </w:rPr>
        <w:t>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VII.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VIII. </w:t>
      </w:r>
      <w:r>
        <w:rPr>
          <w:rFonts w:ascii="Arial" w:cs="Arial" w:eastAsia="Arial" w:hAnsi="Arial"/>
          <w:sz w:val="22"/>
          <w:szCs w:val="22"/>
          <w:u w:val="single" w:color="auto"/>
          <w:color w:val="auto"/>
        </w:rPr>
        <w:t>Governing Law</w:t>
      </w:r>
      <w:r>
        <w:rPr>
          <w:rFonts w:ascii="Arial" w:cs="Arial" w:eastAsia="Arial" w:hAnsi="Arial"/>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IX. </w:t>
      </w:r>
      <w:r>
        <w:rPr>
          <w:rFonts w:ascii="Arial" w:cs="Arial" w:eastAsia="Arial" w:hAnsi="Arial"/>
          <w:sz w:val="19"/>
          <w:szCs w:val="19"/>
          <w:u w:val="single" w:color="auto"/>
          <w:color w:val="auto"/>
        </w:rPr>
        <w:t>Code Section 409A.</w:t>
      </w:r>
      <w:r>
        <w:rPr>
          <w:rFonts w:ascii="Arial" w:cs="Arial" w:eastAsia="Arial" w:hAnsi="Arial"/>
          <w:sz w:val="19"/>
          <w:szCs w:val="19"/>
          <w:color w:val="auto"/>
        </w:rPr>
        <w:t xml:space="preserve"> The time and form of payment of the Units is intended to comply with the requirements of Code Section 409A and this Agreement shall be interpreted in accordance with Code Section 409A and U.S. Department of Treasury regulations and other interpretive guidance issued thereunder, including without limitation any such regulations or other guidance that may be issued after the Grant Date. Accordingly, no acceleration or deferral of any payment shall be permitted if it would cause the payment of the Units to violate Code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Code Section 409A and/or preserve the intended tax treatment of the benefits provided with respect to this Award, or (b) comply with the requirements of Code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paragraph shall not create an obligation on the part of the Committee to adopt any such amendment, policy or procedure or take any such other action. For purposes of Code Section 409A, the right to receive payment of Units at each Vesting Date shall be treated as a right to receive separate and distinct payments.</w:t>
      </w:r>
    </w:p>
    <w:p>
      <w:pPr>
        <w:spacing w:after="0" w:line="208" w:lineRule="exact"/>
        <w:rPr>
          <w:sz w:val="20"/>
          <w:szCs w:val="20"/>
          <w:color w:val="auto"/>
        </w:rPr>
      </w:pPr>
    </w:p>
    <w:p>
      <w:pPr>
        <w:jc w:val="both"/>
        <w:ind w:firstLine="656"/>
        <w:spacing w:after="0" w:line="290" w:lineRule="auto"/>
        <w:tabs>
          <w:tab w:leader="none" w:pos="1507"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XI.</w:t>
      </w:r>
      <w:r>
        <w:rPr>
          <w:sz w:val="20"/>
          <w:szCs w:val="20"/>
          <w:color w:val="auto"/>
        </w:rPr>
        <w:tab/>
      </w:r>
      <w:r>
        <w:rPr>
          <w:rFonts w:ascii="Arial" w:cs="Arial" w:eastAsia="Arial" w:hAnsi="Arial"/>
          <w:sz w:val="22"/>
          <w:szCs w:val="22"/>
          <w:u w:val="single" w:color="auto"/>
          <w:color w:val="auto"/>
        </w:rPr>
        <w:t>Acknowledgment of Nature of Plan and Units</w:t>
      </w:r>
      <w:r>
        <w:rPr>
          <w:rFonts w:ascii="Arial" w:cs="Arial" w:eastAsia="Arial" w:hAnsi="Arial"/>
          <w:sz w:val="22"/>
          <w:szCs w:val="22"/>
          <w:color w:val="auto"/>
        </w:rPr>
        <w:t>. In accepting this Agreement, you acknowledge that: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46" w:name="page47"/>
    <w:bookmarkEnd w:id="46"/>
    <w:p>
      <w:pPr>
        <w:ind w:firstLine="1953"/>
        <w:spacing w:after="0" w:line="263" w:lineRule="auto"/>
        <w:tabs>
          <w:tab w:leader="none" w:pos="249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is discretionary in nature and may be modified, amended, suspended or terminated by the Company at any time, as provided in the Plan;</w:t>
      </w:r>
    </w:p>
    <w:p>
      <w:pPr>
        <w:spacing w:after="0" w:line="215" w:lineRule="exact"/>
        <w:rPr>
          <w:rFonts w:ascii="Arial" w:cs="Arial" w:eastAsia="Arial" w:hAnsi="Arial"/>
          <w:sz w:val="22"/>
          <w:szCs w:val="22"/>
          <w:color w:val="auto"/>
        </w:rPr>
      </w:pPr>
    </w:p>
    <w:p>
      <w:pPr>
        <w:ind w:firstLine="1953"/>
        <w:spacing w:after="0" w:line="287" w:lineRule="auto"/>
        <w:tabs>
          <w:tab w:leader="none" w:pos="2455"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grant of the Units is voluntary and occasional and does not create any contractual or other right to receive future awards of Units, or benefits in lieu of Units even if Units have been awarded repeatedly in the past;</w:t>
      </w:r>
    </w:p>
    <w:p>
      <w:pPr>
        <w:spacing w:after="0" w:line="192" w:lineRule="exact"/>
        <w:rPr>
          <w:rFonts w:ascii="Arial" w:cs="Arial" w:eastAsia="Arial" w:hAnsi="Arial"/>
          <w:sz w:val="21"/>
          <w:szCs w:val="21"/>
          <w:color w:val="auto"/>
        </w:rPr>
      </w:pPr>
    </w:p>
    <w:p>
      <w:pPr>
        <w:ind w:left="2400" w:hanging="447"/>
        <w:spacing w:after="0"/>
        <w:tabs>
          <w:tab w:leader="none" w:pos="24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71" w:lineRule="exact"/>
        <w:rPr>
          <w:rFonts w:ascii="Arial" w:cs="Arial" w:eastAsia="Arial" w:hAnsi="Arial"/>
          <w:sz w:val="21"/>
          <w:szCs w:val="21"/>
          <w:color w:val="auto"/>
        </w:rPr>
      </w:pPr>
    </w:p>
    <w:p>
      <w:pPr>
        <w:ind w:firstLine="1953"/>
        <w:spacing w:after="0" w:line="343" w:lineRule="auto"/>
        <w:tabs>
          <w:tab w:leader="none" w:pos="2415" w:val="left"/>
        </w:tabs>
        <w:numPr>
          <w:ilvl w:val="0"/>
          <w:numId w:val="23"/>
        </w:numPr>
        <w:rPr>
          <w:rFonts w:ascii="Arial" w:cs="Arial" w:eastAsia="Arial" w:hAnsi="Arial"/>
          <w:sz w:val="19"/>
          <w:szCs w:val="19"/>
          <w:color w:val="auto"/>
        </w:rPr>
      </w:pPr>
      <w:r>
        <w:rPr>
          <w:rFonts w:ascii="Arial" w:cs="Arial" w:eastAsia="Arial" w:hAnsi="Arial"/>
          <w:sz w:val="19"/>
          <w:szCs w:val="19"/>
          <w:color w:val="auto"/>
        </w:rPr>
        <w:t>your participation in the Plan shall not create a right to further employment with the Employer and shall not interfere with the ability of the Employer to terminate your employment or service relationship (if any) at any time;</w:t>
      </w:r>
    </w:p>
    <w:p>
      <w:pPr>
        <w:spacing w:after="0" w:line="145" w:lineRule="exact"/>
        <w:rPr>
          <w:rFonts w:ascii="Arial" w:cs="Arial" w:eastAsia="Arial" w:hAnsi="Arial"/>
          <w:sz w:val="19"/>
          <w:szCs w:val="19"/>
          <w:color w:val="auto"/>
        </w:rPr>
      </w:pPr>
    </w:p>
    <w:p>
      <w:pPr>
        <w:ind w:left="2400" w:hanging="447"/>
        <w:spacing w:after="0"/>
        <w:tabs>
          <w:tab w:leader="none" w:pos="24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60" w:lineRule="exact"/>
        <w:rPr>
          <w:rFonts w:ascii="Arial" w:cs="Arial" w:eastAsia="Arial" w:hAnsi="Arial"/>
          <w:sz w:val="22"/>
          <w:szCs w:val="22"/>
          <w:color w:val="auto"/>
        </w:rPr>
      </w:pPr>
    </w:p>
    <w:p>
      <w:pPr>
        <w:ind w:left="2420" w:hanging="467"/>
        <w:spacing w:after="0"/>
        <w:tabs>
          <w:tab w:leader="none" w:pos="2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grant of Units and the Shares subject to the Units are not intended to replace any pension rights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compensation;</w:t>
      </w:r>
    </w:p>
    <w:p>
      <w:pPr>
        <w:spacing w:after="0" w:line="242" w:lineRule="exact"/>
        <w:rPr>
          <w:rFonts w:ascii="Arial" w:cs="Arial" w:eastAsia="Arial" w:hAnsi="Arial"/>
          <w:sz w:val="19"/>
          <w:szCs w:val="19"/>
          <w:color w:val="auto"/>
        </w:rPr>
      </w:pPr>
    </w:p>
    <w:p>
      <w:pPr>
        <w:jc w:val="both"/>
        <w:ind w:firstLine="1953"/>
        <w:spacing w:after="0" w:line="271" w:lineRule="auto"/>
        <w:tabs>
          <w:tab w:leader="none" w:pos="2413" w:val="left"/>
        </w:tabs>
        <w:numPr>
          <w:ilvl w:val="0"/>
          <w:numId w:val="23"/>
        </w:numPr>
        <w:rPr>
          <w:rFonts w:ascii="Arial" w:cs="Arial" w:eastAsia="Arial" w:hAnsi="Arial"/>
          <w:sz w:val="21"/>
          <w:szCs w:val="21"/>
          <w:color w:val="auto"/>
        </w:rPr>
      </w:pPr>
      <w:r>
        <w:rPr>
          <w:rFonts w:ascii="Arial" w:cs="Arial" w:eastAsia="Arial" w:hAnsi="Arial"/>
          <w:sz w:val="21"/>
          <w:szCs w:val="21"/>
          <w:color w:val="auto"/>
        </w:rPr>
        <w:t>neither the grant of Units nor any provision of this Agreement, the Plan or the policies adopted pursuant to the Plan confer upon you any right with respect to employment or continuation of current employment and shall not be interpreted to form an employment contract or relationship with the Company or any Affiliate;</w:t>
      </w:r>
    </w:p>
    <w:p>
      <w:pPr>
        <w:spacing w:after="0" w:line="208" w:lineRule="exact"/>
        <w:rPr>
          <w:rFonts w:ascii="Arial" w:cs="Arial" w:eastAsia="Arial" w:hAnsi="Arial"/>
          <w:sz w:val="21"/>
          <w:szCs w:val="21"/>
          <w:color w:val="auto"/>
        </w:rPr>
      </w:pPr>
    </w:p>
    <w:p>
      <w:pPr>
        <w:ind w:left="2420" w:hanging="467"/>
        <w:spacing w:after="0"/>
        <w:tabs>
          <w:tab w:leader="none" w:pos="2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and cannot be predicted with certainty;</w:t>
      </w:r>
    </w:p>
    <w:p>
      <w:pPr>
        <w:spacing w:after="0" w:line="260" w:lineRule="exact"/>
        <w:rPr>
          <w:rFonts w:ascii="Arial" w:cs="Arial" w:eastAsia="Arial" w:hAnsi="Arial"/>
          <w:sz w:val="22"/>
          <w:szCs w:val="22"/>
          <w:color w:val="auto"/>
        </w:rPr>
      </w:pPr>
    </w:p>
    <w:p>
      <w:pPr>
        <w:jc w:val="both"/>
        <w:ind w:firstLine="1953"/>
        <w:spacing w:after="0" w:line="261" w:lineRule="auto"/>
        <w:tabs>
          <w:tab w:leader="none" w:pos="2427"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20" w:lineRule="exact"/>
        <w:rPr>
          <w:rFonts w:ascii="Arial" w:cs="Arial" w:eastAsia="Arial" w:hAnsi="Arial"/>
          <w:sz w:val="21"/>
          <w:szCs w:val="21"/>
          <w:color w:val="auto"/>
        </w:rPr>
      </w:pPr>
    </w:p>
    <w:p>
      <w:pPr>
        <w:jc w:val="both"/>
        <w:ind w:firstLine="1953"/>
        <w:spacing w:after="0" w:line="312" w:lineRule="auto"/>
        <w:tabs>
          <w:tab w:leader="none" w:pos="2375" w:val="left"/>
        </w:tabs>
        <w:numPr>
          <w:ilvl w:val="0"/>
          <w:numId w:val="23"/>
        </w:numPr>
        <w:rPr>
          <w:rFonts w:ascii="Arial" w:cs="Arial" w:eastAsia="Arial" w:hAnsi="Arial"/>
          <w:sz w:val="19"/>
          <w:szCs w:val="19"/>
          <w:color w:val="auto"/>
        </w:rPr>
      </w:pPr>
      <w:r>
        <w:rPr>
          <w:rFonts w:ascii="Arial" w:cs="Arial" w:eastAsia="Arial" w:hAnsi="Arial"/>
          <w:sz w:val="19"/>
          <w:szCs w:val="19"/>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33" w:lineRule="exact"/>
        <w:rPr>
          <w:rFonts w:ascii="Arial" w:cs="Arial" w:eastAsia="Arial" w:hAnsi="Arial"/>
          <w:sz w:val="19"/>
          <w:szCs w:val="19"/>
          <w:color w:val="auto"/>
        </w:rPr>
      </w:pPr>
    </w:p>
    <w:p>
      <w:pPr>
        <w:ind w:left="2420" w:hanging="467"/>
        <w:spacing w:after="0"/>
        <w:tabs>
          <w:tab w:leader="none" w:pos="2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19" w:lineRule="exact"/>
        <w:rPr>
          <w:rFonts w:ascii="Arial" w:cs="Arial" w:eastAsia="Arial" w:hAnsi="Arial"/>
          <w:sz w:val="22"/>
          <w:szCs w:val="22"/>
          <w:color w:val="auto"/>
        </w:rPr>
      </w:pPr>
    </w:p>
    <w:p>
      <w:pPr>
        <w:jc w:val="both"/>
        <w:ind w:firstLine="2601"/>
        <w:spacing w:after="0" w:line="250" w:lineRule="auto"/>
        <w:tabs>
          <w:tab w:leader="none" w:pos="2851" w:val="left"/>
        </w:tabs>
        <w:numPr>
          <w:ilvl w:val="1"/>
          <w:numId w:val="23"/>
        </w:numPr>
        <w:rPr>
          <w:rFonts w:ascii="Arial" w:cs="Arial" w:eastAsia="Arial" w:hAnsi="Arial"/>
          <w:sz w:val="22"/>
          <w:szCs w:val="22"/>
          <w:color w:val="auto"/>
        </w:rPr>
      </w:pPr>
      <w:r>
        <w:rPr>
          <w:rFonts w:ascii="Arial" w:cs="Arial" w:eastAsia="Arial" w:hAnsi="Arial"/>
          <w:sz w:val="22"/>
          <w:szCs w:val="22"/>
          <w:color w:val="auto"/>
        </w:rPr>
        <w:t>for employment law purposes outside the United States, the Units and Shares subject to the Units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47" w:name="page48"/>
    <w:bookmarkEnd w:id="47"/>
    <w:p>
      <w:pPr>
        <w:jc w:val="both"/>
        <w:ind w:firstLine="2601"/>
        <w:spacing w:after="0" w:line="250" w:lineRule="auto"/>
        <w:tabs>
          <w:tab w:leader="none" w:pos="2938" w:val="left"/>
        </w:tabs>
        <w:numPr>
          <w:ilvl w:val="0"/>
          <w:numId w:val="24"/>
        </w:numPr>
        <w:rPr>
          <w:rFonts w:ascii="Arial" w:cs="Arial" w:eastAsia="Arial" w:hAnsi="Arial"/>
          <w:sz w:val="22"/>
          <w:szCs w:val="22"/>
          <w:color w:val="auto"/>
        </w:rPr>
      </w:pPr>
      <w:r>
        <w:rPr>
          <w:rFonts w:ascii="Arial" w:cs="Arial" w:eastAsia="Arial" w:hAnsi="Arial"/>
          <w:sz w:val="22"/>
          <w:szCs w:val="22"/>
          <w:color w:val="auto"/>
        </w:rPr>
        <w:t>you acknowledge and agree that neither the Company, the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XII. </w:t>
      </w:r>
      <w:r>
        <w:rPr>
          <w:rFonts w:ascii="Arial" w:cs="Arial" w:eastAsia="Arial" w:hAnsi="Arial"/>
          <w:sz w:val="22"/>
          <w:szCs w:val="22"/>
          <w:u w:val="single" w:color="auto"/>
          <w:color w:val="auto"/>
        </w:rPr>
        <w:t>No Advice Regarding Award</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XIII.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Notwithstanding any provision of this Agreement to the contrary, if you are employed by the Company or an Affiliate in any of the countries identified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(which constitutes a part of this Agreement), are subject to the laws of any foreign jurisdiction, or relocate to one of the countries included in the attached </w:t>
      </w:r>
      <w:r>
        <w:rPr>
          <w:rFonts w:ascii="Arial" w:cs="Arial" w:eastAsia="Arial" w:hAnsi="Arial"/>
          <w:sz w:val="22"/>
          <w:szCs w:val="22"/>
          <w:u w:val="single" w:color="auto"/>
          <w:color w:val="auto"/>
        </w:rPr>
        <w:t>Appendix</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the Units granted hereunder shall be subject to any special terms and conditions for your country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to the following additional terms and conditions:</w:t>
      </w:r>
    </w:p>
    <w:p>
      <w:pPr>
        <w:spacing w:after="0" w:line="233" w:lineRule="exact"/>
        <w:rPr>
          <w:sz w:val="20"/>
          <w:szCs w:val="20"/>
          <w:color w:val="auto"/>
        </w:rPr>
      </w:pPr>
    </w:p>
    <w:p>
      <w:pPr>
        <w:ind w:left="980" w:right="20" w:hanging="324"/>
        <w:spacing w:after="0" w:line="263"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the terms and conditions of this Agreement, including </w:t>
      </w:r>
      <w:r>
        <w:rPr>
          <w:rFonts w:ascii="Arial" w:cs="Arial" w:eastAsia="Arial" w:hAnsi="Arial"/>
          <w:sz w:val="22"/>
          <w:szCs w:val="22"/>
          <w:u w:val="single" w:color="auto"/>
          <w:color w:val="auto"/>
        </w:rPr>
        <w:t>Appendix A</w:t>
      </w:r>
      <w:r>
        <w:rPr>
          <w:rFonts w:ascii="Arial" w:cs="Arial" w:eastAsia="Arial" w:hAnsi="Arial"/>
          <w:sz w:val="22"/>
          <w:szCs w:val="22"/>
          <w:color w:val="auto"/>
        </w:rPr>
        <w:t>, are deemed modified to the extent necessary or advisable to comply with applicable foreign laws or facilitate the administration of the Plan;</w:t>
      </w:r>
    </w:p>
    <w:p>
      <w:pPr>
        <w:spacing w:after="0" w:line="174"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applicable, the effectiveness of your award of Units is conditioned upon its compliance with any applicable foreign laws, regulations, rules or local governmental regulatory exemption and subject to receipt of any required foreign regulatory approvals;</w:t>
      </w:r>
    </w:p>
    <w:p>
      <w:pPr>
        <w:spacing w:after="0" w:line="185"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to the extent necessary to comply with applicable foreign laws, the payment of any earned Units shall be made in cash or Common Stock, at the Company’s election; and</w:t>
      </w:r>
    </w:p>
    <w:p>
      <w:pPr>
        <w:spacing w:after="0" w:line="174"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may take any other action, before or after an award of Units is made, that it deems advisable to obtain approval or comply with any necessary local governmental regulatory exemptions or approvals.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XIV. </w:t>
      </w:r>
      <w:r>
        <w:rPr>
          <w:rFonts w:ascii="Arial" w:cs="Arial" w:eastAsia="Arial" w:hAnsi="Arial"/>
          <w:sz w:val="22"/>
          <w:szCs w:val="22"/>
          <w:b w:val="1"/>
          <w:bCs w:val="1"/>
          <w:i w:val="1"/>
          <w:iCs w:val="1"/>
          <w:u w:val="single" w:color="auto"/>
          <w:color w:val="auto"/>
        </w:rPr>
        <w:t>Data Privacy and Notice of Consent</w:t>
      </w:r>
      <w:r>
        <w:rPr>
          <w:rFonts w:ascii="Arial" w:cs="Arial" w:eastAsia="Arial" w:hAnsi="Arial"/>
          <w:sz w:val="22"/>
          <w:szCs w:val="22"/>
          <w:b w:val="1"/>
          <w:bCs w:val="1"/>
          <w:i w:val="1"/>
          <w:iCs w:val="1"/>
          <w:color w:val="auto"/>
        </w:rPr>
        <w:t>. You hereby explicitly and unambiguously consent to the collection, use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and transfer, in electronic or other form, of your personal data as described in this Agreement by and among, as applicable, your Employer, the Company, and Affiliates of the Company for the exclusive purpose of implementing, administering and managing your participation in the Plan.</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You understand that the Company and your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i w:val="1"/>
          <w:iCs w:val="1"/>
          <w:color w:val="auto"/>
        </w:rPr>
        <w:t>unvested or outstanding in your favor, for the purposes of implementing, administering and managing the Plan (“</w:t>
      </w:r>
      <w:r>
        <w:rPr>
          <w:rFonts w:ascii="Arial" w:cs="Arial" w:eastAsia="Arial" w:hAnsi="Arial"/>
          <w:sz w:val="19"/>
          <w:szCs w:val="19"/>
          <w:b w:val="1"/>
          <w:bCs w:val="1"/>
          <w:i w:val="1"/>
          <w:iCs w:val="1"/>
          <w:u w:val="single" w:color="auto"/>
          <w:color w:val="auto"/>
        </w:rPr>
        <w:t>Data</w:t>
      </w:r>
      <w:r>
        <w:rPr>
          <w:rFonts w:ascii="Arial" w:cs="Arial" w:eastAsia="Arial" w:hAnsi="Arial"/>
          <w:sz w:val="19"/>
          <w:szCs w:val="19"/>
          <w:b w:val="1"/>
          <w:bCs w:val="1"/>
          <w:i w:val="1"/>
          <w:iCs w:val="1"/>
          <w:color w:val="auto"/>
        </w:rPr>
        <w:t>”).</w:t>
      </w:r>
    </w:p>
    <w:p>
      <w:pPr>
        <w:spacing w:after="0" w:line="2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i w:val="1"/>
          <w:iCs w:val="1"/>
          <w:color w:val="auto"/>
        </w:rPr>
        <w:t>You understand that Data may be transferred to Merrill Lynch Bank &amp; Trust Co., FSB, or any successor thereto, or any third parties assisting in the implementation, administration and management of the Plan,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your Employer, the Company, Affiliates of the Company, Merrill Lynch Bank &amp; Trust Co., FSB, or any successor thereto, and any other possible recipients which may assist the Company (presently or in the future) with implementing, administering and managing your participation in the Plan to receive, possess, use, retain and transfer the Data, in electronic or other form, for the purpose of implementing, administering and managing your participation in the Plan, including any requisite transfer of such Data as may be required to any other broker, escrow agent or other third party with whom the Shares received upon vesting of the Units may be deposited. You understand that Data will be held only as long as is necessary to implement, administer and manage your participation in the Plan.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 Units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XVI. </w:t>
      </w:r>
      <w:r>
        <w:rPr>
          <w:rFonts w:ascii="Arial" w:cs="Arial" w:eastAsia="Arial" w:hAnsi="Arial"/>
          <w:sz w:val="22"/>
          <w:szCs w:val="22"/>
          <w:u w:val="single" w:color="auto"/>
          <w:color w:val="auto"/>
        </w:rPr>
        <w:t>Language</w:t>
      </w:r>
      <w:r>
        <w:rPr>
          <w:rFonts w:ascii="Arial" w:cs="Arial" w:eastAsia="Arial" w:hAnsi="Arial"/>
          <w:sz w:val="22"/>
          <w:szCs w:val="22"/>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XVII. </w:t>
      </w: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XVIII. </w:t>
      </w:r>
      <w:r>
        <w:rPr>
          <w:rFonts w:ascii="Arial" w:cs="Arial" w:eastAsia="Arial" w:hAnsi="Arial"/>
          <w:sz w:val="22"/>
          <w:szCs w:val="22"/>
          <w:u w:val="single" w:color="auto"/>
          <w:color w:val="auto"/>
        </w:rPr>
        <w:t>Compensation Subject to Recovery</w:t>
      </w:r>
      <w:r>
        <w:rPr>
          <w:rFonts w:ascii="Arial" w:cs="Arial" w:eastAsia="Arial" w:hAnsi="Arial"/>
          <w:sz w:val="22"/>
          <w:szCs w:val="22"/>
          <w:color w:val="auto"/>
        </w:rPr>
        <w:t>. The Units subject to this Award and all compensation payable with respect to them shall be subject to recovery by the Company pursuant to any and all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49" w:name="page50"/>
    <w:bookmarkEnd w:id="49"/>
    <w:p>
      <w:pPr>
        <w:jc w:val="both"/>
        <w:ind w:right="20"/>
        <w:spacing w:after="0" w:line="263" w:lineRule="auto"/>
        <w:rPr>
          <w:sz w:val="20"/>
          <w:szCs w:val="20"/>
          <w:color w:val="auto"/>
        </w:rPr>
      </w:pPr>
      <w:r>
        <w:rPr>
          <w:rFonts w:ascii="Arial" w:cs="Arial" w:eastAsia="Arial" w:hAnsi="Arial"/>
          <w:sz w:val="22"/>
          <w:szCs w:val="22"/>
          <w:color w:val="auto"/>
        </w:rPr>
        <w:t>Company’s policies with respect to the recovery of compensation, as they shall be in effect and may be amended from time to time, to the maximum extent permitted by applicable law.</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XIX. </w:t>
      </w:r>
      <w:r>
        <w:rPr>
          <w:rFonts w:ascii="Arial" w:cs="Arial" w:eastAsia="Arial" w:hAnsi="Arial"/>
          <w:sz w:val="22"/>
          <w:szCs w:val="22"/>
          <w:u w:val="single" w:color="auto"/>
          <w:color w:val="auto"/>
        </w:rPr>
        <w:t>Waiver</w:t>
      </w:r>
      <w:r>
        <w:rPr>
          <w:rFonts w:ascii="Arial" w:cs="Arial" w:eastAsia="Arial" w:hAnsi="Arial"/>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50" w:name="page51"/>
    <w:bookmarkEnd w:id="50"/>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INC. 2009 EQUITY INCENTIVE PLAN AS AMENDED AND/OR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FROM TIME TO TIME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RESTRICTED STOCK UNITS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COUNTRY)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This Appendix includes additional terms and conditions that govern any Units granted under the Plan </w:t>
      </w:r>
      <w:r>
        <w:rPr>
          <w:rFonts w:ascii="Arial" w:cs="Arial" w:eastAsia="Arial" w:hAnsi="Arial"/>
          <w:sz w:val="21"/>
          <w:szCs w:val="21"/>
          <w:b w:val="1"/>
          <w:bCs w:val="1"/>
          <w:u w:val="single" w:color="auto"/>
          <w:color w:val="auto"/>
        </w:rPr>
        <w:t>if, under applicable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law, you are a resident of, or are deemed to be a resident of one of the countries listed below. Furthermore, the additional terms and conditions that govern any Units granted hereunder may apply to you if you relocate to one of the countries listed below and the Company shall, in its discretion, determine to what extent the terms and conditions contained herein shall apply to you</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capitalized terms used but not defined in this Appendix A shall have the meanings set forth in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and/or the Agreement to which this Appendix is attached.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January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5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or are considered a resident of another country for local law purposes, the information contained herein may not be applicable to you or you may be subject to the provisions of one or more jurisdictions.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 NON-U.S. JURISDICTIONS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Insider Trading Restrictions/Market Abuse Laws. </w:t>
      </w:r>
      <w:r>
        <w:rPr>
          <w:rFonts w:ascii="Arial" w:cs="Arial" w:eastAsia="Arial" w:hAnsi="Arial"/>
          <w:sz w:val="19"/>
          <w:szCs w:val="19"/>
          <w:color w:val="auto"/>
        </w:rPr>
        <w:t>You acknowledge that, depending on your country of residence, you may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insider trading restrictions and/or market abuse laws, which may affect your ability to acquire or sell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ALGERIA</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420"/>
          </w:cols>
          <w:pgMar w:left="240" w:top="369"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Proceeds from the sale of Shares and any cash dividends must be repatriated to Algeria.</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Exchange control reporting is required for cash transactions exceeding AUD10,000 and for</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fund transfers. If an Australian bank is assisting with the transaction, the bank will file the report on your behalf.</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If you acquire Shares under the Plan and offer the Shares for sale to a person or entity resident in</w:t>
      </w:r>
      <w:r>
        <w:rPr>
          <w:rFonts w:ascii="Arial" w:cs="Arial" w:eastAsia="Arial" w:hAnsi="Arial"/>
          <w:sz w:val="22"/>
          <w:szCs w:val="22"/>
          <w:b w:val="1"/>
          <w:bCs w:val="1"/>
          <w:color w:val="auto"/>
        </w:rPr>
        <w:t xml:space="preserve"> </w:t>
      </w:r>
      <w:r>
        <w:rPr>
          <w:rFonts w:ascii="Arial" w:cs="Arial" w:eastAsia="Arial" w:hAnsi="Arial"/>
          <w:sz w:val="22"/>
          <w:szCs w:val="22"/>
          <w:color w:val="auto"/>
        </w:rPr>
        <w:t>Australia, the offer may be subject to disclosure requirements under Australian law. You should consult with your own legal advisor before making any such offer in Australia.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hold Shares acquired under the Plan outside of Austria, you must submit a report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 separate reporting requirement applies when you sell Shares acquired under the Plan.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Tax Reporting. </w:t>
      </w:r>
      <w:r>
        <w:rPr>
          <w:rFonts w:ascii="Arial" w:cs="Arial" w:eastAsia="Arial" w:hAnsi="Arial"/>
          <w:sz w:val="22"/>
          <w:szCs w:val="22"/>
          <w:color w:val="auto"/>
        </w:rPr>
        <w:t>You are required to report any taxable income attributable to the Units granted hereunder on your annual tax</w:t>
      </w:r>
      <w:r>
        <w:rPr>
          <w:rFonts w:ascii="Arial" w:cs="Arial" w:eastAsia="Arial" w:hAnsi="Arial"/>
          <w:sz w:val="22"/>
          <w:szCs w:val="22"/>
          <w:b w:val="1"/>
          <w:bCs w:val="1"/>
          <w:color w:val="auto"/>
        </w:rPr>
        <w:t xml:space="preserve"> </w:t>
      </w:r>
      <w:r>
        <w:rPr>
          <w:rFonts w:ascii="Arial" w:cs="Arial" w:eastAsia="Arial" w:hAnsi="Arial"/>
          <w:sz w:val="22"/>
          <w:szCs w:val="22"/>
          <w:color w:val="auto"/>
        </w:rPr>
        <w:t>return. You are also required to report any security and bank accounts opened and maintained outside Belgium on your annual tax return.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Compliance with Law</w:t>
      </w:r>
      <w:r>
        <w:rPr>
          <w:rFonts w:ascii="Arial" w:cs="Arial" w:eastAsia="Arial" w:hAnsi="Arial"/>
          <w:sz w:val="19"/>
          <w:szCs w:val="19"/>
          <w:color w:val="auto"/>
        </w:rPr>
        <w:t>. By accepting the Units, you acknowledge that you agree to comply with applicable Brazilian laws and pay</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applicable taxes associated with the vesting of the Units and the sale of Shares acquired under the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420"/>
          </w:cols>
          <w:pgMar w:left="240" w:top="375"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Section I(i) of the Agreement is amended to read as follows:</w:t>
      </w:r>
    </w:p>
    <w:p>
      <w:pPr>
        <w:spacing w:after="0" w:line="226" w:lineRule="exact"/>
        <w:rPr>
          <w:sz w:val="20"/>
          <w:szCs w:val="20"/>
          <w:color w:val="auto"/>
        </w:rPr>
      </w:pPr>
    </w:p>
    <w:p>
      <w:pPr>
        <w:jc w:val="both"/>
        <w:ind w:firstLine="8"/>
        <w:spacing w:after="0" w:line="246" w:lineRule="auto"/>
        <w:tabs>
          <w:tab w:leader="none" w:pos="258"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of your active employment</w:t>
      </w:r>
      <w:r>
        <w:rPr>
          <w:rFonts w:ascii="Arial" w:cs="Arial" w:eastAsia="Arial" w:hAnsi="Arial"/>
          <w:sz w:val="22"/>
          <w:szCs w:val="22"/>
          <w:color w:val="auto"/>
        </w:rPr>
        <w:t>” shall mean the last date that you are either an active employee of the Company or an Affiliate or actively engaged as a Consultant or Director of the Company or an Affiliate; in the event of involuntary termination of your employment (whether or not in breach of local labor laws), your right to receive any Units and vest under the Plan, if any, will terminate effective as of the date that is the earlier of: (1) 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the Units after termination of employment will be measured by the date of termination of your active employment and will not be extended by any notice period mandated under local law.</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Units Payable Only in Shares. </w:t>
      </w:r>
      <w:r>
        <w:rPr>
          <w:rFonts w:ascii="Arial" w:cs="Arial" w:eastAsia="Arial" w:hAnsi="Arial"/>
          <w:sz w:val="22"/>
          <w:szCs w:val="22"/>
          <w:color w:val="auto"/>
        </w:rPr>
        <w:t>Notwithstanding any discretion in the Plan or anything to the contrary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Units do not provide any right for you, as a resident of Canada, to receive a cash payment and shall be paid in Shares only.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provisions will apply to you if you are a resident of Quebec:</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Les parties reconnaissent avoir exigé la rédaction en anglais de cette convention (</w:t>
      </w:r>
      <w:r>
        <w:rPr>
          <w:rFonts w:ascii="Arial" w:cs="Arial" w:eastAsia="Arial" w:hAnsi="Arial"/>
          <w:sz w:val="22"/>
          <w:szCs w:val="22"/>
          <w:color w:val="auto"/>
        </w:rPr>
        <w:t>“</w:t>
      </w:r>
      <w:r>
        <w:rPr>
          <w:rFonts w:ascii="Arial" w:cs="Arial" w:eastAsia="Arial" w:hAnsi="Arial"/>
          <w:sz w:val="22"/>
          <w:szCs w:val="22"/>
          <w:i w:val="1"/>
          <w:iCs w:val="1"/>
          <w:u w:val="single" w:color="auto"/>
          <w:color w:val="auto"/>
        </w:rPr>
        <w:t>Agreement</w:t>
      </w:r>
      <w:r>
        <w:rPr>
          <w:rFonts w:ascii="Arial" w:cs="Arial" w:eastAsia="Arial" w:hAnsi="Arial"/>
          <w:sz w:val="22"/>
          <w:szCs w:val="22"/>
          <w:color w:val="auto"/>
        </w:rPr>
        <w:t>”</w:t>
      </w:r>
      <w:r>
        <w:rPr>
          <w:rFonts w:ascii="Arial" w:cs="Arial" w:eastAsia="Arial" w:hAnsi="Arial"/>
          <w:sz w:val="22"/>
          <w:szCs w:val="22"/>
          <w:i w:val="1"/>
          <w:iCs w:val="1"/>
          <w:color w:val="auto"/>
        </w:rPr>
        <w:t>), ainsi que de tous documents exécutés, avis donnés et procédures judiciaries intentées, directement ou indirectement, relativement à ou suite à la présente convention.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and Consent. </w:t>
      </w:r>
      <w:r>
        <w:rPr>
          <w:rFonts w:ascii="Arial" w:cs="Arial" w:eastAsia="Arial" w:hAnsi="Arial"/>
          <w:sz w:val="22"/>
          <w:szCs w:val="22"/>
          <w:color w:val="auto"/>
        </w:rPr>
        <w:t>This provision supplements Section XIV of the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420"/>
          </w:cols>
          <w:pgMar w:left="240" w:top="591" w:right="239" w:bottom="1440" w:gutter="0" w:footer="0" w:header="0"/>
        </w:sectPr>
      </w:pPr>
    </w:p>
    <w:bookmarkStart w:id="53" w:name="page54"/>
    <w:bookmarkEnd w:id="53"/>
    <w:p>
      <w:pPr>
        <w:jc w:val="both"/>
        <w:spacing w:after="0" w:line="265" w:lineRule="auto"/>
        <w:rPr>
          <w:sz w:val="20"/>
          <w:szCs w:val="20"/>
          <w:color w:val="auto"/>
        </w:rPr>
      </w:pPr>
      <w:r>
        <w:rPr>
          <w:rFonts w:ascii="Arial" w:cs="Arial" w:eastAsia="Arial" w:hAnsi="Arial"/>
          <w:sz w:val="21"/>
          <w:szCs w:val="21"/>
          <w:color w:val="auto"/>
        </w:rPr>
        <w:t>You hereby authorize the Company and the Company’s representative to discuss with and obtain all relevant information from all personnel (professional or not) involved in the administration and operation of the Plan. You further authorize the Company and your Employer to disclose and discuss your participation in the Plan with their advisors. You also authorize the Company and your Employer to record such information and keep it in your employee file.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You are permitted to sell Shares acquired through the Plan through the designated broker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if any, provided that the resale of such Shares takes place outside of Canada through the facilities of a stock exchange on which the Shares are listed (</w:t>
      </w:r>
      <w:r>
        <w:rPr>
          <w:rFonts w:ascii="Arial" w:cs="Arial" w:eastAsia="Arial" w:hAnsi="Arial"/>
          <w:sz w:val="22"/>
          <w:szCs w:val="22"/>
          <w:i w:val="1"/>
          <w:iCs w:val="1"/>
          <w:color w:val="auto"/>
        </w:rPr>
        <w:t>i.e</w:t>
      </w:r>
      <w:r>
        <w:rPr>
          <w:rFonts w:ascii="Arial" w:cs="Arial" w:eastAsia="Arial" w:hAnsi="Arial"/>
          <w:sz w:val="22"/>
          <w:szCs w:val="22"/>
          <w:color w:val="auto"/>
        </w:rPr>
        <w:t>., the NASDAQ Global Select Market).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report any foreign property (including Shares acquired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on form T1135 (Foreign Income Verification Statement) if the total value of the foreign property exceeds C$100,000 at any time in the year. The form must be filed by April 30 of the following year.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Pursuant to Ruling No. 99 of 2001 issued by the Chilean Superintendence of Securities (“</w:t>
      </w:r>
      <w:r>
        <w:rPr>
          <w:rFonts w:ascii="Arial" w:cs="Arial" w:eastAsia="Arial" w:hAnsi="Arial"/>
          <w:sz w:val="22"/>
          <w:szCs w:val="22"/>
          <w:u w:val="single" w:color="auto"/>
          <w:color w:val="auto"/>
        </w:rPr>
        <w:t>CSS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Units nor any Shares acquired under the Plan will be registered under the Registry of Securities held by the CSS nor are they under the control or supervision of the CSS.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Tax Reporting and Registration Information. </w:t>
      </w:r>
      <w:r>
        <w:rPr>
          <w:rFonts w:ascii="Arial" w:cs="Arial" w:eastAsia="Arial" w:hAnsi="Arial"/>
          <w:sz w:val="22"/>
          <w:szCs w:val="22"/>
          <w:color w:val="auto"/>
        </w:rPr>
        <w:t>You must file Tax Form 1851 in relation to any Shares acquired under the Plan that</w:t>
      </w:r>
      <w:r>
        <w:rPr>
          <w:rFonts w:ascii="Arial" w:cs="Arial" w:eastAsia="Arial" w:hAnsi="Arial"/>
          <w:sz w:val="22"/>
          <w:szCs w:val="22"/>
          <w:b w:val="1"/>
          <w:bCs w:val="1"/>
          <w:color w:val="auto"/>
        </w:rPr>
        <w:t xml:space="preserve"> </w:t>
      </w:r>
      <w:r>
        <w:rPr>
          <w:rFonts w:ascii="Arial" w:cs="Arial" w:eastAsia="Arial" w:hAnsi="Arial"/>
          <w:sz w:val="22"/>
          <w:szCs w:val="22"/>
          <w:color w:val="auto"/>
        </w:rPr>
        <w:t>are held abroad and to any taxes paid abroad (if you will be seeking a credit against Chilean income tax owed) with the Chilean Internal Revenue Service (the “</w:t>
      </w:r>
      <w:r>
        <w:rPr>
          <w:rFonts w:ascii="Arial" w:cs="Arial" w:eastAsia="Arial" w:hAnsi="Arial"/>
          <w:sz w:val="22"/>
          <w:szCs w:val="22"/>
          <w:u w:val="single" w:color="auto"/>
          <w:color w:val="auto"/>
        </w:rPr>
        <w:t>CIRS</w:t>
      </w:r>
      <w:r>
        <w:rPr>
          <w:rFonts w:ascii="Arial" w:cs="Arial" w:eastAsia="Arial" w:hAnsi="Arial"/>
          <w:sz w:val="22"/>
          <w:szCs w:val="22"/>
          <w:color w:val="auto"/>
        </w:rPr>
        <w:t xml:space="preserve">”), The form must be submitted through the CIRS web page at </w:t>
      </w:r>
      <w:r>
        <w:rPr>
          <w:rFonts w:ascii="Arial" w:cs="Arial" w:eastAsia="Arial" w:hAnsi="Arial"/>
          <w:sz w:val="22"/>
          <w:szCs w:val="22"/>
          <w:u w:val="single" w:color="auto"/>
          <w:color w:val="0000FF"/>
        </w:rPr>
        <w:t>www.sii.cl</w:t>
      </w:r>
      <w:r>
        <w:rPr>
          <w:rFonts w:ascii="Arial" w:cs="Arial" w:eastAsia="Arial" w:hAnsi="Arial"/>
          <w:sz w:val="22"/>
          <w:szCs w:val="22"/>
          <w:color w:val="auto"/>
        </w:rPr>
        <w:t xml:space="preserve"> before March 15 of each year.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abroad must also be registered with the CIRS for you to be entitled to a foreign tax credit for any tax withheld on dividends abroad, if applicable, and such registration also provides evidence of the acquisition price of the Shares (which will be zero) which you will need when the Shares are sold. You are advised to consult with your personal legal advisor regarding how to register with the CIRS.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The following terms apply only to nationals of the People’s Republic of China (the “</w:t>
      </w:r>
      <w:r>
        <w:rPr>
          <w:rFonts w:ascii="Arial" w:cs="Arial" w:eastAsia="Arial" w:hAnsi="Arial"/>
          <w:sz w:val="22"/>
          <w:szCs w:val="22"/>
          <w:i w:val="1"/>
          <w:iCs w:val="1"/>
          <w:u w:val="single" w:color="auto"/>
          <w:color w:val="auto"/>
        </w:rPr>
        <w:t>PRC</w:t>
      </w:r>
      <w:r>
        <w:rPr>
          <w:rFonts w:ascii="Arial" w:cs="Arial" w:eastAsia="Arial" w:hAnsi="Arial"/>
          <w:sz w:val="22"/>
          <w:szCs w:val="22"/>
          <w:i w:val="1"/>
          <w:iCs w:val="1"/>
          <w:color w:val="auto"/>
        </w:rPr>
        <w:t>”) residing in the PRC, unless otherwise determined by the Company or required by the State Administration of Foreign Exchange</w:t>
      </w:r>
      <w:r>
        <w:rPr>
          <w:rFonts w:ascii="Arial" w:cs="Arial" w:eastAsia="Arial" w:hAnsi="Arial"/>
          <w:sz w:val="22"/>
          <w:szCs w:val="22"/>
          <w:color w:val="auto"/>
        </w:rPr>
        <w:t>:</w:t>
      </w:r>
    </w:p>
    <w:p>
      <w:pPr>
        <w:spacing w:after="0" w:line="16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Vesting of the Units. </w:t>
      </w:r>
      <w:r>
        <w:rPr>
          <w:rFonts w:ascii="Arial" w:cs="Arial" w:eastAsia="Arial" w:hAnsi="Arial"/>
          <w:sz w:val="19"/>
          <w:szCs w:val="19"/>
          <w:color w:val="auto"/>
        </w:rPr>
        <w:t>Notwithstanding anything to the contrary in the Form of Award Notice or Award Agreement, the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vest until all necessary exchange control and other approvals from the PRC State Administration of Foreign Exchange or its local counterpart (“</w:t>
      </w:r>
      <w:r>
        <w:rPr>
          <w:rFonts w:ascii="Arial" w:cs="Arial" w:eastAsia="Arial" w:hAnsi="Arial"/>
          <w:sz w:val="19"/>
          <w:szCs w:val="19"/>
          <w:u w:val="single" w:color="auto"/>
          <w:color w:val="auto"/>
        </w:rPr>
        <w:t>SAFE</w:t>
      </w:r>
      <w:r>
        <w:rPr>
          <w:rFonts w:ascii="Arial" w:cs="Arial" w:eastAsia="Arial" w:hAnsi="Arial"/>
          <w:sz w:val="19"/>
          <w:szCs w:val="19"/>
          <w:color w:val="auto"/>
        </w:rPr>
        <w:t>”) have been received for Units granted under the Plan. Once SAFE approval has been received and provided you are then employed by the Company or an Affiliate, you will receive vesting credit for that portion of the Units that would have vested prior to obtaining SAFE approval, if applicable, and the remaining portion of the Units will vest in accordance with the Vesting Schedule in the Form of Award Notice. If you terminate employment with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420"/>
          </w:cols>
          <w:pgMar w:left="240" w:top="375"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and its Affiliates prior to the receipt of SAFE approval, your unvested Units will be forfeited.</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Further, notwithstanding anything to the contrary in Section I(d) of the Agreement, if your employment with the 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Sale Requirement. </w:t>
      </w:r>
      <w:r>
        <w:rPr>
          <w:rFonts w:ascii="Arial" w:cs="Arial" w:eastAsia="Arial" w:hAnsi="Arial"/>
          <w:sz w:val="19"/>
          <w:szCs w:val="19"/>
          <w:color w:val="auto"/>
        </w:rPr>
        <w:t>Notwithstanding anything to the contrary in the Agreement, due to exchange control laws in the PRC, you</w:t>
      </w:r>
      <w:r>
        <w:rPr>
          <w:rFonts w:ascii="Arial" w:cs="Arial" w:eastAsia="Arial" w:hAnsi="Arial"/>
          <w:sz w:val="19"/>
          <w:szCs w:val="19"/>
          <w:b w:val="1"/>
          <w:bCs w:val="1"/>
          <w:color w:val="auto"/>
        </w:rPr>
        <w:t xml:space="preserve"> </w:t>
      </w:r>
      <w:r>
        <w:rPr>
          <w:rFonts w:ascii="Arial" w:cs="Arial" w:eastAsia="Arial" w:hAnsi="Arial"/>
          <w:sz w:val="19"/>
          <w:szCs w:val="19"/>
          <w:color w:val="auto"/>
        </w:rPr>
        <w:t>agree 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9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Units are not immediately sold, you acknowledge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required to maintain the Shares in an account with Merrill Lynch Bank and Trust Co., FSB or such other designated broker as may be selected by the Company until the Shares are sold through such Company-designated broker.</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understand and agree that, pursuant to local exchange control requirements,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repatriate the cash proceeds from the sale of the Shares issued to you upon settlement of the Units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420"/>
          </w:cols>
          <w:pgMar w:left="240" w:top="375" w:right="2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2"/>
          <w:szCs w:val="22"/>
          <w:color w:val="auto"/>
        </w:rPr>
        <w:t>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Effective January 1, 2014, PRC residents are required to report to SAFE details</w:t>
      </w:r>
      <w:r>
        <w:rPr>
          <w:rFonts w:ascii="Arial" w:cs="Arial" w:eastAsia="Arial" w:hAnsi="Arial"/>
          <w:sz w:val="22"/>
          <w:szCs w:val="22"/>
          <w:b w:val="1"/>
          <w:bCs w:val="1"/>
          <w:color w:val="auto"/>
        </w:rPr>
        <w:t xml:space="preserve"> </w:t>
      </w:r>
      <w:r>
        <w:rPr>
          <w:rFonts w:ascii="Arial" w:cs="Arial" w:eastAsia="Arial" w:hAnsi="Arial"/>
          <w:sz w:val="22"/>
          <w:szCs w:val="22"/>
          <w:color w:val="auto"/>
        </w:rPr>
        <w:t>of their foreign financial assets and liabilities, as well as details of any economic transactions conducted with non-PRC residents, either directly or through financial institutions. Shares or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Investment in assets located abroad (such as Shares acquired under the Plan) does not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prior approval from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 registration with the Central Bank must be cancelled no later than March 31 of the year following the year of the sale or disposition (or a fine of up to 200% of the value of the infringing payment will apply).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CROATIA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Croatian residents must report any foreign investments (including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to the Croatian National Bank for statistical purposes and obtain prior approval of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Proceeds from the sale of Shares may be held in a cash account abroad and you are no longer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report the opening and maintenance of a foreign account to the Czech National Bank (the “</w:t>
      </w:r>
      <w:r>
        <w:rPr>
          <w:rFonts w:ascii="Arial" w:cs="Arial" w:eastAsia="Arial" w:hAnsi="Arial"/>
          <w:sz w:val="22"/>
          <w:szCs w:val="22"/>
          <w:u w:val="single" w:color="auto"/>
          <w:color w:val="auto"/>
        </w:rPr>
        <w:t>CNB</w:t>
      </w:r>
      <w:r>
        <w:rPr>
          <w:rFonts w:ascii="Arial" w:cs="Arial" w:eastAsia="Arial" w:hAnsi="Arial"/>
          <w:sz w:val="22"/>
          <w:szCs w:val="22"/>
          <w:color w:val="auto"/>
        </w:rPr>
        <w:t>”), unless the CNB notifies you specifically that such reporting is required. Upon request of the CNB, you may need to file a notification within 15 days of the end of the calendar quarter in which you acquire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420"/>
          </w:cols>
          <w:pgMar w:left="240" w:top="375" w:right="239" w:bottom="1440" w:gutter="0" w:footer="0" w:header="0"/>
        </w:sectPr>
      </w:pPr>
    </w:p>
    <w:bookmarkStart w:id="56" w:name="page57"/>
    <w:bookmarkEnd w:id="56"/>
    <w:p>
      <w:pPr>
        <w:jc w:val="both"/>
        <w:ind w:right="20"/>
        <w:spacing w:after="0" w:line="315" w:lineRule="auto"/>
        <w:rPr>
          <w:sz w:val="20"/>
          <w:szCs w:val="20"/>
          <w:color w:val="auto"/>
        </w:rPr>
      </w:pPr>
      <w:r>
        <w:rPr>
          <w:rFonts w:ascii="Arial" w:cs="Arial" w:eastAsia="Arial" w:hAnsi="Arial"/>
          <w:sz w:val="19"/>
          <w:szCs w:val="19"/>
          <w:b w:val="1"/>
          <w:bCs w:val="1"/>
          <w:color w:val="auto"/>
        </w:rPr>
        <w:t xml:space="preserve">Danish Stock Option Act. </w:t>
      </w:r>
      <w:r>
        <w:rPr>
          <w:rFonts w:ascii="Arial" w:cs="Arial" w:eastAsia="Arial" w:hAnsi="Arial"/>
          <w:sz w:val="19"/>
          <w:szCs w:val="19"/>
          <w:color w:val="auto"/>
        </w:rPr>
        <w:t>In accepting the Units, you acknowledge that you have received an Employer Statement translated into</w:t>
      </w:r>
      <w:r>
        <w:rPr>
          <w:rFonts w:ascii="Arial" w:cs="Arial" w:eastAsia="Arial" w:hAnsi="Arial"/>
          <w:sz w:val="19"/>
          <w:szCs w:val="19"/>
          <w:b w:val="1"/>
          <w:bCs w:val="1"/>
          <w:color w:val="auto"/>
        </w:rPr>
        <w:t xml:space="preserve"> </w:t>
      </w:r>
      <w:r>
        <w:rPr>
          <w:rFonts w:ascii="Arial" w:cs="Arial" w:eastAsia="Arial" w:hAnsi="Arial"/>
          <w:sz w:val="19"/>
          <w:szCs w:val="19"/>
          <w:color w:val="auto"/>
        </w:rPr>
        <w:t>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establish an account holding Shares or an account holding cash outside Denmark, you</w:t>
      </w:r>
      <w:r>
        <w:rPr>
          <w:rFonts w:ascii="Arial" w:cs="Arial" w:eastAsia="Arial" w:hAnsi="Arial"/>
          <w:sz w:val="21"/>
          <w:szCs w:val="21"/>
          <w:b w:val="1"/>
          <w:bCs w:val="1"/>
          <w:color w:val="auto"/>
        </w:rPr>
        <w:t xml:space="preserve"> </w:t>
      </w:r>
      <w:r>
        <w:rPr>
          <w:rFonts w:ascii="Arial" w:cs="Arial" w:eastAsia="Arial" w:hAnsi="Arial"/>
          <w:sz w:val="21"/>
          <w:szCs w:val="21"/>
          <w:color w:val="auto"/>
        </w:rPr>
        <w:t>must report the account to the Danish Tax Administration. The form which should be used in this respect can be obtained from a local bank. (These obligations are separate from and in addition to the obligations described below.)</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Securities/Tax Reporting Information. </w:t>
      </w:r>
      <w:r>
        <w:rPr>
          <w:rFonts w:ascii="Arial" w:cs="Arial" w:eastAsia="Arial" w:hAnsi="Arial"/>
          <w:sz w:val="22"/>
          <w:szCs w:val="22"/>
          <w:color w:val="auto"/>
        </w:rPr>
        <w:t>If you hold Shares acquired under the Plan in a brokerage account with a broker or bank</w:t>
      </w:r>
      <w:r>
        <w:rPr>
          <w:rFonts w:ascii="Arial" w:cs="Arial" w:eastAsia="Arial" w:hAnsi="Arial"/>
          <w:sz w:val="22"/>
          <w:szCs w:val="22"/>
          <w:b w:val="1"/>
          <w:bCs w:val="1"/>
          <w:color w:val="auto"/>
        </w:rPr>
        <w:t xml:space="preserve"> </w:t>
      </w:r>
      <w:r>
        <w:rPr>
          <w:rFonts w:ascii="Arial" w:cs="Arial" w:eastAsia="Arial" w:hAnsi="Arial"/>
          <w:sz w:val="22"/>
          <w:szCs w:val="22"/>
          <w:color w:val="auto"/>
        </w:rPr>
        <w:t>outside Denmark, you are required to inform the Danish Tax Administration about the account. For this purpose, you must sign and file a Form V (</w:t>
      </w:r>
      <w:r>
        <w:rPr>
          <w:rFonts w:ascii="Arial" w:cs="Arial" w:eastAsia="Arial" w:hAnsi="Arial"/>
          <w:sz w:val="22"/>
          <w:szCs w:val="22"/>
          <w:i w:val="1"/>
          <w:iCs w:val="1"/>
          <w:color w:val="auto"/>
        </w:rPr>
        <w:t>Erklaering V</w:t>
      </w:r>
      <w:r>
        <w:rPr>
          <w:rFonts w:ascii="Arial" w:cs="Arial" w:eastAsia="Arial" w:hAnsi="Arial"/>
          <w:sz w:val="22"/>
          <w:szCs w:val="22"/>
          <w:color w:val="auto"/>
        </w:rPr>
        <w:t>) with the Danish Tax Administration.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addition, if you open a brokerage account (or a deposit account with a U.S. bank) for the purpose of holding cash outside Denmark, you are also required to inform the Danish Tax Administration about this account. To do so, you must file a Form K (</w:t>
      </w:r>
      <w:r>
        <w:rPr>
          <w:rFonts w:ascii="Arial" w:cs="Arial" w:eastAsia="Arial" w:hAnsi="Arial"/>
          <w:sz w:val="22"/>
          <w:szCs w:val="22"/>
          <w:i w:val="1"/>
          <w:iCs w:val="1"/>
          <w:color w:val="auto"/>
        </w:rPr>
        <w:t>Erklaering K</w:t>
      </w:r>
      <w:r>
        <w:rPr>
          <w:rFonts w:ascii="Arial" w:cs="Arial" w:eastAsia="Arial" w:hAnsi="Arial"/>
          <w:sz w:val="22"/>
          <w:szCs w:val="22"/>
          <w:color w:val="auto"/>
        </w:rPr>
        <w:t>) with the Danish Tax Administration. The Form K must be signed both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 Administration concerning the content of the account. By signing the Form K, you authorize the Danish Tax Administration to examine the account.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transfer funds into Egypt in connection with the Units, you are required to transfer the</w:t>
      </w:r>
      <w:r>
        <w:rPr>
          <w:rFonts w:ascii="Arial" w:cs="Arial" w:eastAsia="Arial" w:hAnsi="Arial"/>
          <w:sz w:val="22"/>
          <w:szCs w:val="22"/>
          <w:b w:val="1"/>
          <w:bCs w:val="1"/>
          <w:color w:val="auto"/>
        </w:rPr>
        <w:t xml:space="preserve"> </w:t>
      </w:r>
      <w:r>
        <w:rPr>
          <w:rFonts w:ascii="Arial" w:cs="Arial" w:eastAsia="Arial" w:hAnsi="Arial"/>
          <w:sz w:val="22"/>
          <w:szCs w:val="22"/>
          <w:color w:val="auto"/>
        </w:rPr>
        <w:t>funds through a registered bank in Egypt.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grant, you confirm having read and understood the Plan and Agreement which were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English language. You accept the terms of those documents accordingly.</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 acceptant l’attribution, vous confirmez avoir lu et compris le Plan et le Contrat, qui ont été communiqués en langue anglaise.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vous accepte les termes de ces documents en connaissance de cause.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420"/>
          </w:cols>
          <w:pgMar w:left="240" w:top="369" w:right="239" w:bottom="1440" w:gutter="0" w:footer="0" w:header="0"/>
        </w:sectPr>
      </w:pPr>
    </w:p>
    <w:bookmarkStart w:id="57" w:name="page58"/>
    <w:bookmarkEnd w:id="57"/>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import or export cash with a value equal to or exceeding €10,000 and you do not use a</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institution to do so, you must submit a report to the customs and excise authorities. Further, if you hold Shares outside of France or maintain a foreign bank account, you are required to report such to the French tax authorities when filing your annual tax return. Failure to comply could trigger significant penalties.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Bank (</w:t>
      </w:r>
      <w:r>
        <w:rPr>
          <w:rFonts w:ascii="Arial" w:cs="Arial" w:eastAsia="Arial" w:hAnsi="Arial"/>
          <w:sz w:val="19"/>
          <w:szCs w:val="19"/>
          <w:i w:val="1"/>
          <w:iCs w:val="1"/>
          <w:color w:val="auto"/>
        </w:rPr>
        <w:t>Bundesbank</w:t>
      </w:r>
      <w:r>
        <w:rPr>
          <w:rFonts w:ascii="Arial" w:cs="Arial" w:eastAsia="Arial" w:hAnsi="Arial"/>
          <w:sz w:val="19"/>
          <w:szCs w:val="19"/>
          <w:color w:val="auto"/>
        </w:rPr>
        <w:t>). In case of payments in connection with securities (including proceeds realized upon the sale of Shares), the report must be made by the 5th day of the month following the month in which the payment was received and must be filed electronically. The form of report (</w:t>
      </w:r>
      <w:r>
        <w:rPr>
          <w:rFonts w:ascii="Arial" w:cs="Arial" w:eastAsia="Arial" w:hAnsi="Arial"/>
          <w:sz w:val="19"/>
          <w:szCs w:val="19"/>
          <w:i w:val="1"/>
          <w:iCs w:val="1"/>
          <w:color w:val="auto"/>
        </w:rPr>
        <w:t>Allgemeine Meldeportal Statistik</w:t>
      </w:r>
      <w:r>
        <w:rPr>
          <w:rFonts w:ascii="Arial" w:cs="Arial" w:eastAsia="Arial" w:hAnsi="Arial"/>
          <w:sz w:val="19"/>
          <w:szCs w:val="19"/>
          <w:color w:val="auto"/>
        </w:rPr>
        <w:t xml:space="preserve">) can be accessed via the </w:t>
      </w:r>
      <w:r>
        <w:rPr>
          <w:rFonts w:ascii="Arial" w:cs="Arial" w:eastAsia="Arial" w:hAnsi="Arial"/>
          <w:sz w:val="19"/>
          <w:szCs w:val="19"/>
          <w:i w:val="1"/>
          <w:iCs w:val="1"/>
          <w:color w:val="auto"/>
        </w:rPr>
        <w:t>Bundesbank’s</w:t>
      </w:r>
      <w:r>
        <w:rPr>
          <w:rFonts w:ascii="Arial" w:cs="Arial" w:eastAsia="Arial" w:hAnsi="Arial"/>
          <w:sz w:val="19"/>
          <w:szCs w:val="19"/>
          <w:color w:val="auto"/>
        </w:rPr>
        <w:t xml:space="preserve"> website (</w:t>
      </w:r>
      <w:r>
        <w:rPr>
          <w:rFonts w:ascii="Arial" w:cs="Arial" w:eastAsia="Arial" w:hAnsi="Arial"/>
          <w:sz w:val="19"/>
          <w:szCs w:val="19"/>
          <w:u w:val="single" w:color="auto"/>
          <w:color w:val="0000FF"/>
        </w:rPr>
        <w:t>www.bundesbank.de</w:t>
      </w:r>
      <w:r>
        <w:rPr>
          <w:rFonts w:ascii="Arial" w:cs="Arial" w:eastAsia="Arial" w:hAnsi="Arial"/>
          <w:sz w:val="19"/>
          <w:szCs w:val="19"/>
          <w:color w:val="auto"/>
        </w:rPr>
        <w:t>) and is available in both German and English. You are responsible for satisfying the reporting obligation.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i w:val="1"/>
          <w:iCs w:val="1"/>
          <w:color w:val="auto"/>
        </w:rPr>
        <w:t xml:space="preserve">SECURITIES WARNING: </w:t>
      </w:r>
      <w:r>
        <w:rPr>
          <w:rFonts w:ascii="Arial" w:cs="Arial" w:eastAsia="Arial" w:hAnsi="Arial"/>
          <w:sz w:val="21"/>
          <w:szCs w:val="21"/>
          <w:i w:val="1"/>
          <w:iCs w:val="1"/>
          <w:color w:val="auto"/>
        </w:rPr>
        <w:t>The Units and any Shares issued in respect of the Units do not constitute a public offering of securities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under Hong Kong law and are available only to members of the Board, Employees and Consultants.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Units and any documentation related thereto are intended solely for the personal use of each member of the Board, Employee and/or Consultant and may not be distributed to any other person. If you are in doubt about any of the contents of the Agreement, including this Appendix, or the Plan, you should obtain independent professional advice.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Units Payable Only in Shares. </w:t>
      </w:r>
      <w:r>
        <w:rPr>
          <w:rFonts w:ascii="Arial" w:cs="Arial" w:eastAsia="Arial" w:hAnsi="Arial"/>
          <w:sz w:val="22"/>
          <w:szCs w:val="22"/>
          <w:color w:val="auto"/>
        </w:rPr>
        <w:t>Notwithstanding any discretion in the Plan or anything to the contrary in the Agreement, the Units</w:t>
      </w:r>
      <w:r>
        <w:rPr>
          <w:rFonts w:ascii="Arial" w:cs="Arial" w:eastAsia="Arial" w:hAnsi="Arial"/>
          <w:sz w:val="22"/>
          <w:szCs w:val="22"/>
          <w:b w:val="1"/>
          <w:bCs w:val="1"/>
          <w:color w:val="auto"/>
        </w:rPr>
        <w:t xml:space="preserve"> </w:t>
      </w:r>
      <w:r>
        <w:rPr>
          <w:rFonts w:ascii="Arial" w:cs="Arial" w:eastAsia="Arial" w:hAnsi="Arial"/>
          <w:sz w:val="22"/>
          <w:szCs w:val="22"/>
          <w:color w:val="auto"/>
        </w:rPr>
        <w:t>do not provide any right for you to receive a cash payment and shall be paid in Shares only.</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Sale of Shares. </w:t>
      </w:r>
      <w:r>
        <w:rPr>
          <w:rFonts w:ascii="Arial" w:cs="Arial" w:eastAsia="Arial" w:hAnsi="Arial"/>
          <w:sz w:val="22"/>
          <w:szCs w:val="22"/>
          <w:color w:val="auto"/>
        </w:rPr>
        <w:t>In the event that Shares are issued in respect of the Units within six (6) months of the Grant Date, you agree that</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not dispose of the Shares prior to the six (6)-month anniversary of the Grant Date.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 xml:space="preserve">Nature of Scheme. </w:t>
      </w:r>
      <w:r>
        <w:rPr>
          <w:rFonts w:ascii="Arial" w:cs="Arial" w:eastAsia="Arial" w:hAnsi="Arial"/>
          <w:sz w:val="22"/>
          <w:szCs w:val="22"/>
          <w:color w:val="auto"/>
        </w:rPr>
        <w:t>The Company specifically intends that the Plan will not be an occupational retirement scheme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Occupational Retirement Schemes Ordinance.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420"/>
          </w:cols>
          <w:pgMar w:left="240" w:top="369" w:right="2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should consult with your personal advisor to ensure compliance with applicable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regulations in Iceland as such regulations are subject to frequent change. You are responsible for ensuring compliance with all exchange control laws in Iceland.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understand that you must repatriate any cash dividends paid on Shares acquired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any proceeds from the sale of Shares acquired under the Plan to India within 90 days of receipt. You will receive a foreign inward remittance certificate (“</w:t>
      </w:r>
      <w:r>
        <w:rPr>
          <w:rFonts w:ascii="Arial" w:cs="Arial" w:eastAsia="Arial" w:hAnsi="Arial"/>
          <w:sz w:val="22"/>
          <w:szCs w:val="22"/>
          <w:u w:val="single" w:color="auto"/>
          <w:color w:val="auto"/>
        </w:rPr>
        <w:t>FIRC</w:t>
      </w:r>
      <w:r>
        <w:rPr>
          <w:rFonts w:ascii="Arial" w:cs="Arial" w:eastAsia="Arial" w:hAnsi="Arial"/>
          <w:sz w:val="22"/>
          <w:szCs w:val="22"/>
          <w:color w:val="auto"/>
        </w:rPr>
        <w:t>”)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You are required to declare foreign bank accounts and any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Agreement. </w:t>
      </w:r>
      <w:r>
        <w:rPr>
          <w:rFonts w:ascii="Arial" w:cs="Arial" w:eastAsia="Arial" w:hAnsi="Arial"/>
          <w:sz w:val="22"/>
          <w:szCs w:val="22"/>
          <w:color w:val="auto"/>
        </w:rPr>
        <w:t>This provision supplements Section XI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any Units granted hereunder, you understand and agree that the benefits received under the Plan will not be taken into account for any redundancy or unfair dismissal claim.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you are a director, shadow director or secretary of an Irish Affiliate, you must notify the</w:t>
      </w:r>
      <w:r>
        <w:rPr>
          <w:rFonts w:ascii="Arial" w:cs="Arial" w:eastAsia="Arial" w:hAnsi="Arial"/>
          <w:sz w:val="19"/>
          <w:szCs w:val="19"/>
          <w:b w:val="1"/>
          <w:bCs w:val="1"/>
          <w:color w:val="auto"/>
        </w:rPr>
        <w:t xml:space="preserve"> </w:t>
      </w:r>
      <w:r>
        <w:rPr>
          <w:rFonts w:ascii="Arial" w:cs="Arial" w:eastAsia="Arial" w:hAnsi="Arial"/>
          <w:sz w:val="19"/>
          <w:szCs w:val="19"/>
          <w:color w:val="auto"/>
        </w:rPr>
        <w:t>Irish Affiliate in writing within five (5) business days of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xml:space="preserve"> the Units or Shares), or within five (5) business days of becoming aware of the event giving rise to the notification requirement, or within five</w:t>
      </w:r>
    </w:p>
    <w:p>
      <w:pPr>
        <w:spacing w:after="0" w:line="2" w:lineRule="exact"/>
        <w:rPr>
          <w:sz w:val="20"/>
          <w:szCs w:val="20"/>
          <w:color w:val="auto"/>
        </w:rPr>
      </w:pPr>
    </w:p>
    <w:p>
      <w:pPr>
        <w:jc w:val="both"/>
        <w:ind w:firstLine="8"/>
        <w:spacing w:after="0" w:line="245" w:lineRule="auto"/>
        <w:tabs>
          <w:tab w:leader="none" w:pos="308" w:val="left"/>
        </w:tabs>
        <w:numPr>
          <w:ilvl w:val="0"/>
          <w:numId w:val="27"/>
        </w:numPr>
        <w:rPr>
          <w:rFonts w:ascii="Arial" w:cs="Arial" w:eastAsia="Arial" w:hAnsi="Arial"/>
          <w:sz w:val="22"/>
          <w:szCs w:val="22"/>
          <w:color w:val="auto"/>
        </w:rPr>
      </w:pPr>
      <w:r>
        <w:rPr>
          <w:rFonts w:ascii="Arial" w:cs="Arial" w:eastAsia="Arial" w:hAnsi="Arial"/>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replaces Section XIV of the Agreement:</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b w:val="1"/>
          <w:bCs w:val="1"/>
          <w:i w:val="1"/>
          <w:iCs w:val="1"/>
          <w:color w:val="auto"/>
        </w:rPr>
        <w:t>You understand that the Employer, the Company and any Affiliate may hold certain personal information about you, including, but not limited to, your name, home address and telephone number, date of birth,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420"/>
          </w:cols>
          <w:pgMar w:left="240" w:top="585" w:right="239" w:bottom="1440" w:gutter="0" w:footer="0" w:header="0"/>
        </w:sectPr>
      </w:pPr>
    </w:p>
    <w:bookmarkStart w:id="59" w:name="page60"/>
    <w:bookmarkEnd w:id="59"/>
    <w:p>
      <w:pPr>
        <w:jc w:val="both"/>
        <w:spacing w:after="0" w:line="250" w:lineRule="auto"/>
        <w:rPr>
          <w:sz w:val="20"/>
          <w:szCs w:val="20"/>
          <w:color w:val="auto"/>
        </w:rPr>
      </w:pPr>
      <w:r>
        <w:rPr>
          <w:rFonts w:ascii="Arial" w:cs="Arial" w:eastAsia="Arial" w:hAnsi="Arial"/>
          <w:sz w:val="22"/>
          <w:szCs w:val="22"/>
          <w:b w:val="1"/>
          <w:bCs w:val="1"/>
          <w:i w:val="1"/>
          <w:iCs w:val="1"/>
          <w:color w:val="auto"/>
        </w:rPr>
        <w:t>social insurance (to the extent permitted under Italian law) or other identification number, salary, nationality, job title, any shares or directorships held in the Company or any Affiliate, details of all Awards granted, or any other entitlement to Shares awarded, canceled, exercised, vested, unvested or outstanding in your favor, for the exclusive purpose of implementing, managing and administering the Plan (“</w:t>
      </w:r>
      <w:r>
        <w:rPr>
          <w:rFonts w:ascii="Arial" w:cs="Arial" w:eastAsia="Arial" w:hAnsi="Arial"/>
          <w:sz w:val="22"/>
          <w:szCs w:val="22"/>
          <w:b w:val="1"/>
          <w:bCs w:val="1"/>
          <w:i w:val="1"/>
          <w:iCs w:val="1"/>
          <w:u w:val="single" w:color="auto"/>
          <w:color w:val="auto"/>
        </w:rPr>
        <w:t>Data</w:t>
      </w:r>
      <w:r>
        <w:rPr>
          <w:rFonts w:ascii="Arial" w:cs="Arial" w:eastAsia="Arial" w:hAnsi="Arial"/>
          <w:sz w:val="22"/>
          <w:szCs w:val="22"/>
          <w:b w:val="1"/>
          <w:bCs w:val="1"/>
          <w:i w:val="1"/>
          <w:iCs w:val="1"/>
          <w:color w:val="auto"/>
        </w:rPr>
        <w:t>”).</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i w:val="1"/>
          <w:iCs w:val="1"/>
          <w:color w:val="auto"/>
        </w:rPr>
        <w:t>You also understand that providing the Company with Data is necessary for the performance of the Plan and that your refusal to provide such Data would make it impossible for the Company to perform its contractual obligations and may affect your ability to participate in the Plan.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9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i w:val="1"/>
          <w:iCs w:val="1"/>
          <w:color w:val="auto"/>
        </w:rPr>
        <w:t>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any Affiliate will transfer Data among themselves as necessary for the purposes of implementing, administering and managing your participation in the Plan, and that the Company and/or any Affiliate may each further transfer Data to third parties assisting the Company in the implementation, administration, and management of the Plan, including any requisite transfer of Data to a broker or other third party with whom you may elect to deposit any Shares acquired at vesting of the Units. Such recipients may receive, possess, use, retain, and transfer Data in electronic or other form, for the purposes of implementing, administering, and managing your participation in the Plan.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4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9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Acknowledgement of Nature of Agreement. </w:t>
      </w:r>
      <w:r>
        <w:rPr>
          <w:rFonts w:ascii="Arial" w:cs="Arial" w:eastAsia="Arial" w:hAnsi="Arial"/>
          <w:sz w:val="19"/>
          <w:szCs w:val="19"/>
          <w:color w:val="auto"/>
        </w:rPr>
        <w:t>By accepting any Units granted hereunder, you acknowledge that (1) you have</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copy of the Plan, the Agreement and this Appendix; (2) you have reviewed the applicable documents in their entirety and fully understand the contents thereof; and (3) you accept all provisions of the Plan, the Agreement and this Appendix.</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420"/>
          </w:cols>
          <w:pgMar w:left="240" w:top="375" w:right="2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22"/>
          <w:szCs w:val="22"/>
          <w:color w:val="auto"/>
        </w:rPr>
        <w:t>For any Units granted, you further acknowledge that you have read and specifically and explicitly approve, without limitation, the following sections of the Agreement: Section I; Section II; Section III; Section VIII; Section X; Section XI; Section XIV (as replaced by the above consent); Section XVI; and Section XVII.</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Financial Assets Tax. </w:t>
      </w:r>
      <w:r>
        <w:rPr>
          <w:rFonts w:ascii="Arial" w:cs="Arial" w:eastAsia="Arial" w:hAnsi="Arial"/>
          <w:sz w:val="22"/>
          <w:szCs w:val="22"/>
          <w:color w:val="auto"/>
        </w:rPr>
        <w:t>The fair market value of any Shares held outside of Italy is subject to a foreign assets tax. The fair</w:t>
      </w:r>
      <w:r>
        <w:rPr>
          <w:rFonts w:ascii="Arial" w:cs="Arial" w:eastAsia="Arial" w:hAnsi="Arial"/>
          <w:sz w:val="22"/>
          <w:szCs w:val="22"/>
          <w:b w:val="1"/>
          <w:bCs w:val="1"/>
          <w:color w:val="auto"/>
        </w:rPr>
        <w:t xml:space="preserve"> </w:t>
      </w:r>
      <w:r>
        <w:rPr>
          <w:rFonts w:ascii="Arial" w:cs="Arial" w:eastAsia="Arial" w:hAnsi="Arial"/>
          <w:sz w:val="22"/>
          <w:szCs w:val="22"/>
          <w:color w:val="auto"/>
        </w:rPr>
        <w:t>market value is considered to be the value of the Shares on the NASDAQ Global Select Market on December 31 of each year or on the last day in the applicable year on which you held the 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will be required to report to the Japanese tax authorities details of any assets</w:t>
      </w:r>
      <w:r>
        <w:rPr>
          <w:rFonts w:ascii="Arial" w:cs="Arial" w:eastAsia="Arial" w:hAnsi="Arial"/>
          <w:sz w:val="22"/>
          <w:szCs w:val="22"/>
          <w:b w:val="1"/>
          <w:bCs w:val="1"/>
          <w:color w:val="auto"/>
        </w:rPr>
        <w:t xml:space="preserve"> </w:t>
      </w:r>
      <w:r>
        <w:rPr>
          <w:rFonts w:ascii="Arial" w:cs="Arial" w:eastAsia="Arial" w:hAnsi="Arial"/>
          <w:sz w:val="22"/>
          <w:szCs w:val="22"/>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JORDAN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LEBANON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LITHUANIA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Acknowledgement of the Agreement. </w:t>
      </w:r>
      <w:r>
        <w:rPr>
          <w:rFonts w:ascii="Arial" w:cs="Arial" w:eastAsia="Arial" w:hAnsi="Arial"/>
          <w:sz w:val="22"/>
          <w:szCs w:val="22"/>
          <w:color w:val="auto"/>
        </w:rPr>
        <w:t>In accepting the Award granted hereunder, you acknowledge that you have received a copy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 have reviewed the Plan and the Agreement, including this Appendix, in their entirety and fully understand and accept all provisions of the Plan and the Agreement, including this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420"/>
          </w:cols>
          <w:pgMar w:left="240" w:top="375" w:right="239" w:bottom="1440" w:gutter="0" w:footer="0" w:header="0"/>
        </w:sectPr>
      </w:pPr>
    </w:p>
    <w:bookmarkStart w:id="61" w:name="page62"/>
    <w:bookmarkEnd w:id="61"/>
    <w:p>
      <w:pPr>
        <w:spacing w:after="0" w:line="263" w:lineRule="auto"/>
        <w:rPr>
          <w:sz w:val="20"/>
          <w:szCs w:val="20"/>
          <w:color w:val="auto"/>
        </w:rPr>
      </w:pPr>
      <w:r>
        <w:rPr>
          <w:rFonts w:ascii="Arial" w:cs="Arial" w:eastAsia="Arial" w:hAnsi="Arial"/>
          <w:sz w:val="22"/>
          <w:szCs w:val="22"/>
          <w:color w:val="auto"/>
        </w:rPr>
        <w:t>Appendix. You further acknowledge that you have read and specifically and expressly approve the terms and conditions of Section XI of the Agreement, in which the following is clearly described and established:</w:t>
      </w:r>
    </w:p>
    <w:p>
      <w:pPr>
        <w:spacing w:after="0" w:line="21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participation in the Plan does not constitute an acquired right.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Plan and your participation in the Plan are offered by Amgen Inc. on a wholly discretionary basis.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Amgen Inc. and its Affiliates are not responsible for any decrease in the value of the Units granted and/or Shares issued under the Plan.</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 xml:space="preserve">Labor Law Acknowledgement and Policy Statement. </w:t>
      </w:r>
      <w:r>
        <w:rPr>
          <w:rFonts w:ascii="Arial" w:cs="Arial" w:eastAsia="Arial" w:hAnsi="Arial"/>
          <w:sz w:val="22"/>
          <w:szCs w:val="22"/>
          <w:color w:val="auto"/>
        </w:rPr>
        <w:t>In accepting any Award granted hereunder, you expressly recognize that</w:t>
      </w:r>
      <w:r>
        <w:rPr>
          <w:rFonts w:ascii="Arial" w:cs="Arial" w:eastAsia="Arial" w:hAnsi="Arial"/>
          <w:sz w:val="22"/>
          <w:szCs w:val="22"/>
          <w:b w:val="1"/>
          <w:bCs w:val="1"/>
          <w:color w:val="auto"/>
        </w:rPr>
        <w:t xml:space="preserve"> </w:t>
      </w:r>
      <w:r>
        <w:rPr>
          <w:rFonts w:ascii="Arial" w:cs="Arial" w:eastAsia="Arial" w:hAnsi="Arial"/>
          <w:sz w:val="22"/>
          <w:szCs w:val="22"/>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w:t>
      </w:r>
      <w:r>
        <w:rPr>
          <w:rFonts w:ascii="Arial" w:cs="Arial" w:eastAsia="Arial" w:hAnsi="Arial"/>
          <w:sz w:val="22"/>
          <w:szCs w:val="22"/>
          <w:u w:val="single" w:color="auto"/>
          <w:color w:val="auto"/>
        </w:rPr>
        <w:t>Amgen-Mexico</w:t>
      </w:r>
      <w:r>
        <w:rPr>
          <w:rFonts w:ascii="Arial" w:cs="Arial" w:eastAsia="Arial" w:hAnsi="Arial"/>
          <w:sz w:val="22"/>
          <w:szCs w:val="22"/>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Reconocimiento del Otorgamiento. </w:t>
      </w:r>
      <w:r>
        <w:rPr>
          <w:rFonts w:ascii="Arial" w:cs="Arial" w:eastAsia="Arial" w:hAnsi="Arial"/>
          <w:sz w:val="19"/>
          <w:szCs w:val="19"/>
          <w:color w:val="auto"/>
        </w:rPr>
        <w:t>Al aceptar cualquier Otorgamiento bajo el presente documento, usted reconoce que ha</w:t>
      </w:r>
      <w:r>
        <w:rPr>
          <w:rFonts w:ascii="Arial" w:cs="Arial" w:eastAsia="Arial" w:hAnsi="Arial"/>
          <w:sz w:val="19"/>
          <w:szCs w:val="19"/>
          <w:b w:val="1"/>
          <w:bCs w:val="1"/>
          <w:color w:val="auto"/>
        </w:rPr>
        <w:t xml:space="preserve"> </w:t>
      </w:r>
      <w:r>
        <w:rPr>
          <w:rFonts w:ascii="Arial" w:cs="Arial" w:eastAsia="Arial" w:hAnsi="Arial"/>
          <w:sz w:val="19"/>
          <w:szCs w:val="19"/>
          <w:color w:val="auto"/>
        </w:rPr>
        <w:t>recibido 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 del Acuerdo, en los que se establece y describe claramente que:</w:t>
      </w:r>
    </w:p>
    <w:p>
      <w:pPr>
        <w:spacing w:after="0" w:line="149"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 participación en el Plan de ninguna manera constituye un derecho adquirido.</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31" w:lineRule="exact"/>
        <w:rPr>
          <w:rFonts w:ascii="Arial" w:cs="Arial" w:eastAsia="Arial" w:hAnsi="Arial"/>
          <w:sz w:val="21"/>
          <w:szCs w:val="21"/>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 participación en el Plan es voluntaria.</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Amgen Inc. y sus Afiliados no son responsables de ninguna disminución en el valor de Unidades o de las Acciones Comunes emitidas mediante el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420"/>
          </w:cols>
          <w:pgMar w:left="240" w:top="375" w:right="239" w:bottom="1440" w:gutter="0" w:footer="0" w:header="0"/>
        </w:sectPr>
      </w:pPr>
    </w:p>
    <w:bookmarkStart w:id="62" w:name="page63"/>
    <w:bookmarkEnd w:id="62"/>
    <w:p>
      <w:pPr>
        <w:jc w:val="both"/>
        <w:spacing w:after="0" w:line="290"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de Acciones bajo el presente,</w:t>
      </w:r>
      <w:r>
        <w:rPr>
          <w:rFonts w:ascii="Arial" w:cs="Arial" w:eastAsia="Arial" w:hAnsi="Arial"/>
          <w:sz w:val="19"/>
          <w:szCs w:val="19"/>
          <w:b w:val="1"/>
          <w:bCs w:val="1"/>
          <w:color w:val="auto"/>
        </w:rPr>
        <w:t xml:space="preserve"> </w:t>
      </w:r>
      <w:r>
        <w:rPr>
          <w:rFonts w:ascii="Arial" w:cs="Arial" w:eastAsia="Arial" w:hAnsi="Arial"/>
          <w:sz w:val="19"/>
          <w:szCs w:val="19"/>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w:t>
      </w:r>
      <w:r>
        <w:rPr>
          <w:rFonts w:ascii="Arial" w:cs="Arial" w:eastAsia="Arial" w:hAnsi="Arial"/>
          <w:sz w:val="19"/>
          <w:szCs w:val="19"/>
          <w:u w:val="single" w:color="auto"/>
          <w:color w:val="auto"/>
        </w:rPr>
        <w:t>Amgen-México</w:t>
      </w:r>
      <w:r>
        <w:rPr>
          <w:rFonts w:ascii="Arial" w:cs="Arial" w:eastAsia="Arial" w:hAnsi="Arial"/>
          <w:sz w:val="19"/>
          <w:szCs w:val="19"/>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MOROCCO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Sale Requirement. </w:t>
      </w:r>
      <w:r>
        <w:rPr>
          <w:rFonts w:ascii="Arial" w:cs="Arial" w:eastAsia="Arial" w:hAnsi="Arial"/>
          <w:sz w:val="22"/>
          <w:szCs w:val="22"/>
          <w:color w:val="auto"/>
        </w:rPr>
        <w:t>Notwithstanding anything to the contrary in the Agreement, due to exchange control laws in Morocco,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that the Company reserves the right to require the immediate sale of Any Shares acquired upon settlement of the Units. Alternatively, if the Shares are not immediately sold upon settlement of the Units, the Company may require the sale of any Shares at a later date, including upon termination of your employment.</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420"/>
          </w:cols>
          <w:pgMar w:left="240" w:top="585" w:right="2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22"/>
          <w:szCs w:val="22"/>
          <w:color w:val="auto"/>
        </w:rPr>
        <w:t>for the amount of any loss that you may incur and that the Company assumes no liability for any fluctuations in the Share price and/or any applicable exchange rate.</w:t>
      </w:r>
    </w:p>
    <w:p>
      <w:pPr>
        <w:spacing w:after="0" w:line="16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Performance Units are not immediately sold,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settlement of the Performance Units to Morocco. You further understand that such repatriation of your cash proceeds may be effectuated through a bank account established by the Company or any Affiliate, including the Employer, 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(Office des Changes). Further, you acknowledge and understand that the net proceeds that you realize from your participation in the Plan must be converted from U.S. dollars to Dirham, and that neither the Company nor 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PERU</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Units is considered a private offering in Peru; therefore, it is not subject to registration.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420"/>
          </w:cols>
          <w:pgMar w:left="240" w:top="375" w:right="239" w:bottom="1440" w:gutter="0" w:footer="0" w:header="0"/>
        </w:sectPr>
      </w:pPr>
    </w:p>
    <w:bookmarkStart w:id="64" w:name="page65"/>
    <w:bookmarkEnd w:id="64"/>
    <w:p>
      <w:pPr>
        <w:jc w:val="both"/>
        <w:spacing w:after="0" w:line="29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holding foreign securities (including Shares) and maintaining accounts abroad</w:t>
      </w:r>
      <w:r>
        <w:rPr>
          <w:rFonts w:ascii="Arial" w:cs="Arial" w:eastAsia="Arial" w:hAnsi="Arial"/>
          <w:sz w:val="19"/>
          <w:szCs w:val="19"/>
          <w:b w:val="1"/>
          <w:bCs w:val="1"/>
          <w:color w:val="auto"/>
        </w:rPr>
        <w:t xml:space="preserve"> </w:t>
      </w:r>
      <w:r>
        <w:rPr>
          <w:rFonts w:ascii="Arial" w:cs="Arial" w:eastAsia="Arial" w:hAnsi="Arial"/>
          <w:sz w:val="19"/>
          <w:szCs w:val="19"/>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€15,000). You must store all documents connected with any foreign exchange transactions you engage in for a period of five years.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350" w:lineRule="auto"/>
        <w:rPr>
          <w:sz w:val="20"/>
          <w:szCs w:val="20"/>
          <w:color w:val="auto"/>
        </w:rPr>
      </w:pPr>
      <w:r>
        <w:rPr>
          <w:rFonts w:ascii="Arial" w:cs="Arial" w:eastAsia="Arial" w:hAnsi="Arial"/>
          <w:sz w:val="19"/>
          <w:szCs w:val="19"/>
          <w:b w:val="1"/>
          <w:bCs w:val="1"/>
          <w:color w:val="auto"/>
        </w:rPr>
        <w:t xml:space="preserve">Consent to Receive Information in English. </w:t>
      </w:r>
      <w:r>
        <w:rPr>
          <w:rFonts w:ascii="Arial" w:cs="Arial" w:eastAsia="Arial" w:hAnsi="Arial"/>
          <w:sz w:val="19"/>
          <w:szCs w:val="19"/>
          <w:color w:val="auto"/>
        </w:rPr>
        <w:t>You hereby expressly declare that you have full knowledge of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and have read, understood and fully accepted and agreed with the terms and conditions established in the Plan and Agreement.</w:t>
      </w:r>
    </w:p>
    <w:p>
      <w:pPr>
        <w:spacing w:after="0" w:line="92"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li, compreendi e livremente aceitei e concordei com os termos e condições estabelecidas no Plano e no Acordo.</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do not hold the Shares acquired under the Plan with a Portuguese financial intermediary,</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need to file a report with the Portuguese Central Bank. If the Shares are held by a Portuguese financial intermediary, it will file the report for you.</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PUERTO RICO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deposit proceeds from the sale of Shares in a bank account in Romania, you may be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Settlement of Units. </w:t>
      </w:r>
      <w:r>
        <w:rPr>
          <w:rFonts w:ascii="Arial" w:cs="Arial" w:eastAsia="Arial" w:hAnsi="Arial"/>
          <w:sz w:val="22"/>
          <w:szCs w:val="22"/>
          <w:color w:val="auto"/>
        </w:rPr>
        <w:t>Depending on developments in Russian securities regulations, the Company reserves the right, in its sole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to force the immediate sale of any Shares to be issued upon vesting of the Units. You agree that, if applicable, the Company is authorized to instruct Merrill Lynch Bank &amp; Trust Co., FSB (or such other broker as may be designated by the Company) to assist with the mandatory sale of such Shares (on your behalf pursuant to this authorization) and you expressly authorize Merrill Lynch Bank &amp;</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420"/>
          </w:cols>
          <w:pgMar w:left="240" w:top="585" w:right="239" w:bottom="1440" w:gutter="0" w:footer="0" w:header="0"/>
        </w:sectPr>
      </w:pPr>
    </w:p>
    <w:bookmarkStart w:id="65" w:name="page66"/>
    <w:bookmarkEnd w:id="65"/>
    <w:p>
      <w:pPr>
        <w:jc w:val="both"/>
        <w:spacing w:after="0" w:line="302" w:lineRule="auto"/>
        <w:rPr>
          <w:sz w:val="20"/>
          <w:szCs w:val="20"/>
          <w:color w:val="auto"/>
        </w:rPr>
      </w:pPr>
      <w:r>
        <w:rPr>
          <w:rFonts w:ascii="Arial" w:cs="Arial" w:eastAsia="Arial" w:hAnsi="Arial"/>
          <w:sz w:val="19"/>
          <w:szCs w:val="19"/>
          <w:color w:val="auto"/>
        </w:rPr>
        <w:t>Trust Co., FSB (or such other broker as may be designated by the Company) to complete the sale of such Shares. You acknowledge that Merrill Lynch Bank &amp; Trust Co., FSB (or such other broker as may be designated by the Company) is under no obligation to arrange for the sale of the Shares at any particular trading price. Upon the sale of Shares, you will receive the cash proceeds from the sale of Shares, less any brokerage fees or commissions and subject to your obligations in connection with the Tax Obligations.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Securities Law Requirements. </w:t>
      </w:r>
      <w:r>
        <w:rPr>
          <w:rFonts w:ascii="Arial" w:cs="Arial" w:eastAsia="Arial" w:hAnsi="Arial"/>
          <w:sz w:val="22"/>
          <w:szCs w:val="22"/>
          <w:color w:val="auto"/>
        </w:rPr>
        <w:t>Any Units granted hereunder, the Agreement, including this Appendix, the Plan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you may receive regarding your participation in the Plan or any Units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no event will Shares acquired under the Plan be delivered to you in Russia; all Shares will be maintained on your behalf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any Shares acquired under the Plan directly to a Russian legal entity or resident.</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22"/>
          <w:szCs w:val="22"/>
          <w:b w:val="1"/>
          <w:bCs w:val="1"/>
          <w:color w:val="auto"/>
        </w:rPr>
        <w:t xml:space="preserve">Labor Law Information. </w:t>
      </w:r>
      <w:r>
        <w:rPr>
          <w:rFonts w:ascii="Arial" w:cs="Arial" w:eastAsia="Arial" w:hAnsi="Arial"/>
          <w:sz w:val="22"/>
          <w:szCs w:val="22"/>
          <w:color w:val="auto"/>
        </w:rPr>
        <w:t>You acknowledge that if you continue to hold Shares acquired under the Plan after an involuntary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your employment, you will not be eligible to receive unemployment benefits in Russia.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supplements Section XIV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Units. Therefore, you understand that refusing to complete a Consent form or withdrawing your consent may affect your ability to participate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Under current exchange control regulations, within a reasonably short time after sale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or receipt of dividends on such Shares, you must repatriate the cash proceeds to Russia. Such proceeds must be initially credited to you through a foreign currency account opened in your name at an authorized bank in Russia. After the funds are initially received in Russia, they may be further remitted to a foreign bank subject to the following limitations:</w:t>
      </w:r>
    </w:p>
    <w:p>
      <w:pPr>
        <w:spacing w:after="0" w:line="2" w:lineRule="exact"/>
        <w:rPr>
          <w:sz w:val="20"/>
          <w:szCs w:val="20"/>
          <w:color w:val="auto"/>
        </w:rPr>
      </w:pPr>
    </w:p>
    <w:p>
      <w:pPr>
        <w:jc w:val="both"/>
        <w:ind w:firstLine="8"/>
        <w:spacing w:after="0" w:line="258" w:lineRule="auto"/>
        <w:tabs>
          <w:tab w:leader="none" w:pos="263"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foreign account may be opened only for individuals; (ii) the foreign account may not be used for business activities; (iii) the Russian tax authorities must be given notice about the opening/closing of each foreign account within one month of the account opening/closing; and (iv) the Russian tax authorities must be given notice of the account balances of such foreign accounts as of the beginning of each calendar year. You are encouraged to contact your personal advisor before remitting your proceeds from participation in the Plan to Russia as exchange control requirements may change.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SAUDI ARABIA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This document may not be distributed in the Kingdom of Saudi Arabia except to such persons as are</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under the Offers of Securities Regulations issued by the Capital Market Authority.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420"/>
          </w:cols>
          <w:pgMar w:left="240" w:top="375" w:right="239" w:bottom="1440" w:gutter="0" w:footer="0" w:header="0"/>
        </w:sectPr>
      </w:pPr>
    </w:p>
    <w:bookmarkStart w:id="66" w:name="page67"/>
    <w:bookmarkEnd w:id="66"/>
    <w:p>
      <w:pPr>
        <w:jc w:val="both"/>
        <w:spacing w:after="0" w:line="265" w:lineRule="auto"/>
        <w:rPr>
          <w:sz w:val="20"/>
          <w:szCs w:val="20"/>
          <w:color w:val="auto"/>
        </w:rPr>
      </w:pPr>
      <w:r>
        <w:rPr>
          <w:rFonts w:ascii="Arial" w:cs="Arial" w:eastAsia="Arial" w:hAnsi="Arial"/>
          <w:sz w:val="21"/>
          <w:szCs w:val="21"/>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grant of the Units is being made pursuant to the “Qualifying Person” exemption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273(1)(f) of the Securities and Futures Act (Chapter 289, 2006 Ed.) (“</w:t>
      </w:r>
      <w:r>
        <w:rPr>
          <w:rFonts w:ascii="Arial" w:cs="Arial" w:eastAsia="Arial" w:hAnsi="Arial"/>
          <w:sz w:val="22"/>
          <w:szCs w:val="22"/>
          <w:u w:val="single" w:color="auto"/>
          <w:color w:val="auto"/>
        </w:rPr>
        <w:t>SFA</w:t>
      </w:r>
      <w:r>
        <w:rPr>
          <w:rFonts w:ascii="Arial" w:cs="Arial" w:eastAsia="Arial" w:hAnsi="Arial"/>
          <w:sz w:val="22"/>
          <w:szCs w:val="22"/>
          <w:color w:val="auto"/>
        </w:rPr>
        <w:t>”) and is not made with a view to the Units being subsequently offered for sale to any other party. The Plan has not been lodged or registered as a prospectus with the Monetary Authority of Singapore. You should note that the Units are subject to section 257 of the SFA and you will not be able to make (i) any subsequent sale of Shares in Singapore or (ii) any offer of such subsequent sale of Shares subject to the Units in Singapore, unless such sale or offer in is made pursuant to the exemptions under Part XIII Division (1) Subdivision (4) (other than section 280) of the SFA (Chapter 289, 2006 Ed.).</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associate directors and shadow directors of a Singapore Affiliate are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notification requirements under the Singapore Companies Act. Directors, associate directors and shadow directors must notify the Singapore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Units, Shares, etc.) in the Company or any related company within two</w:t>
      </w:r>
    </w:p>
    <w:p>
      <w:pPr>
        <w:spacing w:after="0" w:line="2" w:lineRule="exact"/>
        <w:rPr>
          <w:sz w:val="20"/>
          <w:szCs w:val="20"/>
          <w:color w:val="auto"/>
        </w:rPr>
      </w:pPr>
    </w:p>
    <w:p>
      <w:pPr>
        <w:ind w:right="20" w:firstLine="8"/>
        <w:spacing w:after="0" w:line="246" w:lineRule="auto"/>
        <w:tabs>
          <w:tab w:leader="none" w:pos="308" w:val="left"/>
        </w:tabs>
        <w:numPr>
          <w:ilvl w:val="0"/>
          <w:numId w:val="31"/>
        </w:numPr>
        <w:rPr>
          <w:rFonts w:ascii="Arial" w:cs="Arial" w:eastAsia="Arial" w:hAnsi="Arial"/>
          <w:sz w:val="22"/>
          <w:szCs w:val="22"/>
          <w:color w:val="auto"/>
        </w:rPr>
      </w:pPr>
      <w:r>
        <w:rPr>
          <w:rFonts w:ascii="Arial" w:cs="Arial" w:eastAsia="Arial" w:hAnsi="Arial"/>
          <w:sz w:val="22"/>
          <w:szCs w:val="22"/>
          <w:color w:val="auto"/>
        </w:rPr>
        <w:t>business days of (i) its acquisition or disposal, (ii) any change in a previously disclosed interest (</w:t>
      </w:r>
      <w:r>
        <w:rPr>
          <w:rFonts w:ascii="Arial" w:cs="Arial" w:eastAsia="Arial" w:hAnsi="Arial"/>
          <w:sz w:val="22"/>
          <w:szCs w:val="22"/>
          <w:i w:val="1"/>
          <w:iCs w:val="1"/>
          <w:color w:val="auto"/>
        </w:rPr>
        <w:t>e.g.,</w:t>
      </w:r>
      <w:r>
        <w:rPr>
          <w:rFonts w:ascii="Arial" w:cs="Arial" w:eastAsia="Arial" w:hAnsi="Arial"/>
          <w:sz w:val="22"/>
          <w:szCs w:val="22"/>
          <w:color w:val="auto"/>
        </w:rPr>
        <w:t xml:space="preserve"> when the Shares are sold), or (iii) becoming a director, associate director or shadow director.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 REPUBLIC</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permanently reside in the Slovak Republic and, apart from being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 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t>
      </w:r>
      <w:r>
        <w:rPr>
          <w:rFonts w:ascii="Arial" w:cs="Arial" w:eastAsia="Arial" w:hAnsi="Arial"/>
          <w:sz w:val="19"/>
          <w:szCs w:val="19"/>
          <w:u w:val="single" w:color="auto"/>
          <w:color w:val="0000FF"/>
        </w:rPr>
        <w:t>www.nbs.sk</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SLOVENIA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Responsibility for Taxes. </w:t>
      </w:r>
      <w:r>
        <w:rPr>
          <w:rFonts w:ascii="Arial" w:cs="Arial" w:eastAsia="Arial" w:hAnsi="Arial"/>
          <w:sz w:val="22"/>
          <w:szCs w:val="22"/>
          <w:color w:val="auto"/>
        </w:rPr>
        <w:t>The following provision supplements Section III of the Agreement: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the Units, you agree that, immediately upon vesting and settlement of the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420"/>
          </w:cols>
          <w:pgMar w:left="240" w:top="375"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Because no transfer of funds from South Africa is required under the Units, no filing or 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should apply when the Units are granted or when Shares are issued upon vesting and settlement of the Units. However, because the exchange control regulations are subject to change, you should consult your personal advisor prior to vesting and settlement of the Units to ensure compliance with current regulations. You are responsible for ensuring compliance with all exchange control laws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XI of the Agreement:</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By accepting the Units granted hereunder, you consent to participation in the Plan and acknowledge that you have received a copy of the Plan.</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any Units under the Plan to individuals who may be members of the Board, Employees or Consultants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You acknowledge that you have read and specifically accept the conditions referred to in Section I of the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420"/>
          </w:cols>
          <w:pgMar w:left="240" w:top="591"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No “offer of securities to the public,” as defined under Spanish law, has taken place or will take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place in the Spanish territory. The Agreement (including this Appendix) has not been nor will it be registered with the </w:t>
      </w:r>
      <w:r>
        <w:rPr>
          <w:rFonts w:ascii="Arial" w:cs="Arial" w:eastAsia="Arial" w:hAnsi="Arial"/>
          <w:sz w:val="22"/>
          <w:szCs w:val="22"/>
          <w:i w:val="1"/>
          <w:iCs w:val="1"/>
          <w:color w:val="auto"/>
        </w:rPr>
        <w:t>Comisión</w:t>
      </w:r>
      <w:r>
        <w:rPr>
          <w:rFonts w:ascii="Arial" w:cs="Arial" w:eastAsia="Arial" w:hAnsi="Arial"/>
          <w:sz w:val="22"/>
          <w:szCs w:val="22"/>
          <w:color w:val="auto"/>
        </w:rPr>
        <w:t xml:space="preserve"> </w:t>
      </w:r>
      <w:r>
        <w:rPr>
          <w:rFonts w:ascii="Arial" w:cs="Arial" w:eastAsia="Arial" w:hAnsi="Arial"/>
          <w:sz w:val="22"/>
          <w:szCs w:val="22"/>
          <w:i w:val="1"/>
          <w:iCs w:val="1"/>
          <w:color w:val="auto"/>
        </w:rPr>
        <w:t>Nacional del Mercado de Valores</w:t>
      </w:r>
      <w:r>
        <w:rPr>
          <w:rFonts w:ascii="Arial" w:cs="Arial" w:eastAsia="Arial" w:hAnsi="Arial"/>
          <w:sz w:val="22"/>
          <w:szCs w:val="22"/>
          <w:color w:val="auto"/>
        </w:rPr>
        <w:t>, and does not constitute a public offering prospectus.</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w:t>
      </w:r>
      <w:r>
        <w:rPr>
          <w:rFonts w:ascii="Arial" w:cs="Arial" w:eastAsia="Arial" w:hAnsi="Arial"/>
          <w:sz w:val="19"/>
          <w:szCs w:val="19"/>
          <w:i w:val="1"/>
          <w:iCs w:val="1"/>
          <w:color w:val="auto"/>
        </w:rPr>
        <w:t xml:space="preserve"> </w:t>
      </w:r>
      <w:r>
        <w:rPr>
          <w:rFonts w:ascii="Arial" w:cs="Arial" w:eastAsia="Arial" w:hAnsi="Arial"/>
          <w:sz w:val="19"/>
          <w:szCs w:val="19"/>
          <w:color w:val="auto"/>
        </w:rPr>
        <w:t>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44"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Units offered hereunder are considered a private offering in Switzerland and are, therefore, not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registration in Switzerland.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You may acquire and remit foreign currency (including proceeds from the sale of Shares) up to</w:t>
      </w:r>
      <w:r>
        <w:rPr>
          <w:rFonts w:ascii="Arial" w:cs="Arial" w:eastAsia="Arial" w:hAnsi="Arial"/>
          <w:sz w:val="21"/>
          <w:szCs w:val="21"/>
          <w:b w:val="1"/>
          <w:bCs w:val="1"/>
          <w:color w:val="auto"/>
        </w:rPr>
        <w:t xml:space="preserve"> </w:t>
      </w:r>
      <w:r>
        <w:rPr>
          <w:rFonts w:ascii="Arial" w:cs="Arial" w:eastAsia="Arial" w:hAnsi="Arial"/>
          <w:sz w:val="21"/>
          <w:szCs w:val="21"/>
          <w:color w:val="auto"/>
        </w:rPr>
        <w:t>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420"/>
          </w:cols>
          <w:pgMar w:left="240" w:top="375"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proceeds from the sale of Shares or the receipt of any dividends exceed US$50,000, you must</w:t>
      </w:r>
    </w:p>
    <w:p>
      <w:pPr>
        <w:spacing w:after="0" w:line="62" w:lineRule="exact"/>
        <w:rPr>
          <w:sz w:val="20"/>
          <w:szCs w:val="20"/>
          <w:color w:val="auto"/>
        </w:rPr>
      </w:pPr>
    </w:p>
    <w:p>
      <w:pPr>
        <w:jc w:val="both"/>
        <w:ind w:firstLine="8"/>
        <w:spacing w:after="0" w:line="245" w:lineRule="auto"/>
        <w:tabs>
          <w:tab w:leader="none" w:pos="2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TUNISIA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hold assets (including Shares acquired under the Plan) outside Tunisia and the value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assets exceeds a certain threshold (currently TDN 500), you must declare the assets to the Central Bank of Tunisia within six</w:t>
      </w:r>
    </w:p>
    <w:p>
      <w:pPr>
        <w:jc w:val="both"/>
        <w:ind w:firstLine="8"/>
        <w:spacing w:after="0" w:line="245" w:lineRule="auto"/>
        <w:tabs>
          <w:tab w:leader="none" w:pos="341" w:val="left"/>
        </w:tabs>
        <w:numPr>
          <w:ilvl w:val="0"/>
          <w:numId w:val="33"/>
        </w:numPr>
        <w:rPr>
          <w:rFonts w:ascii="Arial" w:cs="Arial" w:eastAsia="Arial" w:hAnsi="Arial"/>
          <w:sz w:val="22"/>
          <w:szCs w:val="22"/>
          <w:color w:val="auto"/>
        </w:rPr>
      </w:pPr>
      <w:r>
        <w:rPr>
          <w:rFonts w:ascii="Arial" w:cs="Arial" w:eastAsia="Arial" w:hAnsi="Arial"/>
          <w:sz w:val="22"/>
          <w:szCs w:val="22"/>
          <w:color w:val="auto"/>
        </w:rPr>
        <w:t>months of their acquisition. In addition, if you sell the Shares acquired under the Plan, you are required to repatriate the proceeds from the sale to Tunisia. You are solely responsible for complying with all exchange control laws in Tunisia and are advised to consult with your personal legal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Under Turkish law, you are not permitted to sell Shares acquired under the Plan in Turkey. You must</w:t>
      </w:r>
      <w:r>
        <w:rPr>
          <w:rFonts w:ascii="Arial" w:cs="Arial" w:eastAsia="Arial" w:hAnsi="Arial"/>
          <w:sz w:val="21"/>
          <w:szCs w:val="21"/>
          <w:b w:val="1"/>
          <w:bCs w:val="1"/>
          <w:color w:val="auto"/>
        </w:rPr>
        <w:t xml:space="preserve"> </w:t>
      </w:r>
      <w:r>
        <w:rPr>
          <w:rFonts w:ascii="Arial" w:cs="Arial" w:eastAsia="Arial" w:hAnsi="Arial"/>
          <w:sz w:val="21"/>
          <w:szCs w:val="21"/>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Pursuant to Decree No. 32 on the Protection of the Value of the Turkish Currency ("</w:t>
      </w:r>
      <w:r>
        <w:rPr>
          <w:rFonts w:ascii="Arial" w:cs="Arial" w:eastAsia="Arial" w:hAnsi="Arial"/>
          <w:sz w:val="22"/>
          <w:szCs w:val="22"/>
          <w:u w:val="single" w:color="auto"/>
          <w:color w:val="auto"/>
        </w:rPr>
        <w:t>Decree 32</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and Communique No. 2008-32/34 on Decree 32, any activity related to investments in foreign securities (</w:t>
      </w:r>
      <w:r>
        <w:rPr>
          <w:rFonts w:ascii="Arial" w:cs="Arial" w:eastAsia="Arial" w:hAnsi="Arial"/>
          <w:sz w:val="22"/>
          <w:szCs w:val="22"/>
          <w:i w:val="1"/>
          <w:iCs w:val="1"/>
          <w:color w:val="auto"/>
        </w:rPr>
        <w:t>e.g.</w:t>
      </w:r>
      <w:r>
        <w:rPr>
          <w:rFonts w:ascii="Arial" w:cs="Arial" w:eastAsia="Arial" w:hAnsi="Arial"/>
          <w:sz w:val="22"/>
          <w:szCs w:val="22"/>
          <w:color w:val="auto"/>
        </w:rPr>
        <w:t>, the sale of Shares under the Plan)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Units under the Plan are granted only to select Board members, Employees and Consultants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its Affiliates and are for the purpose of providing equity incentives. The Plan and the Agreement are intended for distribution only to such Board members, Employees and Consultants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420"/>
          </w:cols>
          <w:pgMar w:left="240" w:top="369" w:right="2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22"/>
          <w:szCs w:val="22"/>
          <w:color w:val="auto"/>
        </w:rPr>
        <w:t>Economic Development have not approved the Plan or the Agreement nor taken steps to verify the information set out therein, and have no responsibility for such documents.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This provision supplements Section III of the Agreement:</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You agree that if you do not pay or your Employer or the Company does not withhold from you the full amount of income tax that you owe at issuance of Shares in respect of the Units, or the release or assignment of the Units for consideration, or the receipt of any other benefit in connection with the Units (the “</w:t>
      </w:r>
      <w:r>
        <w:rPr>
          <w:rFonts w:ascii="Arial" w:cs="Arial" w:eastAsia="Arial" w:hAnsi="Arial"/>
          <w:sz w:val="19"/>
          <w:szCs w:val="19"/>
          <w:u w:val="single" w:color="auto"/>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and/or paid shall constitute a loan owed by you to your Employer, effective 90 days after the Taxable Event. You agree that the loan will bear interest at the official rate of HM Revenue and Customs (“</w:t>
      </w:r>
      <w:r>
        <w:rPr>
          <w:rFonts w:ascii="Arial" w:cs="Arial" w:eastAsia="Arial" w:hAnsi="Arial"/>
          <w:sz w:val="19"/>
          <w:szCs w:val="19"/>
          <w:u w:val="single" w:color="auto"/>
          <w:color w:val="auto"/>
        </w:rPr>
        <w:t>HMRC</w:t>
      </w:r>
      <w:r>
        <w:rPr>
          <w:rFonts w:ascii="Arial" w:cs="Arial" w:eastAsia="Arial" w:hAnsi="Arial"/>
          <w:sz w:val="19"/>
          <w:szCs w:val="19"/>
          <w:color w:val="auto"/>
        </w:rPr>
        <w:t>”) and will be immediately due and repayable by you, and the Company and/or your Employer may recover it at any time thereafter (subject to Section III of the Agreement) by withholding the funds from salary, bonus or any other funds due to you by your Employer, by withholding in Shares issued in respect of the Units or from the cash proceeds from the sale of Shares or by demanding cash or a check from you. You also authorize the Company to delay the issuance of any Shares to you unless and until the loan is repaid in full.</w:t>
      </w:r>
    </w:p>
    <w:p>
      <w:pPr>
        <w:spacing w:after="0" w:line="16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Notwithstanding the foregoing, if you are an officer or executive director within the meaning of Section 13(k) of the Exchange Act, as amended from time to time, the terms of the immediately foregoing provision will not apply. In the event that you are an officer or executive director and income tax is not collected from you within 90 days of the Taxable Event, the amount of any uncollected income tax may constitute a benefit to you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your Employer may recover from you by any of the means set forth in Section III of the Agreement.</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Joint Election. </w:t>
      </w:r>
      <w:r>
        <w:rPr>
          <w:rFonts w:ascii="Arial" w:cs="Arial" w:eastAsia="Arial" w:hAnsi="Arial"/>
          <w:sz w:val="22"/>
          <w:szCs w:val="22"/>
          <w:color w:val="auto"/>
        </w:rPr>
        <w:t>As a condition of the Units granted hereunder, you agree to accept any liability for secondary Class 1 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Contributions (the “</w:t>
      </w:r>
      <w:r>
        <w:rPr>
          <w:rFonts w:ascii="Arial" w:cs="Arial" w:eastAsia="Arial" w:hAnsi="Arial"/>
          <w:sz w:val="22"/>
          <w:szCs w:val="22"/>
          <w:u w:val="single" w:color="auto"/>
          <w:color w:val="auto"/>
        </w:rPr>
        <w:t>Employer NICs</w:t>
      </w:r>
      <w:r>
        <w:rPr>
          <w:rFonts w:ascii="Arial" w:cs="Arial" w:eastAsia="Arial" w:hAnsi="Arial"/>
          <w:sz w:val="22"/>
          <w:szCs w:val="22"/>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Without limitation to the foregoing, you agree to make an election (the “</w:t>
      </w:r>
      <w:r>
        <w:rPr>
          <w:rFonts w:ascii="Arial" w:cs="Arial" w:eastAsia="Arial" w:hAnsi="Arial"/>
          <w:sz w:val="22"/>
          <w:szCs w:val="22"/>
          <w:u w:val="single" w:color="auto"/>
          <w:color w:val="auto"/>
        </w:rPr>
        <w:t>Election</w:t>
      </w:r>
      <w:r>
        <w:rPr>
          <w:rFonts w:ascii="Arial" w:cs="Arial" w:eastAsia="Arial" w:hAnsi="Arial"/>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420"/>
          </w:cols>
          <w:pgMar w:left="240" w:top="375" w:right="2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The following provision replaces Section I(i) of the Agreement:</w:t>
      </w:r>
    </w:p>
    <w:p>
      <w:pPr>
        <w:spacing w:after="0" w:line="226" w:lineRule="exact"/>
        <w:rPr>
          <w:sz w:val="20"/>
          <w:szCs w:val="20"/>
          <w:color w:val="auto"/>
        </w:rPr>
      </w:pPr>
    </w:p>
    <w:p>
      <w:pPr>
        <w:jc w:val="both"/>
        <w:ind w:firstLine="8"/>
        <w:spacing w:after="0" w:line="265" w:lineRule="auto"/>
        <w:tabs>
          <w:tab w:leader="none" w:pos="397" w:val="left"/>
        </w:tabs>
        <w:numPr>
          <w:ilvl w:val="0"/>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your active employment</w:t>
      </w:r>
      <w:r>
        <w:rPr>
          <w:rFonts w:ascii="Arial" w:cs="Arial" w:eastAsia="Arial" w:hAnsi="Arial"/>
          <w:sz w:val="20"/>
          <w:szCs w:val="20"/>
          <w:color w:val="auto"/>
        </w:rPr>
        <w:t xml:space="preserve">” shall mean the last date that you are either an active employee of the Company or an Affiliate or actively engaged as a Consultant or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right will be extended by any notice period mandated by law (e.g. the Worker Adjustment and Retraining Notification Act (“</w:t>
      </w:r>
      <w:r>
        <w:rPr>
          <w:rFonts w:ascii="Arial" w:cs="Arial" w:eastAsia="Arial" w:hAnsi="Arial"/>
          <w:sz w:val="20"/>
          <w:szCs w:val="20"/>
          <w:u w:val="single" w:color="auto"/>
          <w:color w:val="auto"/>
        </w:rPr>
        <w:t>WARN Act</w:t>
      </w:r>
      <w:r>
        <w:rPr>
          <w:rFonts w:ascii="Arial" w:cs="Arial" w:eastAsia="Arial" w:hAnsi="Arial"/>
          <w:sz w:val="20"/>
          <w:szCs w:val="20"/>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Arial" w:cs="Arial" w:eastAsia="Arial" w:hAnsi="Arial"/>
          <w:sz w:val="20"/>
          <w:szCs w:val="20"/>
          <w:i w:val="1"/>
          <w:iCs w:val="1"/>
          <w:color w:val="auto"/>
        </w:rPr>
        <w:t>provided further</w:t>
      </w:r>
      <w:r>
        <w:rPr>
          <w:rFonts w:ascii="Arial" w:cs="Arial" w:eastAsia="Arial" w:hAnsi="Arial"/>
          <w:sz w:val="20"/>
          <w:szCs w:val="20"/>
          <w:color w:val="auto"/>
        </w:rPr>
        <w:t>, that in no event shall payment of the Units be made after the close of your taxable year which includes the applicable Vesting Date or, if later, after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applicable Vesting Date.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VENEZUELA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Units Payable Only in Shares. </w:t>
      </w:r>
      <w:r>
        <w:rPr>
          <w:rFonts w:ascii="Arial" w:cs="Arial" w:eastAsia="Arial" w:hAnsi="Arial"/>
          <w:sz w:val="22"/>
          <w:szCs w:val="22"/>
          <w:color w:val="auto"/>
        </w:rPr>
        <w:t>Notwithstanding any discretion in the Plan or anything to the contrary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Units do not provide any right for you, as a resident of Venezuela, to receive a cash payment and shall be paid in Shares only.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Any Shares acquired under the Plan are intended to be a personal investment and are not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purposes of reselling the Shares and converting the proceeds into foreign currency. You are advised to consult with your personal legal advisor prior to vesting and settlement of the Units to ensure compliance with the applicable exchange control regulations in Venezuela, as such regulations change frequently. You are solely responsible for ensuring compliance with all exchange control laws in Venezuela.</w:t>
      </w:r>
    </w:p>
    <w:p>
      <w:pPr>
        <w:spacing w:after="0" w:line="187"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Units granted under the Plan and the Shares issued under the Plan are offered as a personal,</w:t>
      </w:r>
      <w:r>
        <w:rPr>
          <w:rFonts w:ascii="Arial" w:cs="Arial" w:eastAsia="Arial" w:hAnsi="Arial"/>
          <w:sz w:val="22"/>
          <w:szCs w:val="22"/>
          <w:b w:val="1"/>
          <w:bCs w:val="1"/>
          <w:color w:val="auto"/>
        </w:rPr>
        <w:t xml:space="preserve"> </w:t>
      </w:r>
      <w:r>
        <w:rPr>
          <w:rFonts w:ascii="Arial" w:cs="Arial" w:eastAsia="Arial" w:hAnsi="Arial"/>
          <w:sz w:val="22"/>
          <w:szCs w:val="22"/>
          <w:color w:val="auto"/>
        </w:rPr>
        <w:t>private, exclusive transaction and do not constitute a public offering under local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420"/>
          </w:cols>
          <w:pgMar w:left="240" w:top="59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10.5</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 Notice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The information set forth in this Award Notice will be contained on the related pages on Merrill Lynch Benefits Website (or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2"/>
          <w:szCs w:val="22"/>
          <w:b w:val="1"/>
          <w:bCs w:val="1"/>
          <w:color w:val="auto"/>
        </w:rPr>
        <w: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notice of Award (the “</w:t>
      </w:r>
      <w:r>
        <w:rPr>
          <w:rFonts w:ascii="Arial" w:cs="Arial" w:eastAsia="Arial" w:hAnsi="Arial"/>
          <w:sz w:val="22"/>
          <w:szCs w:val="22"/>
          <w:u w:val="single" w:color="auto"/>
          <w:color w:val="auto"/>
        </w:rPr>
        <w:t>Award Notice</w:t>
      </w:r>
      <w:r>
        <w:rPr>
          <w:rFonts w:ascii="Arial" w:cs="Arial" w:eastAsia="Arial" w:hAnsi="Arial"/>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Employee ID: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Award Type: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Grant ID:</w:t>
      </w:r>
    </w:p>
    <w:p>
      <w:pPr>
        <w:spacing w:after="0" w:line="17"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Plan:</w:t>
      </w:r>
      <w:r>
        <w:rPr>
          <w:sz w:val="20"/>
          <w:szCs w:val="20"/>
          <w:color w:val="auto"/>
        </w:rPr>
        <w:tab/>
      </w:r>
      <w:r>
        <w:rPr>
          <w:rFonts w:ascii="Arial" w:cs="Arial" w:eastAsia="Arial" w:hAnsi="Arial"/>
          <w:sz w:val="22"/>
          <w:szCs w:val="22"/>
          <w:color w:val="auto"/>
        </w:rPr>
        <w:t>Amgen Inc. 2009 Equity Incentive Plan, as amended and/or restated from time to time</w:t>
      </w:r>
    </w:p>
    <w:p>
      <w:pPr>
        <w:spacing w:after="0" w:line="17"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Program</w:t>
      </w:r>
      <w:r>
        <w:rPr>
          <w:sz w:val="20"/>
          <w:szCs w:val="20"/>
          <w:color w:val="auto"/>
        </w:rPr>
        <w:tab/>
      </w:r>
      <w:r>
        <w:rPr>
          <w:rFonts w:ascii="Arial" w:cs="Arial" w:eastAsia="Arial" w:hAnsi="Arial"/>
          <w:sz w:val="22"/>
          <w:szCs w:val="22"/>
          <w:color w:val="auto"/>
        </w:rPr>
        <w:t>Amgen Inc. 2009 Performance Award Program, as amended from time to time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0" w:lineRule="exact"/>
        <w:rPr>
          <w:sz w:val="20"/>
          <w:szCs w:val="20"/>
          <w:color w:val="auto"/>
        </w:rPr>
      </w:pPr>
    </w:p>
    <w:p>
      <w:pPr>
        <w:spacing w:after="0" w:line="312" w:lineRule="exact"/>
        <w:rPr>
          <w:sz w:val="20"/>
          <w:szCs w:val="20"/>
          <w:color w:val="auto"/>
        </w:rPr>
      </w:pPr>
    </w:p>
    <w:p>
      <w:pPr>
        <w:spacing w:after="0"/>
        <w:tabs>
          <w:tab w:leader="none" w:pos="2580" w:val="left"/>
        </w:tabs>
        <w:rPr>
          <w:sz w:val="20"/>
          <w:szCs w:val="20"/>
          <w:color w:val="auto"/>
        </w:rPr>
      </w:pPr>
      <w:r>
        <w:rPr>
          <w:rFonts w:ascii="Arial" w:cs="Arial" w:eastAsia="Arial" w:hAnsi="Arial"/>
          <w:sz w:val="19"/>
          <w:szCs w:val="19"/>
          <w:color w:val="auto"/>
        </w:rPr>
        <w:t>Resolutions:</w:t>
      </w:r>
      <w:r>
        <w:rPr>
          <w:sz w:val="20"/>
          <w:szCs w:val="20"/>
          <w:color w:val="auto"/>
        </w:rPr>
        <w:tab/>
      </w:r>
      <w:r>
        <w:rPr>
          <w:rFonts w:ascii="Arial" w:cs="Arial" w:eastAsia="Arial" w:hAnsi="Arial"/>
          <w:sz w:val="19"/>
          <w:szCs w:val="19"/>
          <w:color w:val="auto"/>
        </w:rPr>
        <w:t>The Resolutions of the Compensation and Management Development Committee of the Board of</w:t>
      </w:r>
    </w:p>
    <w:p>
      <w:pPr>
        <w:spacing w:after="0" w:line="56"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Directors of Amgen Inc., adopted on _____________, regarding the Amgen Inc. 2009 Performance</w:t>
      </w:r>
    </w:p>
    <w:p>
      <w:pPr>
        <w:spacing w:after="0" w:line="3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Award Program. as amended from time to time</w:t>
      </w:r>
    </w:p>
    <w:p>
      <w:pPr>
        <w:spacing w:after="0" w:line="4"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Performance Period:</w:t>
      </w:r>
      <w:r>
        <w:rPr>
          <w:sz w:val="20"/>
          <w:szCs w:val="20"/>
          <w:color w:val="auto"/>
        </w:rPr>
        <w:tab/>
      </w:r>
      <w:r>
        <w:rPr>
          <w:rFonts w:ascii="Arial" w:cs="Arial" w:eastAsia="Arial" w:hAnsi="Arial"/>
          <w:sz w:val="19"/>
          <w:szCs w:val="19"/>
          <w:color w:val="auto"/>
        </w:rPr>
        <w:t>The Performance Period beginning on ____, 20__ and ending on _______, 20__</w:t>
      </w:r>
    </w:p>
    <w:p>
      <w:pPr>
        <w:spacing w:after="0" w:line="4"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Vesting Date:</w:t>
      </w:r>
      <w:r>
        <w:rPr>
          <w:sz w:val="20"/>
          <w:szCs w:val="20"/>
          <w:color w:val="auto"/>
        </w:rPr>
        <w:tab/>
      </w:r>
      <w:r>
        <w:rPr>
          <w:rFonts w:ascii="Arial" w:cs="Arial" w:eastAsia="Arial" w:hAnsi="Arial"/>
          <w:sz w:val="19"/>
          <w:szCs w:val="19"/>
          <w:color w:val="auto"/>
        </w:rPr>
        <w:t>Means the vesting date indicated in the Vesting Schedule</w:t>
      </w:r>
    </w:p>
    <w:p>
      <w:pPr>
        <w:spacing w:after="0" w:line="4"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Vesting Schedule:</w:t>
      </w:r>
      <w:r>
        <w:rPr>
          <w:sz w:val="20"/>
          <w:szCs w:val="20"/>
          <w:color w:val="auto"/>
        </w:rPr>
        <w:tab/>
      </w:r>
      <w:r>
        <w:rPr>
          <w:rFonts w:ascii="Arial" w:cs="Arial" w:eastAsia="Arial" w:hAnsi="Arial"/>
          <w:sz w:val="19"/>
          <w:szCs w:val="19"/>
          <w:color w:val="auto"/>
        </w:rPr>
        <w:t>Means the schedule of vesting set forth under Vesting Details</w:t>
      </w:r>
    </w:p>
    <w:p>
      <w:pPr>
        <w:spacing w:after="0" w:line="4"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Vesting Details:</w:t>
      </w:r>
      <w:r>
        <w:rPr>
          <w:sz w:val="20"/>
          <w:szCs w:val="20"/>
          <w:color w:val="auto"/>
        </w:rPr>
        <w:tab/>
      </w:r>
      <w:r>
        <w:rPr>
          <w:rFonts w:ascii="Arial" w:cs="Arial" w:eastAsia="Arial" w:hAnsi="Arial"/>
          <w:sz w:val="19"/>
          <w:szCs w:val="19"/>
          <w:color w:val="auto"/>
        </w:rPr>
        <w:t>Means the presentation (tabular or otherwise) of the Vesting Date and the quantity of Shares vesting.</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IMPORTANT NOTICE REGARDING ACCEPTANCE OF THE AWARD</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RESIDENTS OF THE U.S. AND PUERTO RICO</w:t>
      </w:r>
      <w:r>
        <w:rPr>
          <w:rFonts w:ascii="Arial" w:cs="Arial" w:eastAsia="Arial" w:hAnsi="Arial"/>
          <w:sz w:val="21"/>
          <w:szCs w:val="21"/>
          <w:color w:val="auto"/>
        </w:rPr>
        <w:t>: Please read this Award Notice, the Plan and the Agreement (collectively,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Grant Documents</w:t>
      </w:r>
      <w:r>
        <w:rPr>
          <w:rFonts w:ascii="Arial" w:cs="Arial" w:eastAsia="Arial" w:hAnsi="Arial"/>
          <w:sz w:val="21"/>
          <w:szCs w:val="21"/>
          <w:color w:val="auto"/>
        </w:rPr>
        <w:t xml:space="preserve">”) carefully. If you, as a resident of the U.S. or Puerto Rico,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wish to receive this Award and/or you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w:t>
      </w:r>
    </w:p>
    <w:p>
      <w:pPr>
        <w:spacing w:after="0" w:line="229" w:lineRule="auto"/>
        <w:rPr>
          <w:sz w:val="20"/>
          <w:szCs w:val="20"/>
          <w:color w:val="auto"/>
        </w:rPr>
      </w:pPr>
      <w:r>
        <w:rPr>
          <w:rFonts w:ascii="Arial" w:cs="Arial" w:eastAsia="Arial" w:hAnsi="Arial"/>
          <w:sz w:val="22"/>
          <w:szCs w:val="22"/>
          <w:color w:val="auto"/>
        </w:rPr>
        <w:t>_________________________</w:t>
      </w:r>
    </w:p>
    <w:p>
      <w:pPr>
        <w:ind w:left="120" w:hanging="112"/>
        <w:spacing w:after="0" w:line="197" w:lineRule="auto"/>
        <w:tabs>
          <w:tab w:leader="none" w:pos="120" w:val="left"/>
        </w:tabs>
        <w:numPr>
          <w:ilvl w:val="0"/>
          <w:numId w:val="35"/>
        </w:numPr>
        <w:rPr>
          <w:rFonts w:ascii="Arial" w:cs="Arial" w:eastAsia="Arial" w:hAnsi="Arial"/>
          <w:sz w:val="29"/>
          <w:szCs w:val="29"/>
          <w:i w:val="1"/>
          <w:iCs w:val="1"/>
          <w:color w:val="auto"/>
          <w:vertAlign w:val="superscript"/>
        </w:rPr>
      </w:pPr>
      <w:r>
        <w:rPr>
          <w:rFonts w:ascii="Arial" w:cs="Arial" w:eastAsia="Arial" w:hAnsi="Arial"/>
          <w:sz w:val="22"/>
          <w:szCs w:val="22"/>
          <w:i w:val="1"/>
          <w:iCs w:val="1"/>
          <w:color w:val="auto"/>
        </w:rPr>
        <w:t>.This provision is only for use on the form of grant used for the U.S. and Puerto Rico.</w:t>
      </w:r>
    </w:p>
    <w:p>
      <w:pPr>
        <w:sectPr>
          <w:pgSz w:w="11900" w:h="16838" w:orient="portrait"/>
          <w:cols w:equalWidth="0" w:num="1">
            <w:col w:w="11420"/>
          </w:cols>
          <w:pgMar w:left="240" w:top="121" w:right="239" w:bottom="1440" w:gutter="0" w:footer="0" w:header="0"/>
        </w:sectPr>
      </w:pPr>
    </w:p>
    <w:bookmarkStart w:id="73" w:name="page74"/>
    <w:bookmarkEnd w:id="73"/>
    <w:p>
      <w:pPr>
        <w:spacing w:after="0" w:line="263" w:lineRule="auto"/>
        <w:rPr>
          <w:sz w:val="20"/>
          <w:szCs w:val="20"/>
          <w:color w:val="auto"/>
        </w:rPr>
      </w:pPr>
      <w:r>
        <w:rPr>
          <w:rFonts w:ascii="Arial" w:cs="Arial" w:eastAsia="Arial" w:hAnsi="Arial"/>
          <w:sz w:val="22"/>
          <w:szCs w:val="22"/>
          <w:color w:val="auto"/>
        </w:rPr>
        <w:t>to notify the Company of your rejection of the Award within this specified period will constitute your acceptance of the Award and your agreement with all terms and conditions of the Award, as set forth in the Grant Documents.</w:t>
      </w:r>
    </w:p>
    <w:p>
      <w:pPr>
        <w:sectPr>
          <w:pgSz w:w="11900" w:h="16838" w:orient="portrait"/>
          <w:cols w:equalWidth="0" w:num="1">
            <w:col w:w="11420"/>
          </w:cols>
          <w:pgMar w:left="240" w:top="63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 WHICH ACCOMPANIES THIS DOCUMENT. THE TERMS OF THE AWARD NOTICE ARE INCORPORATED INTO THIS PERFORMANCE UNIT AGREEMENT.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On the Grant Date specified in the Award Notice, Amgen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has granted to you, the grantee named in the Award Notice, under the plan specified in the Award Notice (the “</w:t>
      </w:r>
      <w:r>
        <w:rPr>
          <w:rFonts w:ascii="Arial" w:cs="Arial" w:eastAsia="Arial" w:hAnsi="Arial"/>
          <w:sz w:val="22"/>
          <w:szCs w:val="22"/>
          <w:u w:val="single" w:color="auto"/>
          <w:color w:val="auto"/>
        </w:rPr>
        <w:t>Plan</w:t>
      </w:r>
      <w:r>
        <w:rPr>
          <w:rFonts w:ascii="Arial" w:cs="Arial" w:eastAsia="Arial" w:hAnsi="Arial"/>
          <w:sz w:val="22"/>
          <w:szCs w:val="22"/>
          <w:color w:val="auto"/>
        </w:rPr>
        <w:t>”), the Number of Performance Units (the “</w:t>
      </w:r>
      <w:r>
        <w:rPr>
          <w:rFonts w:ascii="Arial" w:cs="Arial" w:eastAsia="Arial" w:hAnsi="Arial"/>
          <w:sz w:val="22"/>
          <w:szCs w:val="22"/>
          <w:u w:val="single" w:color="auto"/>
          <w:color w:val="auto"/>
        </w:rPr>
        <w:t>Performance Units</w:t>
      </w:r>
      <w:r>
        <w:rPr>
          <w:rFonts w:ascii="Arial" w:cs="Arial" w:eastAsia="Arial" w:hAnsi="Arial"/>
          <w:sz w:val="22"/>
          <w:szCs w:val="22"/>
          <w:color w:val="auto"/>
        </w:rPr>
        <w:t xml:space="preserve">”) specified in the Award Notice on the terms and conditions set forth in this Performance Unit Agreement (and any applicable special terms and conditions for your country set forth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(as described in greater detail in Section XIV below)) (collectively, this “</w:t>
      </w:r>
      <w:r>
        <w:rPr>
          <w:rFonts w:ascii="Arial" w:cs="Arial" w:eastAsia="Arial" w:hAnsi="Arial"/>
          <w:sz w:val="22"/>
          <w:szCs w:val="22"/>
          <w:u w:val="single" w:color="auto"/>
          <w:color w:val="auto"/>
        </w:rPr>
        <w:t>Agreement</w:t>
      </w:r>
      <w:r>
        <w:rPr>
          <w:rFonts w:ascii="Arial" w:cs="Arial" w:eastAsia="Arial" w:hAnsi="Arial"/>
          <w:sz w:val="22"/>
          <w:szCs w:val="22"/>
          <w:color w:val="auto"/>
        </w:rPr>
        <w:t>”), the Plan, the Amgen Inc. 2009 Performance Award Program (the “</w:t>
      </w:r>
      <w:r>
        <w:rPr>
          <w:rFonts w:ascii="Arial" w:cs="Arial" w:eastAsia="Arial" w:hAnsi="Arial"/>
          <w:sz w:val="22"/>
          <w:szCs w:val="22"/>
          <w:u w:val="single" w:color="auto"/>
          <w:color w:val="auto"/>
        </w:rPr>
        <w:t>Program</w:t>
      </w:r>
      <w:r>
        <w:rPr>
          <w:rFonts w:ascii="Arial" w:cs="Arial" w:eastAsia="Arial" w:hAnsi="Arial"/>
          <w:sz w:val="22"/>
          <w:szCs w:val="22"/>
          <w:color w:val="auto"/>
        </w:rPr>
        <w:t>”) and the Resolutions (as defined below). Capitalized terms not defined herein shall have the meanings assigned to such terms in the Program.</w:t>
      </w:r>
    </w:p>
    <w:p>
      <w:pPr>
        <w:spacing w:after="0" w:line="238" w:lineRule="exact"/>
        <w:rPr>
          <w:sz w:val="20"/>
          <w:szCs w:val="20"/>
          <w:color w:val="auto"/>
        </w:rPr>
      </w:pPr>
    </w:p>
    <w:p>
      <w:pPr>
        <w:ind w:left="1440" w:hanging="784"/>
        <w:spacing w:after="0"/>
        <w:tabs>
          <w:tab w:leader="none" w:pos="144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Performance Period</w:t>
      </w:r>
      <w:r>
        <w:rPr>
          <w:rFonts w:ascii="Arial" w:cs="Arial" w:eastAsia="Arial" w:hAnsi="Arial"/>
          <w:sz w:val="22"/>
          <w:szCs w:val="22"/>
          <w:color w:val="auto"/>
        </w:rPr>
        <w:t>. The Performance Period shall have the meaning set forth in the Award Notice.</w:t>
      </w:r>
    </w:p>
    <w:p>
      <w:pPr>
        <w:spacing w:after="0" w:line="260" w:lineRule="exact"/>
        <w:rPr>
          <w:sz w:val="20"/>
          <w:szCs w:val="20"/>
          <w:color w:val="auto"/>
        </w:rPr>
      </w:pPr>
    </w:p>
    <w:p>
      <w:pPr>
        <w:ind w:left="1500" w:hanging="844"/>
        <w:spacing w:after="0"/>
        <w:tabs>
          <w:tab w:leader="none" w:pos="150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Value of Performance Units</w:t>
      </w:r>
      <w:r>
        <w:rPr>
          <w:rFonts w:ascii="Arial" w:cs="Arial" w:eastAsia="Arial" w:hAnsi="Arial"/>
          <w:sz w:val="21"/>
          <w:szCs w:val="21"/>
          <w:color w:val="auto"/>
        </w:rPr>
        <w:t>. The value of each Performance Unit is equal to a share of Common Stock.</w:t>
      </w:r>
    </w:p>
    <w:p>
      <w:pPr>
        <w:spacing w:after="0" w:line="272" w:lineRule="exact"/>
        <w:rPr>
          <w:sz w:val="20"/>
          <w:szCs w:val="20"/>
          <w:color w:val="auto"/>
        </w:rPr>
      </w:pPr>
    </w:p>
    <w:p>
      <w:pPr>
        <w:jc w:val="both"/>
        <w:ind w:firstLine="656"/>
        <w:spacing w:after="0" w:line="250" w:lineRule="auto"/>
        <w:tabs>
          <w:tab w:leader="none" w:pos="156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 xml:space="preserve">. An amount of the Performance Units up to the maximum amount specified in the Resolutions shall be earned, depending on the extent to which the Company </w:t>
      </w:r>
      <w:r>
        <w:rPr>
          <w:rFonts w:ascii="Arial" w:cs="Arial" w:eastAsia="Arial" w:hAnsi="Arial"/>
          <w:sz w:val="22"/>
          <w:szCs w:val="22"/>
          <w:u w:val="single" w:color="auto"/>
          <w:color w:val="auto"/>
        </w:rPr>
        <w:t>achieves</w:t>
      </w:r>
      <w:r>
        <w:rPr>
          <w:rFonts w:ascii="Arial" w:cs="Arial" w:eastAsia="Arial" w:hAnsi="Arial"/>
          <w:sz w:val="22"/>
          <w:szCs w:val="22"/>
          <w:color w:val="auto"/>
        </w:rPr>
        <w:t xml:space="preserve"> objectively determinable Performance Goals established by the Committee pursuant to the Resolutions. The Performance Units earned shall be calculated in accordance with the Resolutions and the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IV. </w:t>
      </w: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Subject to Section XIII and except as set forth in the Program, for any Performance Units earned pursuant to Section III above, the specified payment date applicable to such Performance Units shall be the year immediately following the end of the Performance Period.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21" w:lineRule="exact"/>
        <w:rPr>
          <w:sz w:val="20"/>
          <w:szCs w:val="20"/>
          <w:color w:val="auto"/>
        </w:rPr>
      </w:pPr>
    </w:p>
    <w:p>
      <w:pPr>
        <w:jc w:val="both"/>
        <w:ind w:firstLine="656"/>
        <w:spacing w:after="0" w:line="288" w:lineRule="auto"/>
        <w:tabs>
          <w:tab w:leader="none" w:pos="1479"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Issuance of Certificates; Tax Withholding</w:t>
      </w:r>
      <w:r>
        <w:rPr>
          <w:rFonts w:ascii="Arial" w:cs="Arial" w:eastAsia="Arial" w:hAnsi="Arial"/>
          <w:sz w:val="19"/>
          <w:szCs w:val="19"/>
          <w:color w:val="auto"/>
        </w:rPr>
        <w:t>. Regardless of any action the Company or your actual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takes with respect to any or all income tax (including federal, state and local taxes), social insurance, payroll tax, payment on account or other tax-related items related to your participation in the Plan and the Program and legally applicable to you (the “</w:t>
      </w:r>
      <w:r>
        <w:rPr>
          <w:rFonts w:ascii="Arial" w:cs="Arial" w:eastAsia="Arial" w:hAnsi="Arial"/>
          <w:sz w:val="19"/>
          <w:szCs w:val="19"/>
          <w:u w:val="single" w:color="auto"/>
          <w:color w:val="auto"/>
        </w:rPr>
        <w:t>Tax Obligations</w:t>
      </w:r>
      <w:r>
        <w:rPr>
          <w:rFonts w:ascii="Arial" w:cs="Arial" w:eastAsia="Arial" w:hAnsi="Arial"/>
          <w:sz w:val="19"/>
          <w:szCs w:val="19"/>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Performance Units, including the grant of the Performance Units, the vesting of the Performance Units, the conversion of the Performance Units into shares or the receipt of an equivalent cash payment, the subsequent sale of any shares acquired at settlement and the receipt of any dividends; and (ii) do not commit to and are under no obligation to structure the terms of the grant or any aspect of the Performance Units to reduce or eliminate your liability for Tax Obligations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21"/>
          <w:szCs w:val="21"/>
          <w:color w:val="auto"/>
        </w:rPr>
        <w:t>to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88" w:lineRule="exact"/>
        <w:rPr>
          <w:sz w:val="20"/>
          <w:szCs w:val="20"/>
          <w:color w:val="auto"/>
        </w:rPr>
      </w:pPr>
    </w:p>
    <w:p>
      <w:pPr>
        <w:ind w:left="1820" w:hanging="515"/>
        <w:spacing w:after="0"/>
        <w:tabs>
          <w:tab w:leader="none" w:pos="18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paid to you by the Company and/or your Employer;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02" w:lineRule="exact"/>
        <w:rPr>
          <w:sz w:val="20"/>
          <w:szCs w:val="20"/>
          <w:color w:val="auto"/>
        </w:rPr>
      </w:pPr>
    </w:p>
    <w:p>
      <w:pPr>
        <w:ind w:right="20" w:firstLine="1305"/>
        <w:spacing w:after="0" w:line="343" w:lineRule="auto"/>
        <w:tabs>
          <w:tab w:leader="none" w:pos="19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withholding from proceeds of the sale of Shares issued upon settlement of the Performance Units, either through a voluntary sale or through a mandatory sale arranged by the Company (on your behalf pursuant to this authorization); or</w:t>
      </w:r>
    </w:p>
    <w:p>
      <w:pPr>
        <w:spacing w:after="0" w:line="104" w:lineRule="exact"/>
        <w:rPr>
          <w:rFonts w:ascii="Arial" w:cs="Arial" w:eastAsia="Arial" w:hAnsi="Arial"/>
          <w:sz w:val="19"/>
          <w:szCs w:val="19"/>
          <w:color w:val="auto"/>
        </w:rPr>
      </w:pPr>
    </w:p>
    <w:p>
      <w:pPr>
        <w:ind w:firstLine="1305"/>
        <w:spacing w:after="0" w:line="343" w:lineRule="auto"/>
        <w:tabs>
          <w:tab w:leader="none" w:pos="1793" w:val="left"/>
        </w:tabs>
        <w:numPr>
          <w:ilvl w:val="0"/>
          <w:numId w:val="41"/>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Performance Units provided that the Company and your Employer shall only withhold an amount of Shares with a fair market value equal to the Tax Obligations.</w:t>
      </w:r>
    </w:p>
    <w:p>
      <w:pPr>
        <w:spacing w:after="0" w:line="10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earned Performance Units, notwithstanding that a number of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5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Finally, you shall pay to the Company or your Employer any amount of Tax Obligations that the Company or your Employer may be required to withhold or account for as a result of your participation in the Plan and the Program that cannot be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23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2"/>
          <w:szCs w:val="22"/>
          <w:u w:val="single" w:color="auto"/>
          <w:color w:val="auto"/>
        </w:rPr>
        <w:t>Dividend Equivalents</w:t>
      </w:r>
    </w:p>
    <w:p>
      <w:pPr>
        <w:spacing w:after="0" w:line="260" w:lineRule="exact"/>
        <w:rPr>
          <w:sz w:val="20"/>
          <w:szCs w:val="20"/>
          <w:color w:val="auto"/>
        </w:rPr>
      </w:pPr>
    </w:p>
    <w:p>
      <w:pPr>
        <w:jc w:val="both"/>
        <w:ind w:firstLine="1305"/>
        <w:spacing w:after="0" w:line="259" w:lineRule="auto"/>
        <w:tabs>
          <w:tab w:leader="none" w:pos="182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Crediting of Dividend Equivalents</w:t>
      </w:r>
      <w:r>
        <w:rPr>
          <w:rFonts w:ascii="Arial" w:cs="Arial" w:eastAsia="Arial" w:hAnsi="Arial"/>
          <w:sz w:val="21"/>
          <w:szCs w:val="21"/>
          <w:color w:val="auto"/>
        </w:rPr>
        <w:t>. Subject to this Section VI, Dividend Equivalents shall be credited on each Performance Unit granted to you under this Agreement in the manner set forth in the remainder of this Section VI. If the Company declares one or more dividends or distributions (each, a “</w:t>
      </w:r>
      <w:r>
        <w:rPr>
          <w:rFonts w:ascii="Arial" w:cs="Arial" w:eastAsia="Arial" w:hAnsi="Arial"/>
          <w:sz w:val="21"/>
          <w:szCs w:val="21"/>
          <w:u w:val="single" w:color="auto"/>
          <w:color w:val="auto"/>
        </w:rPr>
        <w:t>Dividend</w:t>
      </w:r>
      <w:r>
        <w:rPr>
          <w:rFonts w:ascii="Arial" w:cs="Arial" w:eastAsia="Arial" w:hAnsi="Arial"/>
          <w:sz w:val="21"/>
          <w:szCs w:val="21"/>
          <w:color w:val="auto"/>
        </w:rPr>
        <w:t>”) on its Common Stock with a record date which occurs during the period commencing on the Grant Date through and including the day immediately preceding the day the Shares subject to the Performance Units are issued to you, whether in the form of cash, Common Stock or other property, then as of the date the number of Performance Units payable to you pursuant to the terms this Agreement are determined and payable, you shall be credited with an amount equal to the amount or fair market value of such Dividend which would have been payable to you if you held a number of Shares equal to the number of Performance Units payable to you as of each such record date for each such Dividend (not including on any Performance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76" w:name="page77"/>
    <w:bookmarkEnd w:id="76"/>
    <w:p>
      <w:pPr>
        <w:jc w:val="both"/>
        <w:spacing w:after="0" w:line="248" w:lineRule="auto"/>
        <w:rPr>
          <w:sz w:val="20"/>
          <w:szCs w:val="20"/>
          <w:color w:val="auto"/>
        </w:rPr>
      </w:pPr>
      <w:r>
        <w:rPr>
          <w:rFonts w:ascii="Arial" w:cs="Arial" w:eastAsia="Arial" w:hAnsi="Arial"/>
          <w:sz w:val="22"/>
          <w:szCs w:val="22"/>
          <w:color w:val="auto"/>
        </w:rPr>
        <w:t>Units which were previously paid or forfeited) as if each such amount had been reinvested in Common Stock as of the date of the payment of such Dividend. Each such Dividend Equivalent shall be deemed to have been reinvested in the Common Stock as of the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233" w:lineRule="exact"/>
        <w:rPr>
          <w:sz w:val="20"/>
          <w:szCs w:val="20"/>
          <w:color w:val="auto"/>
        </w:rPr>
      </w:pPr>
    </w:p>
    <w:p>
      <w:pPr>
        <w:jc w:val="both"/>
        <w:ind w:firstLine="1305"/>
        <w:spacing w:after="0" w:line="248" w:lineRule="auto"/>
        <w:tabs>
          <w:tab w:leader="none" w:pos="181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Treatment of Dividend Equivalents.</w:t>
      </w:r>
      <w:r>
        <w:rPr>
          <w:rFonts w:ascii="Arial" w:cs="Arial" w:eastAsia="Arial" w:hAnsi="Arial"/>
          <w:sz w:val="22"/>
          <w:szCs w:val="22"/>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 Performance Units that do not vest, or are forfeited, pursuant to the terms of this Agreement.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Nontransferability</w:t>
      </w:r>
      <w:r>
        <w:rPr>
          <w:rFonts w:ascii="Arial" w:cs="Arial" w:eastAsia="Arial" w:hAnsi="Arial"/>
          <w:sz w:val="21"/>
          <w:szCs w:val="21"/>
          <w:color w:val="auto"/>
        </w:rPr>
        <w:t xml:space="preserve">. No benefit payable under, or interest in, this Agreement or in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i w:val="1"/>
          <w:iCs w:val="1"/>
          <w:color w:val="auto"/>
        </w:rPr>
        <w:t>provided, however</w:t>
      </w:r>
      <w:r>
        <w:rPr>
          <w:rFonts w:ascii="Arial" w:cs="Arial" w:eastAsia="Arial" w:hAnsi="Arial"/>
          <w:sz w:val="21"/>
          <w:szCs w:val="21"/>
          <w:color w:val="auto"/>
        </w:rPr>
        <w:t>, nothing in this Section VII shall prevent transfer (i) by will or (ii) by applicable laws of descent and distribution.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VIII. </w:t>
      </w:r>
      <w:r>
        <w:rPr>
          <w:rFonts w:ascii="Arial" w:cs="Arial" w:eastAsia="Arial" w:hAnsi="Arial"/>
          <w:sz w:val="22"/>
          <w:szCs w:val="22"/>
          <w:u w:val="single" w:color="auto"/>
          <w:color w:val="auto"/>
        </w:rPr>
        <w:t>No Contract for Employment</w:t>
      </w:r>
      <w:r>
        <w:rPr>
          <w:rFonts w:ascii="Arial" w:cs="Arial" w:eastAsia="Arial" w:hAnsi="Arial"/>
          <w:sz w:val="22"/>
          <w:szCs w:val="22"/>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22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grant of Performance Units, you acknowledge that:</w:t>
      </w:r>
    </w:p>
    <w:p>
      <w:pPr>
        <w:spacing w:after="0" w:line="260" w:lineRule="exact"/>
        <w:rPr>
          <w:sz w:val="20"/>
          <w:szCs w:val="20"/>
          <w:color w:val="auto"/>
        </w:rPr>
      </w:pPr>
    </w:p>
    <w:p>
      <w:pPr>
        <w:ind w:firstLine="1305"/>
        <w:spacing w:after="0" w:line="343" w:lineRule="auto"/>
        <w:tabs>
          <w:tab w:leader="none" w:pos="1793"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45" w:lineRule="exact"/>
        <w:rPr>
          <w:rFonts w:ascii="Arial" w:cs="Arial" w:eastAsia="Arial" w:hAnsi="Arial"/>
          <w:sz w:val="19"/>
          <w:szCs w:val="19"/>
          <w:color w:val="auto"/>
        </w:rPr>
      </w:pPr>
    </w:p>
    <w:p>
      <w:pPr>
        <w:jc w:val="both"/>
        <w:ind w:firstLine="1305"/>
        <w:spacing w:after="0" w:line="253" w:lineRule="auto"/>
        <w:tabs>
          <w:tab w:leader="none" w:pos="1832"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grant of the Performance Units is voluntary and occasional and does not create any contractual or other right to receive future awards of Performance Units, or benefits in lieu of Performance Units, even if Performance Units have been awarded repeatedly in the past;</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60" w:lineRule="exact"/>
        <w:rPr>
          <w:rFonts w:ascii="Arial" w:cs="Arial" w:eastAsia="Arial" w:hAnsi="Arial"/>
          <w:sz w:val="22"/>
          <w:szCs w:val="22"/>
          <w:color w:val="auto"/>
        </w:rPr>
      </w:pPr>
    </w:p>
    <w:p>
      <w:pPr>
        <w:ind w:firstLine="1305"/>
        <w:spacing w:after="0" w:line="343" w:lineRule="auto"/>
        <w:tabs>
          <w:tab w:leader="none" w:pos="1765" w:val="left"/>
        </w:tabs>
        <w:numPr>
          <w:ilvl w:val="0"/>
          <w:numId w:val="44"/>
        </w:numPr>
        <w:rPr>
          <w:rFonts w:ascii="Arial" w:cs="Arial" w:eastAsia="Arial" w:hAnsi="Arial"/>
          <w:sz w:val="19"/>
          <w:szCs w:val="19"/>
          <w:color w:val="auto"/>
        </w:rPr>
      </w:pPr>
      <w:r>
        <w:rPr>
          <w:rFonts w:ascii="Arial" w:cs="Arial" w:eastAsia="Arial" w:hAnsi="Arial"/>
          <w:sz w:val="19"/>
          <w:szCs w:val="19"/>
          <w:color w:val="auto"/>
        </w:rPr>
        <w:t>your participation in the Plan and the Program shall not create a right to further employment with the Employer and shall not interfere with the ability of the Employer to terminate your employment or service relationship (if any) at any time;</w:t>
      </w:r>
    </w:p>
    <w:p>
      <w:pPr>
        <w:spacing w:after="0" w:line="145" w:lineRule="exact"/>
        <w:rPr>
          <w:rFonts w:ascii="Arial" w:cs="Arial" w:eastAsia="Arial" w:hAnsi="Arial"/>
          <w:sz w:val="19"/>
          <w:szCs w:val="19"/>
          <w:color w:val="auto"/>
        </w:rPr>
      </w:pPr>
    </w:p>
    <w:p>
      <w:pPr>
        <w:ind w:left="1760" w:hanging="455"/>
        <w:spacing w:after="0"/>
        <w:tabs>
          <w:tab w:leader="none" w:pos="17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your participation in the Plan and the Program is voluntary;</w:t>
      </w:r>
    </w:p>
    <w:p>
      <w:pPr>
        <w:spacing w:after="0" w:line="260" w:lineRule="exact"/>
        <w:rPr>
          <w:rFonts w:ascii="Arial" w:cs="Arial" w:eastAsia="Arial" w:hAnsi="Arial"/>
          <w:sz w:val="22"/>
          <w:szCs w:val="22"/>
          <w:color w:val="auto"/>
        </w:rPr>
      </w:pPr>
    </w:p>
    <w:p>
      <w:pPr>
        <w:ind w:firstLine="1305"/>
        <w:spacing w:after="0" w:line="263" w:lineRule="auto"/>
        <w:tabs>
          <w:tab w:leader="none" w:pos="1742"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grant of Performance Units and the Shares subject to the Performance Units are not intended to replace any pension rights or compensation;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4" w:right="239" w:bottom="1440" w:gutter="0" w:footer="0" w:header="0"/>
        </w:sectPr>
      </w:pPr>
    </w:p>
    <w:bookmarkStart w:id="77" w:name="page78"/>
    <w:bookmarkEnd w:id="77"/>
    <w:p>
      <w:pPr>
        <w:jc w:val="both"/>
        <w:ind w:firstLine="1305"/>
        <w:spacing w:after="0" w:line="250" w:lineRule="auto"/>
        <w:tabs>
          <w:tab w:leader="none" w:pos="1873" w:val="left"/>
        </w:tabs>
        <w:numPr>
          <w:ilvl w:val="1"/>
          <w:numId w:val="45"/>
        </w:numPr>
        <w:rPr>
          <w:rFonts w:ascii="Arial" w:cs="Arial" w:eastAsia="Arial" w:hAnsi="Arial"/>
          <w:sz w:val="22"/>
          <w:szCs w:val="22"/>
          <w:color w:val="auto"/>
        </w:rPr>
      </w:pPr>
      <w:r>
        <w:rPr>
          <w:rFonts w:ascii="Arial" w:cs="Arial" w:eastAsia="Arial" w:hAnsi="Arial"/>
          <w:sz w:val="22"/>
          <w:szCs w:val="22"/>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be interpreted to form an employment contract or relationship with the Company or any Affiliate of the Company;</w:t>
      </w:r>
    </w:p>
    <w:p>
      <w:pPr>
        <w:spacing w:after="0" w:line="228" w:lineRule="exact"/>
        <w:rPr>
          <w:rFonts w:ascii="Arial" w:cs="Arial" w:eastAsia="Arial" w:hAnsi="Arial"/>
          <w:sz w:val="22"/>
          <w:szCs w:val="22"/>
          <w:color w:val="auto"/>
        </w:rPr>
      </w:pPr>
    </w:p>
    <w:p>
      <w:pPr>
        <w:ind w:right="20" w:firstLine="1305"/>
        <w:spacing w:after="0" w:line="263" w:lineRule="auto"/>
        <w:tabs>
          <w:tab w:leader="none" w:pos="1846"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future value of the Shares that may be earned upon the end of the Performance Period is unknown and cannot be predicted with certainty;</w:t>
      </w:r>
    </w:p>
    <w:p>
      <w:pPr>
        <w:spacing w:after="0" w:line="215" w:lineRule="exact"/>
        <w:rPr>
          <w:rFonts w:ascii="Arial" w:cs="Arial" w:eastAsia="Arial" w:hAnsi="Arial"/>
          <w:sz w:val="22"/>
          <w:szCs w:val="22"/>
          <w:color w:val="auto"/>
        </w:rPr>
      </w:pPr>
    </w:p>
    <w:p>
      <w:pPr>
        <w:jc w:val="both"/>
        <w:ind w:firstLine="1305"/>
        <w:spacing w:after="0" w:line="247" w:lineRule="auto"/>
        <w:tabs>
          <w:tab w:leader="none" w:pos="1838" w:val="left"/>
        </w:tabs>
        <w:numPr>
          <w:ilvl w:val="1"/>
          <w:numId w:val="45"/>
        </w:numPr>
        <w:rPr>
          <w:rFonts w:ascii="Arial" w:cs="Arial" w:eastAsia="Arial" w:hAnsi="Arial"/>
          <w:sz w:val="22"/>
          <w:szCs w:val="22"/>
          <w:color w:val="auto"/>
        </w:rPr>
      </w:pPr>
      <w:r>
        <w:rPr>
          <w:rFonts w:ascii="Arial" w:cs="Arial" w:eastAsia="Arial" w:hAnsi="Arial"/>
          <w:sz w:val="22"/>
          <w:szCs w:val="22"/>
          <w:color w:val="auto"/>
        </w:rPr>
        <w:t>in consideration of the grant of Performance Units hereunder, no claim or entitlement to compensation or damages shall arise from forfeiture of the Performance Units resulting from termination of your employment by the Company or an Affiliate of the Company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34" w:lineRule="exact"/>
        <w:rPr>
          <w:rFonts w:ascii="Arial" w:cs="Arial" w:eastAsia="Arial" w:hAnsi="Arial"/>
          <w:sz w:val="22"/>
          <w:szCs w:val="22"/>
          <w:color w:val="auto"/>
        </w:rPr>
      </w:pPr>
    </w:p>
    <w:p>
      <w:pPr>
        <w:jc w:val="both"/>
        <w:ind w:firstLine="1305"/>
        <w:spacing w:after="0" w:line="265" w:lineRule="auto"/>
        <w:tabs>
          <w:tab w:leader="none" w:pos="1784" w:val="left"/>
        </w:tabs>
        <w:numPr>
          <w:ilvl w:val="1"/>
          <w:numId w:val="45"/>
        </w:numPr>
        <w:rPr>
          <w:rFonts w:ascii="Arial" w:cs="Arial" w:eastAsia="Arial" w:hAnsi="Arial"/>
          <w:sz w:val="21"/>
          <w:szCs w:val="21"/>
          <w:color w:val="auto"/>
        </w:rPr>
      </w:pPr>
      <w:r>
        <w:rPr>
          <w:rFonts w:ascii="Arial" w:cs="Arial" w:eastAsia="Arial" w:hAnsi="Arial"/>
          <w:sz w:val="21"/>
          <w:szCs w:val="21"/>
          <w:color w:val="auto"/>
        </w:rPr>
        <w:t>in the event of termination of your employment (whether or not in breach of local labor laws), your right to receive Performance Units and receive shares under the Plan and the Program, if any, will terminate effective as of the date that you are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w:t>
      </w:r>
    </w:p>
    <w:p>
      <w:pPr>
        <w:spacing w:after="0" w:line="216" w:lineRule="exact"/>
        <w:rPr>
          <w:rFonts w:ascii="Arial" w:cs="Arial" w:eastAsia="Arial" w:hAnsi="Arial"/>
          <w:sz w:val="21"/>
          <w:szCs w:val="21"/>
          <w:color w:val="auto"/>
        </w:rPr>
      </w:pPr>
    </w:p>
    <w:p>
      <w:pPr>
        <w:jc w:val="both"/>
        <w:ind w:firstLine="1305"/>
        <w:spacing w:after="0" w:line="250" w:lineRule="auto"/>
        <w:tabs>
          <w:tab w:leader="none" w:pos="1792" w:val="left"/>
        </w:tabs>
        <w:numPr>
          <w:ilvl w:val="1"/>
          <w:numId w:val="45"/>
        </w:numPr>
        <w:rPr>
          <w:rFonts w:ascii="Arial" w:cs="Arial" w:eastAsia="Arial" w:hAnsi="Arial"/>
          <w:sz w:val="22"/>
          <w:szCs w:val="22"/>
          <w:color w:val="auto"/>
        </w:rPr>
      </w:pPr>
      <w:r>
        <w:rPr>
          <w:rFonts w:ascii="Arial" w:cs="Arial" w:eastAsia="Arial" w:hAnsi="Arial"/>
          <w:sz w:val="22"/>
          <w:szCs w:val="22"/>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228" w:lineRule="exact"/>
        <w:rPr>
          <w:rFonts w:ascii="Arial" w:cs="Arial" w:eastAsia="Arial" w:hAnsi="Arial"/>
          <w:sz w:val="22"/>
          <w:szCs w:val="22"/>
          <w:color w:val="auto"/>
        </w:rPr>
      </w:pPr>
    </w:p>
    <w:p>
      <w:pPr>
        <w:ind w:left="1720" w:hanging="415"/>
        <w:spacing w:after="0"/>
        <w:tabs>
          <w:tab w:leader="none" w:pos="17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60" w:lineRule="exact"/>
        <w:rPr>
          <w:rFonts w:ascii="Arial" w:cs="Arial" w:eastAsia="Arial" w:hAnsi="Arial"/>
          <w:sz w:val="22"/>
          <w:szCs w:val="22"/>
          <w:color w:val="auto"/>
        </w:rPr>
      </w:pPr>
    </w:p>
    <w:p>
      <w:pPr>
        <w:jc w:val="both"/>
        <w:ind w:firstLine="1953"/>
        <w:spacing w:after="0" w:line="250" w:lineRule="auto"/>
        <w:tabs>
          <w:tab w:leader="none" w:pos="2488" w:val="left"/>
        </w:tabs>
        <w:numPr>
          <w:ilvl w:val="2"/>
          <w:numId w:val="45"/>
        </w:numPr>
        <w:rPr>
          <w:rFonts w:ascii="Arial" w:cs="Arial" w:eastAsia="Arial" w:hAnsi="Arial"/>
          <w:sz w:val="22"/>
          <w:szCs w:val="22"/>
          <w:color w:val="auto"/>
        </w:rPr>
      </w:pPr>
      <w:r>
        <w:rPr>
          <w:rFonts w:ascii="Arial" w:cs="Arial" w:eastAsia="Arial" w:hAnsi="Arial"/>
          <w:sz w:val="22"/>
          <w:szCs w:val="22"/>
          <w:color w:val="auto"/>
        </w:rPr>
        <w:t>for employment law purposes outside the United States, the Performance Units and underlying Shares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28" w:lineRule="exact"/>
        <w:rPr>
          <w:rFonts w:ascii="Arial" w:cs="Arial" w:eastAsia="Arial" w:hAnsi="Arial"/>
          <w:sz w:val="22"/>
          <w:szCs w:val="22"/>
          <w:color w:val="auto"/>
        </w:rPr>
      </w:pPr>
    </w:p>
    <w:p>
      <w:pPr>
        <w:jc w:val="both"/>
        <w:ind w:firstLine="1953"/>
        <w:spacing w:after="0" w:line="250" w:lineRule="auto"/>
        <w:tabs>
          <w:tab w:leader="none" w:pos="2462" w:val="left"/>
        </w:tabs>
        <w:numPr>
          <w:ilvl w:val="2"/>
          <w:numId w:val="45"/>
        </w:numPr>
        <w:rPr>
          <w:rFonts w:ascii="Arial" w:cs="Arial" w:eastAsia="Arial" w:hAnsi="Arial"/>
          <w:sz w:val="22"/>
          <w:szCs w:val="22"/>
          <w:color w:val="auto"/>
        </w:rPr>
      </w:pPr>
      <w:r>
        <w:rPr>
          <w:rFonts w:ascii="Arial" w:cs="Arial" w:eastAsia="Arial" w:hAnsi="Arial"/>
          <w:sz w:val="22"/>
          <w:szCs w:val="22"/>
          <w:color w:val="auto"/>
        </w:rPr>
        <w:t>you acknowledge and agree that neither the Company, the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228" w:lineRule="exact"/>
        <w:rPr>
          <w:rFonts w:ascii="Arial" w:cs="Arial" w:eastAsia="Arial" w:hAnsi="Arial"/>
          <w:sz w:val="22"/>
          <w:szCs w:val="22"/>
          <w:color w:val="auto"/>
        </w:rPr>
      </w:pPr>
    </w:p>
    <w:p>
      <w:pPr>
        <w:jc w:val="both"/>
        <w:ind w:firstLine="656"/>
        <w:spacing w:after="0" w:line="250" w:lineRule="auto"/>
        <w:tabs>
          <w:tab w:leader="none" w:pos="150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and the Program, or your acquisition or sale of the underlying Shares. You are hereby advised to consult with your personal tax, legal and financial advisors regarding your participation in the Plan and the Program before taking any action related thereto.</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78" w:name="page79"/>
    <w:bookmarkEnd w:id="78"/>
    <w:p>
      <w:pPr>
        <w:ind w:firstLine="648"/>
        <w:spacing w:after="0" w:line="291" w:lineRule="auto"/>
        <w:rPr>
          <w:sz w:val="20"/>
          <w:szCs w:val="20"/>
          <w:color w:val="auto"/>
        </w:rPr>
      </w:pPr>
      <w:r>
        <w:rPr>
          <w:rFonts w:ascii="Arial" w:cs="Arial" w:eastAsia="Arial" w:hAnsi="Arial"/>
          <w:sz w:val="19"/>
          <w:szCs w:val="19"/>
          <w:color w:val="auto"/>
        </w:rPr>
        <w:t xml:space="preserve">XI.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the Plan or the Program shall be given in writing or electronically and shall be deemed effectively given upon receipt or, in the case of notices delivered by the Company to you, five</w:t>
      </w:r>
    </w:p>
    <w:p>
      <w:pPr>
        <w:spacing w:after="0" w:line="1" w:lineRule="exact"/>
        <w:rPr>
          <w:sz w:val="20"/>
          <w:szCs w:val="20"/>
          <w:color w:val="auto"/>
        </w:rPr>
      </w:pPr>
    </w:p>
    <w:p>
      <w:pPr>
        <w:jc w:val="both"/>
        <w:ind w:firstLine="8"/>
        <w:spacing w:after="0" w:line="295" w:lineRule="auto"/>
        <w:tabs>
          <w:tab w:leader="none" w:pos="314" w:val="left"/>
        </w:tabs>
        <w:numPr>
          <w:ilvl w:val="0"/>
          <w:numId w:val="47"/>
        </w:numPr>
        <w:rPr>
          <w:rFonts w:ascii="Arial" w:cs="Arial" w:eastAsia="Arial" w:hAnsi="Arial"/>
          <w:sz w:val="19"/>
          <w:szCs w:val="19"/>
          <w:color w:val="auto"/>
        </w:rPr>
      </w:pPr>
      <w:r>
        <w:rPr>
          <w:rFonts w:ascii="Arial" w:cs="Arial" w:eastAsia="Arial" w:hAnsi="Arial"/>
          <w:sz w:val="19"/>
          <w:szCs w:val="19"/>
          <w:color w:val="auto"/>
        </w:rPr>
        <w:t>days after deposit in the United States mail,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191"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21"/>
          <w:szCs w:val="21"/>
          <w:color w:val="auto"/>
        </w:rPr>
        <w:t xml:space="preserve">XII. </w:t>
      </w:r>
      <w:r>
        <w:rPr>
          <w:rFonts w:ascii="Arial" w:cs="Arial" w:eastAsia="Arial" w:hAnsi="Arial"/>
          <w:sz w:val="21"/>
          <w:szCs w:val="21"/>
          <w:u w:val="single" w:color="auto"/>
          <w:color w:val="auto"/>
        </w:rPr>
        <w:t>Resolutions, Plan and Program</w:t>
      </w:r>
      <w:r>
        <w:rPr>
          <w:rFonts w:ascii="Arial" w:cs="Arial" w:eastAsia="Arial" w:hAnsi="Arial"/>
          <w:sz w:val="21"/>
          <w:szCs w:val="21"/>
          <w:color w:val="auto"/>
        </w:rPr>
        <w:t>. This Agreement is subject to all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XIII. </w:t>
      </w:r>
      <w:r>
        <w:rPr>
          <w:rFonts w:ascii="Arial" w:cs="Arial" w:eastAsia="Arial" w:hAnsi="Arial"/>
          <w:sz w:val="19"/>
          <w:szCs w:val="19"/>
          <w:u w:val="single" w:color="auto"/>
          <w:color w:val="auto"/>
        </w:rPr>
        <w:t>No Compensation Deferral</w:t>
      </w:r>
      <w:r>
        <w:rPr>
          <w:rFonts w:ascii="Arial" w:cs="Arial" w:eastAsia="Arial" w:hAnsi="Arial"/>
          <w:sz w:val="19"/>
          <w:szCs w:val="19"/>
          <w:color w:val="auto"/>
        </w:rPr>
        <w:t>. The Performance Units are not intended to constitute “nonqualified deferred compensation” within the meaning of Section 409A of the U.S. Internal Revenue Code of 1986, as amended from time to time (together with the regulations and official guidance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However, if at any time the Committee determines that the Performance Units may be subject to Section 409A of the Code, the Committee shall have the right, in its sole discretion, and without your prior consent to amend the Program as it may determine is necessary or desirable either for the Performance Units to be exempt from the application of Section 409A of the Code or to satisfy the requirements of Section 409A of the Code, including by adding conditions with respect to the vesting and/or the payment of the Performance Units, provided that no such amendment may change the Program’s “performance goals,” within the meaning of Section 162(m) of the Code, with respect to any person who is a “covered employee,” within the meaning of Section 162(m) of the Code. Any such amendment to the Program may in the Committee’s sole discretion apply retroactively to this award of Performance Units.</w:t>
      </w:r>
    </w:p>
    <w:p>
      <w:pPr>
        <w:spacing w:after="0" w:line="20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9"/>
          <w:szCs w:val="19"/>
          <w:color w:val="auto"/>
        </w:rPr>
        <w:t>XIV.</w:t>
      </w:r>
      <w:r>
        <w:rPr>
          <w:sz w:val="20"/>
          <w:szCs w:val="20"/>
          <w:color w:val="auto"/>
        </w:rPr>
        <w:tab/>
      </w:r>
      <w:r>
        <w:rPr>
          <w:rFonts w:ascii="Arial" w:cs="Arial" w:eastAsia="Arial" w:hAnsi="Arial"/>
          <w:sz w:val="19"/>
          <w:szCs w:val="19"/>
          <w:u w:val="single" w:color="auto"/>
          <w:color w:val="auto"/>
        </w:rPr>
        <w:t>Provisions Applicable to Participants in Foreign Jurisdictions</w:t>
      </w:r>
      <w:r>
        <w:rPr>
          <w:rFonts w:ascii="Arial" w:cs="Arial" w:eastAsia="Arial" w:hAnsi="Arial"/>
          <w:sz w:val="19"/>
          <w:szCs w:val="19"/>
          <w:color w:val="auto"/>
        </w:rPr>
        <w:t>. Notwithstanding any provision of this Agreement</w:t>
      </w:r>
    </w:p>
    <w:p>
      <w:pPr>
        <w:spacing w:after="0" w:line="5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 xml:space="preserve">or the Program to the contrary, if you are employed by the Company or an Affiliate in any of the countries identified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(which constitutes a part of this Agreement), are subject to the laws of any foreign jurisdiction, or relocate to one of the countries included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your award of Performance Units shall be subject to any special terms and conditions for such country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to the following additional terms and conditions:</w:t>
      </w:r>
    </w:p>
    <w:p>
      <w:pPr>
        <w:spacing w:after="0" w:line="191" w:lineRule="exact"/>
        <w:rPr>
          <w:sz w:val="20"/>
          <w:szCs w:val="20"/>
          <w:color w:val="auto"/>
        </w:rPr>
      </w:pPr>
    </w:p>
    <w:p>
      <w:pPr>
        <w:ind w:firstLine="1305"/>
        <w:spacing w:after="0" w:line="287" w:lineRule="auto"/>
        <w:tabs>
          <w:tab w:leader="none" w:pos="1914"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the terms and conditions of this Agreement, including </w:t>
      </w:r>
      <w:r>
        <w:rPr>
          <w:rFonts w:ascii="Arial" w:cs="Arial" w:eastAsia="Arial" w:hAnsi="Arial"/>
          <w:sz w:val="21"/>
          <w:szCs w:val="21"/>
          <w:u w:val="single" w:color="auto"/>
          <w:color w:val="auto"/>
        </w:rPr>
        <w:t>Appendix A</w:t>
      </w:r>
      <w:r>
        <w:rPr>
          <w:rFonts w:ascii="Arial" w:cs="Arial" w:eastAsia="Arial" w:hAnsi="Arial"/>
          <w:sz w:val="21"/>
          <w:szCs w:val="21"/>
          <w:color w:val="auto"/>
        </w:rPr>
        <w:t>, are deemed modified to the extent necessary or advisable to comply with applicable foreign laws or facilitate the administration of the Plan and the Program;</w:t>
      </w:r>
    </w:p>
    <w:p>
      <w:pPr>
        <w:spacing w:after="0" w:line="192" w:lineRule="exact"/>
        <w:rPr>
          <w:rFonts w:ascii="Arial" w:cs="Arial" w:eastAsia="Arial" w:hAnsi="Arial"/>
          <w:sz w:val="21"/>
          <w:szCs w:val="21"/>
          <w:color w:val="auto"/>
        </w:rPr>
      </w:pPr>
    </w:p>
    <w:p>
      <w:pPr>
        <w:jc w:val="both"/>
        <w:ind w:firstLine="1305"/>
        <w:spacing w:after="0" w:line="253" w:lineRule="auto"/>
        <w:tabs>
          <w:tab w:leader="none" w:pos="1805"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185" w:lineRule="exact"/>
        <w:rPr>
          <w:rFonts w:ascii="Arial" w:cs="Arial" w:eastAsia="Arial" w:hAnsi="Arial"/>
          <w:sz w:val="22"/>
          <w:szCs w:val="22"/>
          <w:color w:val="auto"/>
        </w:rPr>
      </w:pPr>
    </w:p>
    <w:p>
      <w:pPr>
        <w:ind w:firstLine="1305"/>
        <w:spacing w:after="0" w:line="263" w:lineRule="auto"/>
        <w:tabs>
          <w:tab w:leader="none" w:pos="177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extent necessary to comply with applicable foreign laws, the payment of any earned Performance Units shall be made in cash or Common Stock, at the Company’s election;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79" w:name="page80"/>
    <w:bookmarkEnd w:id="79"/>
    <w:p>
      <w:pPr>
        <w:ind w:right="20" w:firstLine="1305"/>
        <w:spacing w:after="0" w:line="343" w:lineRule="auto"/>
        <w:tabs>
          <w:tab w:leader="none" w:pos="176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satisfies all other applicable legal requirements.</w:t>
      </w:r>
    </w:p>
    <w:p>
      <w:pPr>
        <w:spacing w:after="0" w:line="22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b w:val="1"/>
          <w:bCs w:val="1"/>
          <w:i w:val="1"/>
          <w:iCs w:val="1"/>
          <w:u w:val="single" w:color="auto"/>
          <w:color w:val="auto"/>
        </w:rPr>
        <w:t>Data Privacy and Notice of Consent</w:t>
      </w:r>
      <w:r>
        <w:rPr>
          <w:rFonts w:ascii="Arial" w:cs="Arial" w:eastAsia="Arial" w:hAnsi="Arial"/>
          <w:sz w:val="21"/>
          <w:szCs w:val="21"/>
          <w:b w:val="1"/>
          <w:bCs w:val="1"/>
          <w:i w:val="1"/>
          <w:iCs w:val="1"/>
          <w:color w:val="auto"/>
        </w:rPr>
        <w:t>. You hereby explicitly and unambiguously consent to the collection, use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and transfer, in electronic or other form, of your personal data as described in this Agreement by and among, as applicable, the Employer, the Company, and any Affiliates of the Company for the exclusive purpose of implementing, administering and managing your participation in the Plan and the Program.</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i w:val="1"/>
          <w:iCs w:val="1"/>
          <w:color w:val="auto"/>
        </w:rPr>
        <w:t>You understand that the Company and the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 unvested or outstanding in your favor, for the purpose of implementing, administering and managing the Plan and the Program (“</w:t>
      </w:r>
      <w:r>
        <w:rPr>
          <w:rFonts w:ascii="Arial" w:cs="Arial" w:eastAsia="Arial" w:hAnsi="Arial"/>
          <w:sz w:val="21"/>
          <w:szCs w:val="21"/>
          <w:b w:val="1"/>
          <w:bCs w:val="1"/>
          <w:i w:val="1"/>
          <w:iCs w:val="1"/>
          <w:u w:val="single" w:color="auto"/>
          <w:color w:val="auto"/>
        </w:rPr>
        <w:t>Data</w:t>
      </w:r>
      <w:r>
        <w:rPr>
          <w:rFonts w:ascii="Arial" w:cs="Arial" w:eastAsia="Arial" w:hAnsi="Arial"/>
          <w:sz w:val="21"/>
          <w:szCs w:val="21"/>
          <w:b w:val="1"/>
          <w:bCs w:val="1"/>
          <w:i w:val="1"/>
          <w:iCs w:val="1"/>
          <w:color w:val="auto"/>
        </w:rPr>
        <w:t>”).</w:t>
      </w:r>
    </w:p>
    <w:p>
      <w:pPr>
        <w:spacing w:after="0" w:line="18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b w:val="1"/>
          <w:bCs w:val="1"/>
          <w:i w:val="1"/>
          <w:iCs w:val="1"/>
          <w:color w:val="auto"/>
        </w:rPr>
        <w:t>You understand that Data may be transferred to Merrill Lynch Bank &amp; Trust Co., FSB (or any successor thereto), any third parties assisting in the implementation, administration and management of the Plan and the Program,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Employer, the Company, Affiliates of the Company, Merrill Lynch Bank &amp; Trust Co., FSB (or any successor thereto), and any other possible recipients which may assist the Company (presently or in the future) with implementing, administering and managing your participation in the Plan and the Program to receive, possess, use, retain and transfer the Data, in electronic or other form, for the purposes of implementing, administering and managing your participation in the Plan and the Program, including any requisite transfer of such Data as may be required to a broker, escrow agent or other third party with whom the shares received upon vesting of the Performance Units may be deposited. You understand that Data will be held only as long as is necessary to implement, administer and manage your participation in the Plan and the Program.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2"/>
          <w:szCs w:val="22"/>
          <w:b w:val="1"/>
          <w:bCs w:val="1"/>
          <w:i w:val="1"/>
          <w:iCs w:val="1"/>
          <w:color w:val="auto"/>
        </w:rPr>
        <w:t>Performance Units or other equity awards or administer or maintain such awards. Therefore, you understand that refusing or withdrawing your consent may affect your ability to participate in the Plan and the Program. For more information on the consequences of your refusal to consent or withdrawal of consent, you understand that you may contact your local human resources representative.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XVI. </w:t>
      </w:r>
      <w:r>
        <w:rPr>
          <w:rFonts w:ascii="Arial" w:cs="Arial" w:eastAsia="Arial" w:hAnsi="Arial"/>
          <w:sz w:val="22"/>
          <w:szCs w:val="22"/>
          <w:u w:val="single" w:color="auto"/>
          <w:color w:val="auto"/>
        </w:rPr>
        <w:t>Language</w:t>
      </w:r>
      <w:r>
        <w:rPr>
          <w:rFonts w:ascii="Arial" w:cs="Arial" w:eastAsia="Arial" w:hAnsi="Arial"/>
          <w:sz w:val="22"/>
          <w:szCs w:val="22"/>
          <w:color w:val="auto"/>
        </w:rPr>
        <w:t>.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XVII. </w:t>
      </w:r>
      <w:r>
        <w:rPr>
          <w:rFonts w:ascii="Arial" w:cs="Arial" w:eastAsia="Arial" w:hAnsi="Arial"/>
          <w:sz w:val="22"/>
          <w:szCs w:val="22"/>
          <w:u w:val="single" w:color="auto"/>
          <w:color w:val="auto"/>
        </w:rPr>
        <w:t>Governing Law</w:t>
      </w:r>
      <w:r>
        <w:rPr>
          <w:rFonts w:ascii="Arial" w:cs="Arial" w:eastAsia="Arial" w:hAnsi="Arial"/>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XVIII.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XIX. </w:t>
      </w: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decide to deliver any documents related to current or future participation in the Plan and/or the Program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229" w:lineRule="exact"/>
        <w:rPr>
          <w:sz w:val="20"/>
          <w:szCs w:val="20"/>
          <w:color w:val="auto"/>
        </w:rPr>
      </w:pPr>
    </w:p>
    <w:p>
      <w:pPr>
        <w:jc w:val="both"/>
        <w:ind w:firstLine="656"/>
        <w:spacing w:after="0" w:line="265" w:lineRule="auto"/>
        <w:tabs>
          <w:tab w:leader="none" w:pos="1663"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XXI. </w:t>
      </w:r>
      <w:r>
        <w:rPr>
          <w:rFonts w:ascii="Arial" w:cs="Arial" w:eastAsia="Arial" w:hAnsi="Arial"/>
          <w:sz w:val="22"/>
          <w:szCs w:val="22"/>
          <w:u w:val="single" w:color="auto"/>
          <w:color w:val="auto"/>
        </w:rPr>
        <w:t>Waiver</w:t>
      </w:r>
      <w:r>
        <w:rPr>
          <w:rFonts w:ascii="Arial" w:cs="Arial" w:eastAsia="Arial" w:hAnsi="Arial"/>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81" w:name="page82"/>
    <w:bookmarkEnd w:id="81"/>
    <w:p>
      <w:pPr>
        <w:ind w:left="3900"/>
        <w:spacing w:after="0"/>
        <w:rPr>
          <w:sz w:val="20"/>
          <w:szCs w:val="20"/>
          <w:color w:val="auto"/>
        </w:rPr>
      </w:pPr>
      <w:r>
        <w:rPr>
          <w:rFonts w:ascii="Arial" w:cs="Arial" w:eastAsia="Arial" w:hAnsi="Arial"/>
          <w:sz w:val="22"/>
          <w:szCs w:val="22"/>
          <w:color w:val="auto"/>
        </w:rPr>
        <w:t>Very truly yours,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AMGEN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___ day of ______________, 20__.</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888" w:right="1440" w:bottom="1440" w:gutter="0" w:footer="0" w:header="0"/>
        </w:sectPr>
      </w:pPr>
    </w:p>
    <w:bookmarkStart w:id="82" w:name="page83"/>
    <w:bookmarkEnd w:id="82"/>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AMGEN INC. 2009 EQUITY INCENTIVE PLAN</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AWARD OF PERFORMANCE UNITS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COUNTRY)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Appendix includes additional terms and conditions that govern any Performance Units granted under the Plan if, under applicable law, you are a resident of, or are deemed to be a resident of one of the countries listed below. Furthermore, the additional terms and conditions that govern the Performance Units granted hereunder may apply to you if you relocate to one of the countries listed below and the Company shall, in its discretion, determine to what extent the terms and conditions contained herein shall apply to you. Certain capitalized terms used but not defined in this Appendix A shall have the meanings set forth in the Plan and/or the Agreement to which this Appendix is attached.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January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or are considered a resident of another country for local law purposes, the information contained herein may not be applicable to you or you may be subject to the provisions of one or more jurisdictions.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 NON-U.S. JURISDICTIONS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Insider Trading Restrictions/Market Abuse Laws. </w:t>
      </w:r>
      <w:r>
        <w:rPr>
          <w:rFonts w:ascii="Arial" w:cs="Arial" w:eastAsia="Arial" w:hAnsi="Arial"/>
          <w:sz w:val="19"/>
          <w:szCs w:val="19"/>
          <w:color w:val="auto"/>
        </w:rPr>
        <w:t>You acknowledge that, depending on your country of residence, you may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insider trading restrictions and/or market abuse laws, which may affect your ability to acquire or sell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Performance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ALGERIA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w:t>
      </w:r>
    </w:p>
    <w:p>
      <w:pPr>
        <w:sectPr>
          <w:pgSz w:w="11900" w:h="16838" w:orient="portrait"/>
          <w:cols w:equalWidth="0" w:num="1">
            <w:col w:w="11420"/>
          </w:cols>
          <w:pgMar w:left="240" w:top="369" w:right="239" w:bottom="1440" w:gutter="0" w:footer="0" w:header="0"/>
        </w:sectPr>
      </w:pPr>
    </w:p>
    <w:bookmarkStart w:id="83" w:name="page84"/>
    <w:bookmarkEnd w:id="83"/>
    <w:p>
      <w:pPr>
        <w:spacing w:after="0"/>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Proceeds from the sale of Shares and any cash dividends must be repatriated to Algeria.</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Exchange control reporting is required for cash transactions exceeding AUD10,000 and for</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fund transfers. If an Australian bank is assisting with the transaction, the bank will file the report on your behalf.</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If you acquire Shares under the Plan and offer the Shares for sale to a person or entity resident in</w:t>
      </w:r>
      <w:r>
        <w:rPr>
          <w:rFonts w:ascii="Arial" w:cs="Arial" w:eastAsia="Arial" w:hAnsi="Arial"/>
          <w:sz w:val="22"/>
          <w:szCs w:val="22"/>
          <w:b w:val="1"/>
          <w:bCs w:val="1"/>
          <w:color w:val="auto"/>
        </w:rPr>
        <w:t xml:space="preserve"> </w:t>
      </w:r>
      <w:r>
        <w:rPr>
          <w:rFonts w:ascii="Arial" w:cs="Arial" w:eastAsia="Arial" w:hAnsi="Arial"/>
          <w:sz w:val="22"/>
          <w:szCs w:val="22"/>
          <w:color w:val="auto"/>
        </w:rPr>
        <w:t>Australia, the offer may be subject to disclosure requirements under Australian law. You should consult with your own legal advisor before making any such offer in Australia.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hold Shares acquired under the Plan outside of Austria, you must submit a report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 separate reporting requirement applies when you sell Shares acquired under the Plan.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Tax Reporting. </w:t>
      </w:r>
      <w:r>
        <w:rPr>
          <w:rFonts w:ascii="Arial" w:cs="Arial" w:eastAsia="Arial" w:hAnsi="Arial"/>
          <w:sz w:val="22"/>
          <w:szCs w:val="22"/>
          <w:color w:val="auto"/>
        </w:rPr>
        <w:t>You are required to report any taxable income attributable to the Award granted hereunder on your annual tax</w:t>
      </w:r>
      <w:r>
        <w:rPr>
          <w:rFonts w:ascii="Arial" w:cs="Arial" w:eastAsia="Arial" w:hAnsi="Arial"/>
          <w:sz w:val="22"/>
          <w:szCs w:val="22"/>
          <w:b w:val="1"/>
          <w:bCs w:val="1"/>
          <w:color w:val="auto"/>
        </w:rPr>
        <w:t xml:space="preserve"> </w:t>
      </w:r>
      <w:r>
        <w:rPr>
          <w:rFonts w:ascii="Arial" w:cs="Arial" w:eastAsia="Arial" w:hAnsi="Arial"/>
          <w:sz w:val="22"/>
          <w:szCs w:val="22"/>
          <w:color w:val="auto"/>
        </w:rPr>
        <w:t>return. You are also required to report any security and bank accounts opened and maintained outside Belgium on your annual tax return.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By accepting the Performance Units, you acknowledge that you agree to comply with applicable Brazilian</w:t>
      </w:r>
      <w:r>
        <w:rPr>
          <w:rFonts w:ascii="Arial" w:cs="Arial" w:eastAsia="Arial" w:hAnsi="Arial"/>
          <w:sz w:val="22"/>
          <w:szCs w:val="22"/>
          <w:b w:val="1"/>
          <w:bCs w:val="1"/>
          <w:color w:val="auto"/>
        </w:rPr>
        <w:t xml:space="preserve"> </w:t>
      </w:r>
      <w:r>
        <w:rPr>
          <w:rFonts w:ascii="Arial" w:cs="Arial" w:eastAsia="Arial" w:hAnsi="Arial"/>
          <w:sz w:val="22"/>
          <w:szCs w:val="22"/>
          <w:color w:val="auto"/>
        </w:rPr>
        <w:t>laws and pay any and all applicable taxes associated with the vesting of the Performance Units and the sale of Shares acquired under the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w:t>
      </w:r>
    </w:p>
    <w:p>
      <w:pPr>
        <w:sectPr>
          <w:pgSz w:w="11900" w:h="16838" w:orient="portrait"/>
          <w:cols w:equalWidth="0" w:num="1">
            <w:col w:w="11420"/>
          </w:cols>
          <w:pgMar w:left="240" w:top="585"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Service. </w:t>
      </w:r>
      <w:r>
        <w:rPr>
          <w:rFonts w:ascii="Arial" w:cs="Arial" w:eastAsia="Arial" w:hAnsi="Arial"/>
          <w:sz w:val="22"/>
          <w:szCs w:val="22"/>
          <w:color w:val="auto"/>
        </w:rPr>
        <w:t>This provision supplements Section IX(j) of the Agreement:</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In the event of involuntary termination of your employment (whether or not in breach of local labor laws), your right to receive an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Award and vest in such Award under the Plan and the Program, if any, will terminate effective as of the date that is the earlier of:</w:t>
      </w:r>
    </w:p>
    <w:p>
      <w:pPr>
        <w:spacing w:after="0" w:line="38" w:lineRule="exact"/>
        <w:rPr>
          <w:sz w:val="20"/>
          <w:szCs w:val="20"/>
          <w:color w:val="auto"/>
        </w:rPr>
      </w:pPr>
    </w:p>
    <w:p>
      <w:pPr>
        <w:jc w:val="both"/>
        <w:ind w:firstLine="8"/>
        <w:spacing w:after="0" w:line="258" w:lineRule="auto"/>
        <w:tabs>
          <w:tab w:leader="none" w:pos="332"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an Award after termination of employment will be measured by the date of termination of your active employment and will not be extended by any notice period mandated under local law.</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 Performance Units Payable Only in Shares. </w:t>
      </w:r>
      <w:r>
        <w:rPr>
          <w:rFonts w:ascii="Arial" w:cs="Arial" w:eastAsia="Arial" w:hAnsi="Arial"/>
          <w:sz w:val="22"/>
          <w:szCs w:val="22"/>
          <w:color w:val="auto"/>
        </w:rPr>
        <w:t>Notwithstanding any discretion in the Plan or the Program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to the contrary in the Agreement, the Award does not provide any right for you, as a resident of Canada, to receive a cash payment and shall be paid in Shares only.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provisions will apply to you if you are a resident of Quebec:</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Les parties reconnaissent avoir exigé la rédaction en anglais de cette convention (</w:t>
      </w:r>
      <w:r>
        <w:rPr>
          <w:rFonts w:ascii="Arial" w:cs="Arial" w:eastAsia="Arial" w:hAnsi="Arial"/>
          <w:sz w:val="22"/>
          <w:szCs w:val="22"/>
          <w:color w:val="auto"/>
        </w:rPr>
        <w:t>"</w:t>
      </w:r>
      <w:r>
        <w:rPr>
          <w:rFonts w:ascii="Arial" w:cs="Arial" w:eastAsia="Arial" w:hAnsi="Arial"/>
          <w:sz w:val="22"/>
          <w:szCs w:val="22"/>
          <w:i w:val="1"/>
          <w:iCs w:val="1"/>
          <w:u w:val="single" w:color="auto"/>
          <w:color w:val="auto"/>
        </w:rPr>
        <w:t>Agreement</w:t>
      </w:r>
      <w:r>
        <w:rPr>
          <w:rFonts w:ascii="Arial" w:cs="Arial" w:eastAsia="Arial" w:hAnsi="Arial"/>
          <w:sz w:val="22"/>
          <w:szCs w:val="22"/>
          <w:color w:val="auto"/>
        </w:rPr>
        <w:t>"</w:t>
      </w:r>
      <w:r>
        <w:rPr>
          <w:rFonts w:ascii="Arial" w:cs="Arial" w:eastAsia="Arial" w:hAnsi="Arial"/>
          <w:sz w:val="22"/>
          <w:szCs w:val="22"/>
          <w:i w:val="1"/>
          <w:iCs w:val="1"/>
          <w:color w:val="auto"/>
        </w:rPr>
        <w:t>), ainsi que de tous documents exécutés, avis donnés et procédures judiciaries intentées, directement ou indirectement, relativement à ou suite à la présente convention.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and Consent. </w:t>
      </w:r>
      <w:r>
        <w:rPr>
          <w:rFonts w:ascii="Arial" w:cs="Arial" w:eastAsia="Arial" w:hAnsi="Arial"/>
          <w:sz w:val="22"/>
          <w:szCs w:val="22"/>
          <w:color w:val="auto"/>
        </w:rPr>
        <w:t>This provision supplements Section XV of the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You hereby authorize the Company and the Company's representative to discuss with and obtain all relevant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- 3</w:t>
      </w:r>
    </w:p>
    <w:p>
      <w:pPr>
        <w:sectPr>
          <w:pgSz w:w="11900" w:h="16838" w:orient="portrait"/>
          <w:cols w:equalWidth="0" w:num="1">
            <w:col w:w="11420"/>
          </w:cols>
          <w:pgMar w:left="240" w:top="591" w:right="239" w:bottom="1440" w:gutter="0" w:footer="0" w:header="0"/>
        </w:sectPr>
      </w:pPr>
    </w:p>
    <w:bookmarkStart w:id="85" w:name="page86"/>
    <w:bookmarkEnd w:id="85"/>
    <w:p>
      <w:pPr>
        <w:jc w:val="both"/>
        <w:spacing w:after="0" w:line="312" w:lineRule="auto"/>
        <w:rPr>
          <w:sz w:val="20"/>
          <w:szCs w:val="20"/>
          <w:color w:val="auto"/>
        </w:rPr>
      </w:pPr>
      <w:r>
        <w:rPr>
          <w:rFonts w:ascii="Arial" w:cs="Arial" w:eastAsia="Arial" w:hAnsi="Arial"/>
          <w:sz w:val="19"/>
          <w:szCs w:val="19"/>
          <w:color w:val="auto"/>
        </w:rPr>
        <w:t>information from all personnel (professional or not) involved in the administration and operation of the Plan and the Program. You further authorize the Company and your Employer to disclose and discuss your participation in the Plan with their advisors. You also authorize the Company and your Employer to record such information and keep it in your employee file.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You are permitted to sell Shares acquired through the Plan through the designated broker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if any, provided that the resale of such shares takes place outside of Canada through the facilities of a stock exchange on which the shares are listed (</w:t>
      </w:r>
      <w:r>
        <w:rPr>
          <w:rFonts w:ascii="Arial" w:cs="Arial" w:eastAsia="Arial" w:hAnsi="Arial"/>
          <w:sz w:val="22"/>
          <w:szCs w:val="22"/>
          <w:i w:val="1"/>
          <w:iCs w:val="1"/>
          <w:color w:val="auto"/>
        </w:rPr>
        <w:t>i.e</w:t>
      </w:r>
      <w:r>
        <w:rPr>
          <w:rFonts w:ascii="Arial" w:cs="Arial" w:eastAsia="Arial" w:hAnsi="Arial"/>
          <w:sz w:val="22"/>
          <w:szCs w:val="22"/>
          <w:color w:val="auto"/>
        </w:rPr>
        <w:t>., the NASDAQ Global Select Market).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report any foreign property (including Shares acquired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on form T1135 (Foreign Income Verification Statement) if the total value of the foreign property exceeds C$100,000 at any time in the year. The form must be filed by April 30 of the following year.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Pursuant to Ruling No. 99 of 2001 issued by the Chilean Superintendence of Securities (“</w:t>
      </w:r>
      <w:r>
        <w:rPr>
          <w:rFonts w:ascii="Arial" w:cs="Arial" w:eastAsia="Arial" w:hAnsi="Arial"/>
          <w:sz w:val="22"/>
          <w:szCs w:val="22"/>
          <w:u w:val="single" w:color="auto"/>
          <w:color w:val="auto"/>
        </w:rPr>
        <w:t>CSS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Performance Units nor any Shares acquired under the Plan will be registered under the Registry of Securities held by the CSS nor are they under the control or supervision of the CSS.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Tax Reporting and Registration Information. </w:t>
      </w:r>
      <w:r>
        <w:rPr>
          <w:rFonts w:ascii="Arial" w:cs="Arial" w:eastAsia="Arial" w:hAnsi="Arial"/>
          <w:sz w:val="22"/>
          <w:szCs w:val="22"/>
          <w:color w:val="auto"/>
        </w:rPr>
        <w:t>You must file Tax Form 1851 in relation to any Shares acquired under the Plan that</w:t>
      </w:r>
      <w:r>
        <w:rPr>
          <w:rFonts w:ascii="Arial" w:cs="Arial" w:eastAsia="Arial" w:hAnsi="Arial"/>
          <w:sz w:val="22"/>
          <w:szCs w:val="22"/>
          <w:b w:val="1"/>
          <w:bCs w:val="1"/>
          <w:color w:val="auto"/>
        </w:rPr>
        <w:t xml:space="preserve"> </w:t>
      </w:r>
      <w:r>
        <w:rPr>
          <w:rFonts w:ascii="Arial" w:cs="Arial" w:eastAsia="Arial" w:hAnsi="Arial"/>
          <w:sz w:val="22"/>
          <w:szCs w:val="22"/>
          <w:color w:val="auto"/>
        </w:rPr>
        <w:t>are held abroad and to any taxes paid abroad (if you will be seeking a credit against Chilean income tax owed) with the Chilean Internal Revenue Service (the “</w:t>
      </w:r>
      <w:r>
        <w:rPr>
          <w:rFonts w:ascii="Arial" w:cs="Arial" w:eastAsia="Arial" w:hAnsi="Arial"/>
          <w:sz w:val="22"/>
          <w:szCs w:val="22"/>
          <w:u w:val="single" w:color="auto"/>
          <w:color w:val="auto"/>
        </w:rPr>
        <w:t>CIRS</w:t>
      </w:r>
      <w:r>
        <w:rPr>
          <w:rFonts w:ascii="Arial" w:cs="Arial" w:eastAsia="Arial" w:hAnsi="Arial"/>
          <w:sz w:val="22"/>
          <w:szCs w:val="22"/>
          <w:color w:val="auto"/>
        </w:rPr>
        <w:t>”), The form must be submitted through the CIRS web page at www.sii.cl before March 15 of each year.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abroad must also be registered with the CIRS for you to be entitled to a foreign tax credit for any tax withheld on dividends abroad, if applicable, and such registration also provides evidence of the acquisition price of the shares (which will be zero) which you will need when the shares are sold. You are advised to consult with your personal legal advisor regarding how to register with the CIRS.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The following terms apply only to nationals of the People's Republic of China (the "</w:t>
      </w:r>
      <w:r>
        <w:rPr>
          <w:rFonts w:ascii="Arial" w:cs="Arial" w:eastAsia="Arial" w:hAnsi="Arial"/>
          <w:sz w:val="22"/>
          <w:szCs w:val="22"/>
          <w:i w:val="1"/>
          <w:iCs w:val="1"/>
          <w:u w:val="single" w:color="auto"/>
          <w:color w:val="auto"/>
        </w:rPr>
        <w:t>PRC</w:t>
      </w:r>
      <w:r>
        <w:rPr>
          <w:rFonts w:ascii="Arial" w:cs="Arial" w:eastAsia="Arial" w:hAnsi="Arial"/>
          <w:sz w:val="22"/>
          <w:szCs w:val="22"/>
          <w:i w:val="1"/>
          <w:iCs w:val="1"/>
          <w:color w:val="auto"/>
        </w:rPr>
        <w:t>") residing in the PRC, unless otherwise determined by the Company or required by the State Administration of Foreign Exchange</w:t>
      </w:r>
      <w:r>
        <w:rPr>
          <w:rFonts w:ascii="Arial" w:cs="Arial" w:eastAsia="Arial" w:hAnsi="Arial"/>
          <w:sz w:val="22"/>
          <w:szCs w:val="22"/>
          <w:color w:val="auto"/>
        </w:rPr>
        <w:t>:</w:t>
      </w:r>
    </w:p>
    <w:p>
      <w:pPr>
        <w:spacing w:after="0" w:line="16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Vesting of the Performance Units. </w:t>
      </w:r>
      <w:r>
        <w:rPr>
          <w:rFonts w:ascii="Arial" w:cs="Arial" w:eastAsia="Arial" w:hAnsi="Arial"/>
          <w:sz w:val="19"/>
          <w:szCs w:val="19"/>
          <w:color w:val="auto"/>
        </w:rPr>
        <w:t>Notwithstanding anything to the contrary in the Form of Award Notice or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Performance Units shall not vest or be considered earned until all necessary exchange control and other approvals from the PRC State Administration of Foreign Exchange or its local counterpart (“</w:t>
      </w:r>
      <w:r>
        <w:rPr>
          <w:rFonts w:ascii="Arial" w:cs="Arial" w:eastAsia="Arial" w:hAnsi="Arial"/>
          <w:sz w:val="19"/>
          <w:szCs w:val="19"/>
          <w:u w:val="single" w:color="auto"/>
          <w:color w:val="auto"/>
        </w:rPr>
        <w:t>SAFE</w:t>
      </w:r>
      <w:r>
        <w:rPr>
          <w:rFonts w:ascii="Arial" w:cs="Arial" w:eastAsia="Arial" w:hAnsi="Arial"/>
          <w:sz w:val="19"/>
          <w:szCs w:val="19"/>
          <w:color w:val="auto"/>
        </w:rPr>
        <w:t>”) have been received for Performance Units granted under the Plan. Once SAFE approval has been received and provided you are then employed by the Company or an Affiliate, any portion of the Performance Units that was deemed earned prior to obtaining SAFE approval will then vest and Shares will be issuable to you in settlement of such Performance Units. If you terminate employment with the Company and 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- 4</w:t>
      </w:r>
    </w:p>
    <w:p>
      <w:pPr>
        <w:sectPr>
          <w:pgSz w:w="11900" w:h="16838" w:orient="portrait"/>
          <w:cols w:equalWidth="0" w:num="1">
            <w:col w:w="11420"/>
          </w:cols>
          <w:pgMar w:left="240" w:top="375" w:right="23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22"/>
          <w:szCs w:val="22"/>
          <w:color w:val="auto"/>
        </w:rPr>
        <w:t>Affiliates prior to the receipt of SAFE approval, any Performance Units that are unvested pursuant to the preceding provision will be forfeited.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Further, notwithstanding anything to the contrary in Article 7.1 of the Program, if your employment with the Company or an Affiliate terminates at any time during the Performance Period, you shall forfeit all Performance Units.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Sale Requirement. </w:t>
      </w:r>
      <w:r>
        <w:rPr>
          <w:rFonts w:ascii="Arial" w:cs="Arial" w:eastAsia="Arial" w:hAnsi="Arial"/>
          <w:sz w:val="22"/>
          <w:szCs w:val="22"/>
          <w:color w:val="auto"/>
        </w:rPr>
        <w:t>Notwithstanding anything to the contrary in the Agreement, due to exchange control laws in the PRC,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9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Performance Units are not immediately sold,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understand and agree that, pursuant to local exchange control requirements,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repatriate the cash proceeds from the sale of the Shares issued upon settlement of the Performance Units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- 5</w:t>
      </w:r>
    </w:p>
    <w:p>
      <w:pPr>
        <w:sectPr>
          <w:pgSz w:w="11900" w:h="16838" w:orient="portrait"/>
          <w:cols w:equalWidth="0" w:num="1">
            <w:col w:w="11420"/>
          </w:cols>
          <w:pgMar w:left="240" w:top="375" w:right="239" w:bottom="1440" w:gutter="0" w:footer="0" w:header="0"/>
        </w:sectPr>
      </w:pPr>
    </w:p>
    <w:bookmarkStart w:id="87" w:name="page88"/>
    <w:bookmarkEnd w:id="87"/>
    <w:p>
      <w:pPr>
        <w:jc w:val="both"/>
        <w:spacing w:after="0" w:line="248" w:lineRule="auto"/>
        <w:rPr>
          <w:sz w:val="20"/>
          <w:szCs w:val="20"/>
          <w:color w:val="auto"/>
        </w:rPr>
      </w:pPr>
      <w:r>
        <w:rPr>
          <w:rFonts w:ascii="Arial" w:cs="Arial" w:eastAsia="Arial" w:hAnsi="Arial"/>
          <w:sz w:val="22"/>
          <w:szCs w:val="22"/>
          <w:color w:val="auto"/>
        </w:rPr>
        <w:t>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Effective January 1, 2014, PRC residents are required to report to SAFE details</w:t>
      </w:r>
      <w:r>
        <w:rPr>
          <w:rFonts w:ascii="Arial" w:cs="Arial" w:eastAsia="Arial" w:hAnsi="Arial"/>
          <w:sz w:val="22"/>
          <w:szCs w:val="22"/>
          <w:b w:val="1"/>
          <w:bCs w:val="1"/>
          <w:color w:val="auto"/>
        </w:rPr>
        <w:t xml:space="preserve"> </w:t>
      </w:r>
      <w:r>
        <w:rPr>
          <w:rFonts w:ascii="Arial" w:cs="Arial" w:eastAsia="Arial" w:hAnsi="Arial"/>
          <w:sz w:val="22"/>
          <w:szCs w:val="22"/>
          <w:color w:val="auto"/>
        </w:rPr>
        <w:t>of their foreign financial assets and liabilities, as well as details of any economic transactions conducted with non-PRC residents, either directly or through financial institutions. Shares or Performance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Investment in assets located abroad (such as Shares acquired under the Plan) does not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prior approval from the Central Bank (Banco de la República).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 registration with the Central Bank must be cancelled no later than March 31 of the year following the year of the sale or disposition (or a fine of up to 200% of the value of the infringing payment will apply).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CROATIA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Croatian residents must report any foreign investments (including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to the Croatian National Bank for statistical purposes and obtain prior approval of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Proceeds from the sale of Shares may be held in a cash account abroad and you are no longer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report the opening and maintenance of a foreign account to the Czech National Bank (the "</w:t>
      </w:r>
      <w:r>
        <w:rPr>
          <w:rFonts w:ascii="Arial" w:cs="Arial" w:eastAsia="Arial" w:hAnsi="Arial"/>
          <w:sz w:val="22"/>
          <w:szCs w:val="22"/>
          <w:u w:val="single" w:color="auto"/>
          <w:color w:val="auto"/>
        </w:rPr>
        <w:t>CNB</w:t>
      </w:r>
      <w:r>
        <w:rPr>
          <w:rFonts w:ascii="Arial" w:cs="Arial" w:eastAsia="Arial" w:hAnsi="Arial"/>
          <w:sz w:val="22"/>
          <w:szCs w:val="22"/>
          <w:color w:val="auto"/>
        </w:rPr>
        <w:t>"), unless the CNB notifies you specifically that such reporting is required. Upon request of the CNB, you may need to file a notification within 15 days of the end of the calendar quarter in which you acquire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- 6</w:t>
      </w:r>
    </w:p>
    <w:p>
      <w:pPr>
        <w:sectPr>
          <w:pgSz w:w="11900" w:h="16838" w:orient="portrait"/>
          <w:cols w:equalWidth="0" w:num="1">
            <w:col w:w="11420"/>
          </w:cols>
          <w:pgMar w:left="240" w:top="375" w:right="239" w:bottom="1440" w:gutter="0" w:footer="0" w:header="0"/>
        </w:sectPr>
      </w:pPr>
    </w:p>
    <w:bookmarkStart w:id="88" w:name="page89"/>
    <w:bookmarkEnd w:id="88"/>
    <w:p>
      <w:pPr>
        <w:jc w:val="both"/>
        <w:spacing w:after="0" w:line="252" w:lineRule="auto"/>
        <w:rPr>
          <w:sz w:val="20"/>
          <w:szCs w:val="20"/>
          <w:color w:val="auto"/>
        </w:rPr>
      </w:pPr>
      <w:r>
        <w:rPr>
          <w:rFonts w:ascii="Arial" w:cs="Arial" w:eastAsia="Arial" w:hAnsi="Arial"/>
          <w:sz w:val="22"/>
          <w:szCs w:val="22"/>
          <w:b w:val="1"/>
          <w:bCs w:val="1"/>
          <w:color w:val="auto"/>
        </w:rPr>
        <w:t xml:space="preserve">Danish Stock Option Act. </w:t>
      </w:r>
      <w:r>
        <w:rPr>
          <w:rFonts w:ascii="Arial" w:cs="Arial" w:eastAsia="Arial" w:hAnsi="Arial"/>
          <w:sz w:val="22"/>
          <w:szCs w:val="22"/>
          <w:color w:val="auto"/>
        </w:rPr>
        <w:t>In accepting the Performance Units, you acknowledge that you have received an Employer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translated into 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establish an account holding shares or an account holding cash outside Denmark, you</w:t>
      </w:r>
      <w:r>
        <w:rPr>
          <w:rFonts w:ascii="Arial" w:cs="Arial" w:eastAsia="Arial" w:hAnsi="Arial"/>
          <w:sz w:val="21"/>
          <w:szCs w:val="21"/>
          <w:b w:val="1"/>
          <w:bCs w:val="1"/>
          <w:color w:val="auto"/>
        </w:rPr>
        <w:t xml:space="preserve"> </w:t>
      </w:r>
      <w:r>
        <w:rPr>
          <w:rFonts w:ascii="Arial" w:cs="Arial" w:eastAsia="Arial" w:hAnsi="Arial"/>
          <w:sz w:val="21"/>
          <w:szCs w:val="21"/>
          <w:color w:val="auto"/>
        </w:rPr>
        <w:t>must report the account to the Danish Tax Administration. The form which should be used in this respect can be obtained from a local bank. (These obligations are separate from and in addition to the obligations described below.)</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Securities/Tax Reporting Information. </w:t>
      </w:r>
      <w:r>
        <w:rPr>
          <w:rFonts w:ascii="Arial" w:cs="Arial" w:eastAsia="Arial" w:hAnsi="Arial"/>
          <w:sz w:val="22"/>
          <w:szCs w:val="22"/>
          <w:color w:val="auto"/>
        </w:rPr>
        <w:t>If you hold Shares acquired under the Plan in a brokerage account with a broker or bank</w:t>
      </w:r>
      <w:r>
        <w:rPr>
          <w:rFonts w:ascii="Arial" w:cs="Arial" w:eastAsia="Arial" w:hAnsi="Arial"/>
          <w:sz w:val="22"/>
          <w:szCs w:val="22"/>
          <w:b w:val="1"/>
          <w:bCs w:val="1"/>
          <w:color w:val="auto"/>
        </w:rPr>
        <w:t xml:space="preserve"> </w:t>
      </w:r>
      <w:r>
        <w:rPr>
          <w:rFonts w:ascii="Arial" w:cs="Arial" w:eastAsia="Arial" w:hAnsi="Arial"/>
          <w:sz w:val="22"/>
          <w:szCs w:val="22"/>
          <w:color w:val="auto"/>
        </w:rPr>
        <w:t>outside Denmark, you are required to inform the Danish Tax Administration about the account. For this purpose, you must sign and file a Form V (</w:t>
      </w:r>
      <w:r>
        <w:rPr>
          <w:rFonts w:ascii="Arial" w:cs="Arial" w:eastAsia="Arial" w:hAnsi="Arial"/>
          <w:sz w:val="22"/>
          <w:szCs w:val="22"/>
          <w:i w:val="1"/>
          <w:iCs w:val="1"/>
          <w:color w:val="auto"/>
        </w:rPr>
        <w:t>Erklaering V</w:t>
      </w:r>
      <w:r>
        <w:rPr>
          <w:rFonts w:ascii="Arial" w:cs="Arial" w:eastAsia="Arial" w:hAnsi="Arial"/>
          <w:sz w:val="22"/>
          <w:szCs w:val="22"/>
          <w:color w:val="auto"/>
        </w:rPr>
        <w:t>) with the Danish Tax Administration.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addition, if you open a brokerage account (or a deposit account with a U.S. bank) for the purpose of holding cash outside Denmark, you are also required to inform the Danish Tax Administration about this account. To do so, you must file a Form K (</w:t>
      </w:r>
      <w:r>
        <w:rPr>
          <w:rFonts w:ascii="Arial" w:cs="Arial" w:eastAsia="Arial" w:hAnsi="Arial"/>
          <w:sz w:val="22"/>
          <w:szCs w:val="22"/>
          <w:i w:val="1"/>
          <w:iCs w:val="1"/>
          <w:color w:val="auto"/>
        </w:rPr>
        <w:t>Erklaering K</w:t>
      </w:r>
      <w:r>
        <w:rPr>
          <w:rFonts w:ascii="Arial" w:cs="Arial" w:eastAsia="Arial" w:hAnsi="Arial"/>
          <w:sz w:val="22"/>
          <w:szCs w:val="22"/>
          <w:color w:val="auto"/>
        </w:rPr>
        <w:t>) with the Danish Tax Administration. The Form K must be signed both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 Administration concerning the content of the account. By signing the Form K, you authorize the Danish Tax Administration to examine the account.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transfer funds into Egypt in connection with the Performance Units, you are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the funds through a registered bank in Egypt.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Award, you confirm having read and understood the Plan and Agreement which were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English language. You accept the terms of those documents accordingly.</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 acceptant l’attribution, vous confirmez avoir lu et compris le Plan et le Contrat, qui ont été communiqués en langue anglaise.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vous acceptez les termes de ces documents en connaissance de cause.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- 7</w:t>
      </w:r>
    </w:p>
    <w:p>
      <w:pPr>
        <w:sectPr>
          <w:pgSz w:w="11900" w:h="16838" w:orient="portrait"/>
          <w:cols w:equalWidth="0" w:num="1">
            <w:col w:w="11420"/>
          </w:cols>
          <w:pgMar w:left="240" w:top="585" w:right="239" w:bottom="1440" w:gutter="0" w:footer="0" w:header="0"/>
        </w:sectPr>
      </w:pPr>
    </w:p>
    <w:bookmarkStart w:id="89" w:name="page90"/>
    <w:bookmarkEnd w:id="89"/>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import or export cash with a value equal to or exceeding €10,000 and you do not use a</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institution to do so, you must submit a report to the customs and excise authorities. Further, if you hold Shares outside of France or maintain a foreign bank account, you are required to report such to the French tax authorities when filing your annual tax return. Failure to comply could trigger significant penalties.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Bank (</w:t>
      </w:r>
      <w:r>
        <w:rPr>
          <w:rFonts w:ascii="Arial" w:cs="Arial" w:eastAsia="Arial" w:hAnsi="Arial"/>
          <w:sz w:val="19"/>
          <w:szCs w:val="19"/>
          <w:i w:val="1"/>
          <w:iCs w:val="1"/>
          <w:color w:val="auto"/>
        </w:rPr>
        <w:t>Bundesbank</w:t>
      </w:r>
      <w:r>
        <w:rPr>
          <w:rFonts w:ascii="Arial" w:cs="Arial" w:eastAsia="Arial" w:hAnsi="Arial"/>
          <w:sz w:val="19"/>
          <w:szCs w:val="19"/>
          <w:color w:val="auto"/>
        </w:rPr>
        <w:t>). In case of payments in connection with securities (including proceeds realized upon the sale of Shares), the report must be made by the 5th day of the month following the month in which the payment was received and must be filed electronically. The form of report (</w:t>
      </w:r>
      <w:r>
        <w:rPr>
          <w:rFonts w:ascii="Arial" w:cs="Arial" w:eastAsia="Arial" w:hAnsi="Arial"/>
          <w:sz w:val="19"/>
          <w:szCs w:val="19"/>
          <w:i w:val="1"/>
          <w:iCs w:val="1"/>
          <w:color w:val="auto"/>
        </w:rPr>
        <w:t>Allgemeine Meldeportal Statistik</w:t>
      </w:r>
      <w:r>
        <w:rPr>
          <w:rFonts w:ascii="Arial" w:cs="Arial" w:eastAsia="Arial" w:hAnsi="Arial"/>
          <w:sz w:val="19"/>
          <w:szCs w:val="19"/>
          <w:color w:val="auto"/>
        </w:rPr>
        <w:t>) can be accessed via the Bundesbank’s website (www.bundesbank.de) and is available in both German and English. You are responsible for satisfying the reporting obligation.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i w:val="1"/>
          <w:iCs w:val="1"/>
          <w:color w:val="auto"/>
        </w:rPr>
        <w:t>SECURITIES WARNING: The Performance Units and any Shares issued in respect of Performance Units do not constitute a public offering of securities under Hong Kong law and are available only to Participants under the Program. The Agreement, including this Appendix, the Program,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Performance Units and any documentation related thereto are intended solely for the personal use of each Participant under the Program and may not be distributed to any other person. If you are in doubt about any of the contents of the Agreement, including this Appendix, the Program or the Plan, you should obtain independent professional advice.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Performance Units Payable Only in Shares. </w:t>
      </w:r>
      <w:r>
        <w:rPr>
          <w:rFonts w:ascii="Arial" w:cs="Arial" w:eastAsia="Arial" w:hAnsi="Arial"/>
          <w:sz w:val="22"/>
          <w:szCs w:val="22"/>
          <w:color w:val="auto"/>
        </w:rPr>
        <w:t>Notwithstanding any discretion in the Plan or the Program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to the contrary in the Agreement, the Award does not provide any right for you, as a resident of Hong Kong, to receive a cash payment and shall be paid in Shares only.</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In the event that Shares are issued in respect of Performance Units within six (6) months of the Grant Date, you</w:t>
      </w:r>
      <w:r>
        <w:rPr>
          <w:rFonts w:ascii="Arial" w:cs="Arial" w:eastAsia="Arial" w:hAnsi="Arial"/>
          <w:sz w:val="21"/>
          <w:szCs w:val="21"/>
          <w:b w:val="1"/>
          <w:bCs w:val="1"/>
          <w:color w:val="auto"/>
        </w:rPr>
        <w:t xml:space="preserve"> </w:t>
      </w:r>
      <w:r>
        <w:rPr>
          <w:rFonts w:ascii="Arial" w:cs="Arial" w:eastAsia="Arial" w:hAnsi="Arial"/>
          <w:sz w:val="21"/>
          <w:szCs w:val="21"/>
          <w:color w:val="auto"/>
        </w:rPr>
        <w:t>agree that you will not dispose of such shares prior to the six (6)-month anniversary of the Grant Date.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- 8</w:t>
      </w:r>
    </w:p>
    <w:p>
      <w:pPr>
        <w:sectPr>
          <w:pgSz w:w="11900" w:h="16838" w:orient="portrait"/>
          <w:cols w:equalWidth="0" w:num="1">
            <w:col w:w="11420"/>
          </w:cols>
          <w:pgMar w:left="240" w:top="585"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should consult with your personal advisor to ensure compliance with applicable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regulations in Iceland as such regulations are subject to frequent change. You are responsible for ensuring compliance with all exchange control laws in Iceland.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understand that you must repatriate any cash dividends paid on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the Program and any proceeds from the sale of shares acquired under the Plan and the Program to India within 90 days of receipt. You will receive a foreign inward remittance certificate ("</w:t>
      </w:r>
      <w:r>
        <w:rPr>
          <w:rFonts w:ascii="Arial" w:cs="Arial" w:eastAsia="Arial" w:hAnsi="Arial"/>
          <w:sz w:val="19"/>
          <w:szCs w:val="19"/>
          <w:u w:val="single" w:color="auto"/>
          <w:color w:val="auto"/>
        </w:rPr>
        <w:t>FIRC</w:t>
      </w:r>
      <w:r>
        <w:rPr>
          <w:rFonts w:ascii="Arial" w:cs="Arial" w:eastAsia="Arial" w:hAnsi="Arial"/>
          <w:sz w:val="19"/>
          <w:szCs w:val="19"/>
          <w:color w:val="auto"/>
        </w:rPr>
        <w:t>")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You are required to declare foreign bank accounts and any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IX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the Award granted hereunder, you acknowledge your understanding and agreement that the benefits received under the Plan will not be taken into account for any redundancy or unfair dismissal claim.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you are a director, shadow director or secretary of an Irish Affiliate, you must notify the</w:t>
      </w:r>
      <w:r>
        <w:rPr>
          <w:rFonts w:ascii="Arial" w:cs="Arial" w:eastAsia="Arial" w:hAnsi="Arial"/>
          <w:sz w:val="19"/>
          <w:szCs w:val="19"/>
          <w:b w:val="1"/>
          <w:bCs w:val="1"/>
          <w:color w:val="auto"/>
        </w:rPr>
        <w:t xml:space="preserve"> </w:t>
      </w:r>
      <w:r>
        <w:rPr>
          <w:rFonts w:ascii="Arial" w:cs="Arial" w:eastAsia="Arial" w:hAnsi="Arial"/>
          <w:sz w:val="19"/>
          <w:szCs w:val="19"/>
          <w:color w:val="auto"/>
        </w:rPr>
        <w:t>Irish Affiliate in writing within five (5) business days of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xml:space="preserve"> an Award or Shares), or within five (5) business days of becoming aware of the event giving rise to the notification requirement, or within five</w:t>
      </w:r>
    </w:p>
    <w:p>
      <w:pPr>
        <w:spacing w:after="0" w:line="2" w:lineRule="exact"/>
        <w:rPr>
          <w:sz w:val="20"/>
          <w:szCs w:val="20"/>
          <w:color w:val="auto"/>
        </w:rPr>
      </w:pPr>
    </w:p>
    <w:p>
      <w:pPr>
        <w:jc w:val="both"/>
        <w:ind w:firstLine="8"/>
        <w:spacing w:after="0" w:line="245" w:lineRule="auto"/>
        <w:tabs>
          <w:tab w:leader="none" w:pos="308" w:val="left"/>
        </w:tabs>
        <w:numPr>
          <w:ilvl w:val="0"/>
          <w:numId w:val="52"/>
        </w:numPr>
        <w:rPr>
          <w:rFonts w:ascii="Arial" w:cs="Arial" w:eastAsia="Arial" w:hAnsi="Arial"/>
          <w:sz w:val="22"/>
          <w:szCs w:val="22"/>
          <w:color w:val="auto"/>
        </w:rPr>
      </w:pPr>
      <w:r>
        <w:rPr>
          <w:rFonts w:ascii="Arial" w:cs="Arial" w:eastAsia="Arial" w:hAnsi="Arial"/>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replaces Section XV of the Agreement: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any shares or directorships held in the Company or any Affiliate, details of all Awards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- 9</w:t>
      </w:r>
    </w:p>
    <w:p>
      <w:pPr>
        <w:sectPr>
          <w:pgSz w:w="11900" w:h="16838" w:orient="portrait"/>
          <w:cols w:equalWidth="0" w:num="1">
            <w:col w:w="11420"/>
          </w:cols>
          <w:pgMar w:left="240" w:top="375" w:right="239" w:bottom="1440" w:gutter="0" w:footer="0" w:header="0"/>
        </w:sectPr>
      </w:pPr>
    </w:p>
    <w:bookmarkStart w:id="91" w:name="page92"/>
    <w:bookmarkEnd w:id="91"/>
    <w:p>
      <w:pPr>
        <w:jc w:val="both"/>
        <w:spacing w:after="0" w:line="287" w:lineRule="auto"/>
        <w:rPr>
          <w:sz w:val="20"/>
          <w:szCs w:val="20"/>
          <w:color w:val="auto"/>
        </w:rPr>
      </w:pPr>
      <w:r>
        <w:rPr>
          <w:rFonts w:ascii="Arial" w:cs="Arial" w:eastAsia="Arial" w:hAnsi="Arial"/>
          <w:sz w:val="21"/>
          <w:szCs w:val="21"/>
          <w:b w:val="1"/>
          <w:bCs w:val="1"/>
          <w:i w:val="1"/>
          <w:iCs w:val="1"/>
          <w:color w:val="auto"/>
        </w:rPr>
        <w:t>granted, or any other entitlement to Shares awarded, canceled, exercised, vested, unvested or outstanding in your favor, for the exclusive purpose of implementing, managing and administering the Plan and the Program ("</w:t>
      </w:r>
      <w:r>
        <w:rPr>
          <w:rFonts w:ascii="Arial" w:cs="Arial" w:eastAsia="Arial" w:hAnsi="Arial"/>
          <w:sz w:val="21"/>
          <w:szCs w:val="21"/>
          <w:b w:val="1"/>
          <w:bCs w:val="1"/>
          <w:i w:val="1"/>
          <w:iCs w:val="1"/>
          <w:u w:val="single" w:color="auto"/>
          <w:color w:val="auto"/>
        </w:rPr>
        <w:t>Data</w:t>
      </w:r>
      <w:r>
        <w:rPr>
          <w:rFonts w:ascii="Arial" w:cs="Arial" w:eastAsia="Arial" w:hAnsi="Arial"/>
          <w:sz w:val="21"/>
          <w:szCs w:val="21"/>
          <w:b w:val="1"/>
          <w:bCs w:val="1"/>
          <w:i w:val="1"/>
          <w:iCs w:val="1"/>
          <w:color w:val="auto"/>
        </w:rPr>
        <w: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i w:val="1"/>
          <w:iCs w:val="1"/>
          <w:color w:val="auto"/>
        </w:rPr>
        <w:t>You also understand that providing the Company with Data is necessary for the performance of the Plan and the Program and that your refusal to provide such Data would make it impossible for the Company to perform its contractual obligations and may affect your ability to participate in the Plan and the Program.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i w:val="1"/>
          <w:iCs w:val="1"/>
          <w:color w:val="auto"/>
        </w:rPr>
        <w:t>You understand that Data will not be publicized, but it may be transferred to banks, other financial institutions, or brokers involved in the management and administration of the Plan and the Program. You understand that Data may also be transferred to the independent registered public accounting firm engaged by the Company. You further understand that the Company and/or any Affiliate will transfer Data among themselves as necessary for the purposes of implementing, administering and managing your participation in the Plan and the Program, and that the Company and/or any Affiliate may each further transfer Data to third parties assisting the Company in the implementation, administration, and management of the Plan and the Program, including any requisite transfer of Data to a broker or other third party with whom you may elect to deposit any Shares issued in respect of the Award. Such recipients may receive, possess, use, retain, and transfer Data in electronic or other form, for the purposes of implementing, administering, and managing your participation in the Plan and the Program.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Plan and the Program, it will delete Data as soon as it has completed all the necessary legal obligations connected with the management and administration of the Plan and the Program.</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4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Acknowledgement of Nature of Grant. </w:t>
      </w:r>
      <w:r>
        <w:rPr>
          <w:rFonts w:ascii="Arial" w:cs="Arial" w:eastAsia="Arial" w:hAnsi="Arial"/>
          <w:sz w:val="22"/>
          <w:szCs w:val="22"/>
          <w:color w:val="auto"/>
        </w:rPr>
        <w:t>By accepting the Award granted hereunder, you acknowledge that (1) you have received a</w:t>
      </w:r>
      <w:r>
        <w:rPr>
          <w:rFonts w:ascii="Arial" w:cs="Arial" w:eastAsia="Arial" w:hAnsi="Arial"/>
          <w:sz w:val="22"/>
          <w:szCs w:val="22"/>
          <w:b w:val="1"/>
          <w:bCs w:val="1"/>
          <w:color w:val="auto"/>
        </w:rPr>
        <w:t xml:space="preserve"> </w:t>
      </w:r>
      <w:r>
        <w:rPr>
          <w:rFonts w:ascii="Arial" w:cs="Arial" w:eastAsia="Arial" w:hAnsi="Arial"/>
          <w:sz w:val="22"/>
          <w:szCs w:val="22"/>
          <w:color w:val="auto"/>
        </w:rPr>
        <w:t>copy of the Plan, the Program, the Agreement and this Appendix; (2) you have reviewed the applicable documents in their entirety and fully understand the contents thereof; and (3) you accept all provisions of the Plan, the Program, the Agreement and this Appendix.</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- 10</w:t>
      </w:r>
    </w:p>
    <w:p>
      <w:pPr>
        <w:sectPr>
          <w:pgSz w:w="11900" w:h="16838" w:orient="portrait"/>
          <w:cols w:equalWidth="0" w:num="1">
            <w:col w:w="11420"/>
          </w:cols>
          <w:pgMar w:left="240" w:top="375" w:right="239" w:bottom="1440" w:gutter="0" w:footer="0" w:header="0"/>
        </w:sectPr>
      </w:pPr>
    </w:p>
    <w:bookmarkStart w:id="92" w:name="page93"/>
    <w:bookmarkEnd w:id="92"/>
    <w:p>
      <w:pPr>
        <w:jc w:val="both"/>
        <w:spacing w:after="0" w:line="253" w:lineRule="auto"/>
        <w:rPr>
          <w:sz w:val="20"/>
          <w:szCs w:val="20"/>
          <w:color w:val="auto"/>
        </w:rPr>
      </w:pPr>
      <w:r>
        <w:rPr>
          <w:rFonts w:ascii="Arial" w:cs="Arial" w:eastAsia="Arial" w:hAnsi="Arial"/>
          <w:sz w:val="22"/>
          <w:szCs w:val="22"/>
          <w:color w:val="auto"/>
        </w:rPr>
        <w:t>You further acknowledge that you have read and specifically and explicitly approve, without limitation, the following sections of the Agreement: Section III, Section IV, Section V, Section IX, Section IV, Section XV (as replaced by the above consent), Section XVI and Section XX.</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The</w:t>
      </w:r>
      <w:r>
        <w:rPr>
          <w:rFonts w:ascii="Arial" w:cs="Arial" w:eastAsia="Arial" w:hAnsi="Arial"/>
          <w:sz w:val="21"/>
          <w:szCs w:val="21"/>
          <w:b w:val="1"/>
          <w:bCs w:val="1"/>
          <w:color w:val="auto"/>
        </w:rPr>
        <w:t xml:space="preserve"> </w:t>
      </w:r>
      <w:r>
        <w:rPr>
          <w:rFonts w:ascii="Arial" w:cs="Arial" w:eastAsia="Arial" w:hAnsi="Arial"/>
          <w:sz w:val="21"/>
          <w:szCs w:val="21"/>
          <w:color w:val="auto"/>
        </w:rPr>
        <w:t>market value is considered to be the value of the shares of Common Stock on the NASDAQ Global Select Market on December 31 of each year or on the last day in the applicable year on which you held the 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You will be required to report to the Japanese tax authorities details of any assets</w:t>
      </w:r>
      <w:r>
        <w:rPr>
          <w:rFonts w:ascii="Arial" w:cs="Arial" w:eastAsia="Arial" w:hAnsi="Arial"/>
          <w:sz w:val="22"/>
          <w:szCs w:val="22"/>
          <w:b w:val="1"/>
          <w:bCs w:val="1"/>
          <w:color w:val="auto"/>
        </w:rPr>
        <w:t xml:space="preserve"> </w:t>
      </w:r>
      <w:r>
        <w:rPr>
          <w:rFonts w:ascii="Arial" w:cs="Arial" w:eastAsia="Arial" w:hAnsi="Arial"/>
          <w:sz w:val="22"/>
          <w:szCs w:val="22"/>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JORDAN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LEBANON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LITHUANIA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Acknowledgement of the Grant. </w:t>
      </w:r>
      <w:r>
        <w:rPr>
          <w:rFonts w:ascii="Arial" w:cs="Arial" w:eastAsia="Arial" w:hAnsi="Arial"/>
          <w:sz w:val="22"/>
          <w:szCs w:val="22"/>
          <w:color w:val="auto"/>
        </w:rPr>
        <w:t>In accepting the Award granted hereunder, you acknowledge that you have received a copy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the Program, have reviewed the Plan and the Program and the Agreement, including this Appendix, in their entirety and fully understand and accept all provisions of the Plan, the Program and the Agreement, including this Appendix. You further acknowledge that you have read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- 11</w:t>
      </w:r>
    </w:p>
    <w:p>
      <w:pPr>
        <w:sectPr>
          <w:pgSz w:w="11900" w:h="16838" w:orient="portrait"/>
          <w:cols w:equalWidth="0" w:num="1">
            <w:col w:w="11420"/>
          </w:cols>
          <w:pgMar w:left="240" w:top="375" w:right="239" w:bottom="1440" w:gutter="0" w:footer="0" w:header="0"/>
        </w:sectPr>
      </w:pPr>
    </w:p>
    <w:bookmarkStart w:id="93" w:name="page94"/>
    <w:bookmarkEnd w:id="93"/>
    <w:p>
      <w:pPr>
        <w:spacing w:after="0" w:line="263" w:lineRule="auto"/>
        <w:rPr>
          <w:sz w:val="20"/>
          <w:szCs w:val="20"/>
          <w:color w:val="auto"/>
        </w:rPr>
      </w:pPr>
      <w:r>
        <w:rPr>
          <w:rFonts w:ascii="Arial" w:cs="Arial" w:eastAsia="Arial" w:hAnsi="Arial"/>
          <w:sz w:val="22"/>
          <w:szCs w:val="22"/>
          <w:color w:val="auto"/>
        </w:rPr>
        <w:t>specifically and expressly approve the terms and conditions of Section IX of the Agreement, in which the following is clearly described and established:</w:t>
      </w:r>
    </w:p>
    <w:p>
      <w:pPr>
        <w:spacing w:after="0" w:line="21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Your participation in the Plan and the Program do not constitute an acquired right.</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Plan and your participation in the Plan and the Program are offered by Amgen Inc. on a wholly discretionary basis.</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Your participation in the Plan and the Program is voluntary.</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Amgen Inc. and its Affiliates are not responsible for any decrease in the value of any Shares issued with respect to the Award.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Labor Law Acknowledgement and Policy Statement. </w:t>
      </w:r>
      <w:r>
        <w:rPr>
          <w:rFonts w:ascii="Arial" w:cs="Arial" w:eastAsia="Arial" w:hAnsi="Arial"/>
          <w:sz w:val="21"/>
          <w:szCs w:val="21"/>
          <w:color w:val="auto"/>
        </w:rPr>
        <w:t>In accepting any Award granted hereunder, you expressly recognize that</w:t>
      </w:r>
      <w:r>
        <w:rPr>
          <w:rFonts w:ascii="Arial" w:cs="Arial" w:eastAsia="Arial" w:hAnsi="Arial"/>
          <w:sz w:val="21"/>
          <w:szCs w:val="21"/>
          <w:b w:val="1"/>
          <w:bCs w:val="1"/>
          <w:color w:val="auto"/>
        </w:rPr>
        <w:t xml:space="preserve"> </w:t>
      </w:r>
      <w:r>
        <w:rPr>
          <w:rFonts w:ascii="Arial" w:cs="Arial" w:eastAsia="Arial" w:hAnsi="Arial"/>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w:t>
      </w:r>
      <w:r>
        <w:rPr>
          <w:rFonts w:ascii="Arial" w:cs="Arial" w:eastAsia="Arial" w:hAnsi="Arial"/>
          <w:sz w:val="21"/>
          <w:szCs w:val="21"/>
          <w:u w:val="single" w:color="auto"/>
          <w:color w:val="auto"/>
        </w:rPr>
        <w:t>Amgen-Mexico</w:t>
      </w:r>
      <w:r>
        <w:rPr>
          <w:rFonts w:ascii="Arial" w:cs="Arial" w:eastAsia="Arial" w:hAnsi="Arial"/>
          <w:sz w:val="21"/>
          <w:szCs w:val="21"/>
          <w:color w:val="auto"/>
        </w:rPr>
        <w:t>").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Reconocimiento del Otorgamiento. </w:t>
      </w:r>
      <w:r>
        <w:rPr>
          <w:rFonts w:ascii="Arial" w:cs="Arial" w:eastAsia="Arial" w:hAnsi="Arial"/>
          <w:sz w:val="22"/>
          <w:szCs w:val="22"/>
          <w:color w:val="auto"/>
        </w:rPr>
        <w:t>Al aceptar cualquier Otorgamiento de Acciones bajo el presente documento, usted reconoce</w:t>
      </w:r>
      <w:r>
        <w:rPr>
          <w:rFonts w:ascii="Arial" w:cs="Arial" w:eastAsia="Arial" w:hAnsi="Arial"/>
          <w:sz w:val="22"/>
          <w:szCs w:val="22"/>
          <w:b w:val="1"/>
          <w:bCs w:val="1"/>
          <w:color w:val="auto"/>
        </w:rPr>
        <w:t xml:space="preserve"> </w:t>
      </w:r>
      <w:r>
        <w:rPr>
          <w:rFonts w:ascii="Arial" w:cs="Arial" w:eastAsia="Arial" w:hAnsi="Arial"/>
          <w:sz w:val="22"/>
          <w:szCs w:val="22"/>
          <w:color w:val="auto"/>
        </w:rPr>
        <w:t>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VIII del Acuerdo del Otorgamiento, en los que se establece y describe claramente que:</w:t>
      </w:r>
    </w:p>
    <w:p>
      <w:pPr>
        <w:spacing w:after="0" w:line="193"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Su participación en el Plan y en el Programa de ninguna manera constituye un derecho adquirido.</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 participación en Plan y en el Programa son ofrecidos por Amgen Inc. de forma completamente discrecional.</w:t>
      </w:r>
    </w:p>
    <w:p>
      <w:pPr>
        <w:spacing w:after="0" w:line="294" w:lineRule="exact"/>
        <w:rPr>
          <w:rFonts w:ascii="Arial" w:cs="Arial" w:eastAsia="Arial" w:hAnsi="Arial"/>
          <w:sz w:val="19"/>
          <w:szCs w:val="19"/>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Su participación en el Plan y en el Programa es voluntaria.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- 12</w:t>
      </w:r>
    </w:p>
    <w:p>
      <w:pPr>
        <w:sectPr>
          <w:pgSz w:w="11900" w:h="16838" w:orient="portrait"/>
          <w:cols w:equalWidth="0" w:num="1">
            <w:col w:w="11420"/>
          </w:cols>
          <w:pgMar w:left="240" w:top="375" w:right="239" w:bottom="1440" w:gutter="0" w:footer="0" w:header="0"/>
        </w:sectPr>
      </w:pPr>
    </w:p>
    <w:bookmarkStart w:id="94" w:name="page95"/>
    <w:bookmarkEnd w:id="94"/>
    <w:p>
      <w:pPr>
        <w:ind w:left="1300" w:hanging="644"/>
        <w:spacing w:after="0" w:line="263"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Amgen Inc. y sus Afiliados no son responsables de ninguna disminución en el valor de las Acciones Comunes emitidas mediante el Plan.</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bajo el presente, usted</w:t>
      </w:r>
      <w:r>
        <w:rPr>
          <w:rFonts w:ascii="Arial" w:cs="Arial" w:eastAsia="Arial" w:hAnsi="Arial"/>
          <w:sz w:val="19"/>
          <w:szCs w:val="19"/>
          <w:b w:val="1"/>
          <w:bCs w:val="1"/>
          <w:color w:val="auto"/>
        </w:rPr>
        <w:t xml:space="preserve"> </w:t>
      </w:r>
      <w:r>
        <w:rPr>
          <w:rFonts w:ascii="Arial" w:cs="Arial" w:eastAsia="Arial" w:hAnsi="Arial"/>
          <w:sz w:val="19"/>
          <w:szCs w:val="19"/>
          <w:color w:val="auto"/>
        </w:rPr>
        <w:t>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MOROCCO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Sale Requirement. </w:t>
      </w:r>
      <w:r>
        <w:rPr>
          <w:rFonts w:ascii="Arial" w:cs="Arial" w:eastAsia="Arial" w:hAnsi="Arial"/>
          <w:sz w:val="21"/>
          <w:szCs w:val="21"/>
          <w:color w:val="auto"/>
        </w:rPr>
        <w:t>Notwithstanding anything to the contrary in the Agreement, due to exchange control laws in Morocco, you</w:t>
      </w:r>
      <w:r>
        <w:rPr>
          <w:rFonts w:ascii="Arial" w:cs="Arial" w:eastAsia="Arial" w:hAnsi="Arial"/>
          <w:sz w:val="21"/>
          <w:szCs w:val="21"/>
          <w:b w:val="1"/>
          <w:bCs w:val="1"/>
          <w:color w:val="auto"/>
        </w:rPr>
        <w:t xml:space="preserve"> </w:t>
      </w:r>
      <w:r>
        <w:rPr>
          <w:rFonts w:ascii="Arial" w:cs="Arial" w:eastAsia="Arial" w:hAnsi="Arial"/>
          <w:sz w:val="21"/>
          <w:szCs w:val="21"/>
          <w:color w:val="auto"/>
        </w:rPr>
        <w:t>agree that the Company reserves the right to require the immediate sale of any Shares acquired upon settlement of the Performance Units. Alternatively, if the Shares are not immediately sold upon settlement of the Performance Units, the Company may require the sale of any shares at a later date, including upon termination of your employment.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- 13</w:t>
      </w:r>
    </w:p>
    <w:p>
      <w:pPr>
        <w:sectPr>
          <w:pgSz w:w="11900" w:h="16838" w:orient="portrait"/>
          <w:cols w:equalWidth="0" w:num="1">
            <w:col w:w="11420"/>
          </w:cols>
          <w:pgMar w:left="240" w:top="631" w:right="239" w:bottom="1440" w:gutter="0" w:footer="0" w:header="0"/>
        </w:sectPr>
      </w:pPr>
    </w:p>
    <w:bookmarkStart w:id="95" w:name="page96"/>
    <w:bookmarkEnd w:id="95"/>
    <w:p>
      <w:pPr>
        <w:jc w:val="both"/>
        <w:spacing w:after="0" w:line="265" w:lineRule="auto"/>
        <w:rPr>
          <w:sz w:val="20"/>
          <w:szCs w:val="20"/>
          <w:color w:val="auto"/>
        </w:rPr>
      </w:pPr>
      <w:r>
        <w:rPr>
          <w:rFonts w:ascii="Arial" w:cs="Arial" w:eastAsia="Arial" w:hAnsi="Arial"/>
          <w:sz w:val="21"/>
          <w:szCs w:val="21"/>
          <w:color w:val="auto"/>
        </w:rPr>
        <w:t>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Units are not immediately sold, you acknowledge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required to maintain the shares in an account with Merrill Lynch Bank and Trust Co., FSB or such other designated broker as may be selected by the Company until the shares are sold through such Company-designated broker.</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settlement of the Units to Morocco. You further understand that such repatriation of your cash proceeds may be effectuated through a bank account established by the Company or any Affiliate, including the Employer, 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w:t>
      </w:r>
      <w:r>
        <w:rPr>
          <w:rFonts w:ascii="Arial" w:cs="Arial" w:eastAsia="Arial" w:hAnsi="Arial"/>
          <w:sz w:val="19"/>
          <w:szCs w:val="19"/>
          <w:i w:val="1"/>
          <w:iCs w:val="1"/>
          <w:color w:val="auto"/>
        </w:rPr>
        <w:t>Office des Changes</w:t>
      </w:r>
      <w:r>
        <w:rPr>
          <w:rFonts w:ascii="Arial" w:cs="Arial" w:eastAsia="Arial" w:hAnsi="Arial"/>
          <w:sz w:val="19"/>
          <w:szCs w:val="19"/>
          <w:color w:val="auto"/>
        </w:rPr>
        <w:t>). Further, you acknowledge and understand that the net proceeds that you realize from your participation in the Plan must be converted from U.S. dollars to Dirham, and that neither the Company nor 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PERU</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grant of Performance Units is considered a private offering in Peru; therefore, it is not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- 14</w:t>
      </w:r>
    </w:p>
    <w:p>
      <w:pPr>
        <w:sectPr>
          <w:pgSz w:w="11900" w:h="16838" w:orient="portrait"/>
          <w:cols w:equalWidth="0" w:num="1">
            <w:col w:w="11420"/>
          </w:cols>
          <w:pgMar w:left="240" w:top="375"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holding foreign securities (including Shares) and maintaining accounts abroad</w:t>
      </w:r>
      <w:r>
        <w:rPr>
          <w:rFonts w:ascii="Arial" w:cs="Arial" w:eastAsia="Arial" w:hAnsi="Arial"/>
          <w:sz w:val="19"/>
          <w:szCs w:val="19"/>
          <w:b w:val="1"/>
          <w:bCs w:val="1"/>
          <w:color w:val="auto"/>
        </w:rPr>
        <w:t xml:space="preserve"> </w:t>
      </w:r>
      <w:r>
        <w:rPr>
          <w:rFonts w:ascii="Arial" w:cs="Arial" w:eastAsia="Arial" w:hAnsi="Arial"/>
          <w:sz w:val="19"/>
          <w:szCs w:val="19"/>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€15,000). You must store all documents connected with any foreign exchange transactions you engage in for a period of five years.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You hereby expressly declare that you have full knowledge of the English 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and have read, understood and fully accepted and agreed with the terms and conditions established in the Plan, the Program and Agreement.</w:t>
      </w:r>
    </w:p>
    <w:p>
      <w:pPr>
        <w:spacing w:after="0" w:line="176"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li, compreendi e livremente aceitei e concordei com os termos e condições estabelecidas no Plano, no Programa e no Acordo.</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do not hold the Shares issued in respect of the Award with a Portuguese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intermediary, you will need to file a report with the Portuguese Central Bank. If the shares are held by a Portuguese financial intermediary, it will file the report for you.</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PUERTO RICO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deposit proceeds from the sale of Shares in a bank account in Romania, you may be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Settlement of Award. </w:t>
      </w:r>
      <w:r>
        <w:rPr>
          <w:rFonts w:ascii="Arial" w:cs="Arial" w:eastAsia="Arial" w:hAnsi="Arial"/>
          <w:sz w:val="22"/>
          <w:szCs w:val="22"/>
          <w:color w:val="auto"/>
        </w:rPr>
        <w:t>Depending on developments in Russian securities regulations, the Company reserves the right, in its sole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to force the immediate sale of any Shares to be issued upon vesting of the Award granted hereunder. You agree that, if applicable, the Company is authorized to instruct Merrill Lynch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- 15</w:t>
      </w:r>
    </w:p>
    <w:p>
      <w:pPr>
        <w:sectPr>
          <w:pgSz w:w="11900" w:h="16838" w:orient="portrait"/>
          <w:cols w:equalWidth="0" w:num="1">
            <w:col w:w="11420"/>
          </w:cols>
          <w:pgMar w:left="240" w:top="591" w:right="239" w:bottom="1440" w:gutter="0" w:footer="0" w:header="0"/>
        </w:sectPr>
      </w:pPr>
    </w:p>
    <w:bookmarkStart w:id="97" w:name="page98"/>
    <w:bookmarkEnd w:id="97"/>
    <w:p>
      <w:pPr>
        <w:jc w:val="both"/>
        <w:spacing w:after="0" w:line="288" w:lineRule="auto"/>
        <w:rPr>
          <w:sz w:val="20"/>
          <w:szCs w:val="20"/>
          <w:color w:val="auto"/>
        </w:rPr>
      </w:pPr>
      <w:r>
        <w:rPr>
          <w:rFonts w:ascii="Arial" w:cs="Arial" w:eastAsia="Arial" w:hAnsi="Arial"/>
          <w:sz w:val="19"/>
          <w:szCs w:val="19"/>
          <w:color w:val="auto"/>
        </w:rPr>
        <w:t>Bank &amp; Trust Co., FSB (or such other broker as may be designated by the Company) to assist with the mandatory sale of such Shares (on your behalf pursuant to this authorization) and you expressly authorize Merrill Lynch Bank &amp; Trust Co., FSB (or such other broker as may be designated by the Company) to complete the sale of such shares. You acknowledge that Merrill Lynch Bank</w:t>
      </w:r>
    </w:p>
    <w:p>
      <w:pPr>
        <w:spacing w:after="0" w:line="1" w:lineRule="exact"/>
        <w:rPr>
          <w:sz w:val="20"/>
          <w:szCs w:val="20"/>
          <w:color w:val="auto"/>
        </w:rPr>
      </w:pPr>
    </w:p>
    <w:p>
      <w:pPr>
        <w:jc w:val="both"/>
        <w:ind w:firstLine="8"/>
        <w:spacing w:after="0" w:line="302" w:lineRule="auto"/>
        <w:tabs>
          <w:tab w:leader="none" w:pos="227" w:val="left"/>
        </w:tabs>
        <w:numPr>
          <w:ilvl w:val="0"/>
          <w:numId w:val="56"/>
        </w:numPr>
        <w:rPr>
          <w:rFonts w:ascii="Arial" w:cs="Arial" w:eastAsia="Arial" w:hAnsi="Arial"/>
          <w:sz w:val="19"/>
          <w:szCs w:val="19"/>
          <w:color w:val="auto"/>
        </w:rPr>
      </w:pPr>
      <w:r>
        <w:rPr>
          <w:rFonts w:ascii="Arial" w:cs="Arial" w:eastAsia="Arial" w:hAnsi="Arial"/>
          <w:sz w:val="19"/>
          <w:szCs w:val="19"/>
          <w:color w:val="auto"/>
        </w:rPr>
        <w:t>Trust Co., FSB (or such other broker as may be designated by the Company) is under no obligation to arrange for the sale of the Shares at any particular trading price. Upon the sale of Shares, you will receive the cash proceeds from the sale of such shares, less any brokerage fees or commissions and subject to your obligations in connection with the Tax Obligations.</w:t>
      </w:r>
    </w:p>
    <w:p>
      <w:pPr>
        <w:spacing w:after="0" w:line="13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Securities Law Requirements. </w:t>
      </w:r>
      <w:r>
        <w:rPr>
          <w:rFonts w:ascii="Arial" w:cs="Arial" w:eastAsia="Arial" w:hAnsi="Arial"/>
          <w:sz w:val="19"/>
          <w:szCs w:val="19"/>
          <w:color w:val="auto"/>
        </w:rPr>
        <w:t>The Award granted hereunder, the Agreement, including this Appendix, the Program,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other materials you may receive regarding your participation in the Plan and the Program or the Award granted hereunder do not constitute advertising or an offering of securities in Russia. The issuance of Shares in respect of the Award has not and will not be registered in Russia; therefore, such shares may not be offered or placed in public circulation in Russia.</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no event will Shares acquired under the Plan be delivered to you in Russia; all Shares will be maintained on your behalf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any shares acquired under the Plan directly to a Russian legal entity or resident.</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Labor Law Information. </w:t>
      </w:r>
      <w:r>
        <w:rPr>
          <w:rFonts w:ascii="Arial" w:cs="Arial" w:eastAsia="Arial" w:hAnsi="Arial"/>
          <w:sz w:val="22"/>
          <w:szCs w:val="22"/>
          <w:color w:val="auto"/>
        </w:rPr>
        <w:t>You acknowledge that if you continue to hold Shares acquired under the Plan after an involuntary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your employment, you will not be eligible to receive unemployment benefits in Russia.</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supplements Section XV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Performance Units. Therefore, you understand that refusing to complete a Consent form or withdrawing your consent may affect your ability to participate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Under current exchange control regulations, within a reasonably short time after sale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and the Program or receipt of dividends on such shares, you must repatriate the proceeds to Russia. Such proceeds must be initially credited to you through a foreign currency account opened in your name at an authorized bank in Russia. After the funds are initially received in Russia,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and (iv) the Russian tax authorities must be given notice of the account balances of such foreign accounts as of the beginning of each calendar year. You are encouraged to contact your personal advisor before remitting your proceeds from participation in the Plan and the Program to Russia as exchange control requirements may change.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SAUDI ARABIA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- 16</w:t>
      </w:r>
    </w:p>
    <w:p>
      <w:pPr>
        <w:sectPr>
          <w:pgSz w:w="11900" w:h="16838" w:orient="portrait"/>
          <w:cols w:equalWidth="0" w:num="1">
            <w:col w:w="11420"/>
          </w:cols>
          <w:pgMar w:left="240" w:top="375" w:right="239" w:bottom="1440" w:gutter="0" w:footer="0" w:header="0"/>
        </w:sectPr>
      </w:pPr>
    </w:p>
    <w:bookmarkStart w:id="98" w:name="page99"/>
    <w:bookmarkEnd w:id="98"/>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This document may not be distributed in the Kingdom of Saudi Arabia except to such persons as are</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under the Offers of Securities Regulations issued by the Capital Market Authority.</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the Performance Units is being made pursuant to the "Qualifying Person" exemption</w:t>
      </w:r>
      <w:r>
        <w:rPr>
          <w:rFonts w:ascii="Arial" w:cs="Arial" w:eastAsia="Arial" w:hAnsi="Arial"/>
          <w:sz w:val="21"/>
          <w:szCs w:val="21"/>
          <w:b w:val="1"/>
          <w:bCs w:val="1"/>
          <w:color w:val="auto"/>
        </w:rPr>
        <w:t xml:space="preserve"> </w:t>
      </w:r>
      <w:r>
        <w:rPr>
          <w:rFonts w:ascii="Arial" w:cs="Arial" w:eastAsia="Arial" w:hAnsi="Arial"/>
          <w:sz w:val="21"/>
          <w:szCs w:val="21"/>
          <w:color w:val="auto"/>
        </w:rPr>
        <w:t>under section 273(1)(f) of the Securities and Futures Act (Chapter 289, 2006 Ed.) ("</w:t>
      </w:r>
      <w:r>
        <w:rPr>
          <w:rFonts w:ascii="Arial" w:cs="Arial" w:eastAsia="Arial" w:hAnsi="Arial"/>
          <w:sz w:val="21"/>
          <w:szCs w:val="21"/>
          <w:u w:val="single" w:color="auto"/>
          <w:color w:val="auto"/>
        </w:rPr>
        <w:t>SFA</w:t>
      </w:r>
      <w:r>
        <w:rPr>
          <w:rFonts w:ascii="Arial" w:cs="Arial" w:eastAsia="Arial" w:hAnsi="Arial"/>
          <w:sz w:val="21"/>
          <w:szCs w:val="21"/>
          <w:color w:val="auto"/>
        </w:rPr>
        <w:t>") and is not made with a view to the Units being subsequently offered for sale to any other party. The Plan has not been lodged or registered as a prospectus with the Monetary Authority of Singapore. You should note that the Units are subject to section 257 of the SFA and you will not be able to make (i) any subsequent sale of Shares in Singapore or (ii) any offer of such subsequent sale of the shares subject to the Units in Singapore, unless such sale or offer in is made pursuant to the exemptions under Part XIII Division (1) Subdivision (4) (other than section 280) of the SFA (Chapter 289, 2006 Ed.).</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associate directors and shadow directors of a Singapore Affiliate are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notification requirements under the Singapore Companies Act. Directors, associate directors and shadow directors must notify the Singapore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Units, Shares, etc.) in the Company or any related company within two</w:t>
      </w:r>
    </w:p>
    <w:p>
      <w:pPr>
        <w:spacing w:after="0" w:line="2" w:lineRule="exact"/>
        <w:rPr>
          <w:sz w:val="20"/>
          <w:szCs w:val="20"/>
          <w:color w:val="auto"/>
        </w:rPr>
      </w:pPr>
    </w:p>
    <w:p>
      <w:pPr>
        <w:ind w:firstLine="8"/>
        <w:spacing w:after="0" w:line="246" w:lineRule="auto"/>
        <w:tabs>
          <w:tab w:leader="none" w:pos="310" w:val="left"/>
        </w:tabs>
        <w:numPr>
          <w:ilvl w:val="0"/>
          <w:numId w:val="57"/>
        </w:numPr>
        <w:rPr>
          <w:rFonts w:ascii="Arial" w:cs="Arial" w:eastAsia="Arial" w:hAnsi="Arial"/>
          <w:sz w:val="22"/>
          <w:szCs w:val="22"/>
          <w:color w:val="auto"/>
        </w:rPr>
      </w:pPr>
      <w:r>
        <w:rPr>
          <w:rFonts w:ascii="Arial" w:cs="Arial" w:eastAsia="Arial" w:hAnsi="Arial"/>
          <w:sz w:val="22"/>
          <w:szCs w:val="22"/>
          <w:color w:val="auto"/>
        </w:rPr>
        <w:t>business days of (i) its acquisition or disposal, (ii) any change in a previously disclosed interest (</w:t>
      </w:r>
      <w:r>
        <w:rPr>
          <w:rFonts w:ascii="Arial" w:cs="Arial" w:eastAsia="Arial" w:hAnsi="Arial"/>
          <w:sz w:val="22"/>
          <w:szCs w:val="22"/>
          <w:i w:val="1"/>
          <w:iCs w:val="1"/>
          <w:color w:val="auto"/>
        </w:rPr>
        <w:t>e.g.,</w:t>
      </w:r>
      <w:r>
        <w:rPr>
          <w:rFonts w:ascii="Arial" w:cs="Arial" w:eastAsia="Arial" w:hAnsi="Arial"/>
          <w:sz w:val="22"/>
          <w:szCs w:val="22"/>
          <w:color w:val="auto"/>
        </w:rPr>
        <w:t xml:space="preserve"> when the shares are sold), or (iii) becoming a director, associate director or shadow director.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 REPUBLIC</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permanently reside in the Slovak Republic and, apart from being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 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t>
      </w:r>
      <w:r>
        <w:rPr>
          <w:rFonts w:ascii="Arial" w:cs="Arial" w:eastAsia="Arial" w:hAnsi="Arial"/>
          <w:sz w:val="19"/>
          <w:szCs w:val="19"/>
          <w:u w:val="single" w:color="auto"/>
          <w:color w:val="0000FF"/>
        </w:rPr>
        <w:t>www.nbs.sk</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SLOVENIA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for Taxes</w:t>
      </w:r>
      <w:r>
        <w:rPr>
          <w:rFonts w:ascii="Arial" w:cs="Arial" w:eastAsia="Arial" w:hAnsi="Arial"/>
          <w:sz w:val="22"/>
          <w:szCs w:val="22"/>
          <w:color w:val="auto"/>
        </w:rPr>
        <w:t>. The following provision supplements Section V of the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- 17</w:t>
      </w:r>
    </w:p>
    <w:p>
      <w:pPr>
        <w:sectPr>
          <w:pgSz w:w="11900" w:h="16838" w:orient="portrait"/>
          <w:cols w:equalWidth="0" w:num="1">
            <w:col w:w="11420"/>
          </w:cols>
          <w:pgMar w:left="240" w:top="369" w:right="23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2"/>
          <w:szCs w:val="22"/>
          <w:color w:val="auto"/>
        </w:rPr>
        <w:t>By accepting the Performance Units, you agree that, immediately upon vesting and settlement of the Performance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Because no transfer of funds from South Africa is required under the Performance Units, no</w:t>
      </w:r>
      <w:r>
        <w:rPr>
          <w:rFonts w:ascii="Arial" w:cs="Arial" w:eastAsia="Arial" w:hAnsi="Arial"/>
          <w:sz w:val="19"/>
          <w:szCs w:val="19"/>
          <w:b w:val="1"/>
          <w:bCs w:val="1"/>
          <w:color w:val="auto"/>
        </w:rPr>
        <w:t xml:space="preserve"> </w:t>
      </w:r>
      <w:r>
        <w:rPr>
          <w:rFonts w:ascii="Arial" w:cs="Arial" w:eastAsia="Arial" w:hAnsi="Arial"/>
          <w:sz w:val="19"/>
          <w:szCs w:val="19"/>
          <w:color w:val="auto"/>
        </w:rPr>
        <w:t>filing or reporting requirements should apply when the Performance Units are granted or when Shares are issued upon vesting and settlement of the Performance Units. However, because the exchange control regulations are subject to change, you should consult your personal advisor prior to vesting and settlement of the Performance Units to ensure compliance with current regulations. You are responsible for ensuring compliance with all exchange control laws in South Africa.</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IX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By accepting the Award granted hereunder, you consent to participation in the Plan and the Program and acknowledge that you have received a copy of the Plan and the Program.</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the Award under the Plan and the Program to individuals who may be members of the Board, Employees, or Consultants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- 18</w:t>
      </w:r>
    </w:p>
    <w:p>
      <w:pPr>
        <w:sectPr>
          <w:pgSz w:w="11900" w:h="16838" w:orient="portrait"/>
          <w:cols w:equalWidth="0" w:num="1">
            <w:col w:w="11420"/>
          </w:cols>
          <w:pgMar w:left="240" w:top="375" w:right="2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22"/>
          <w:szCs w:val="22"/>
          <w:color w:val="auto"/>
        </w:rPr>
        <w:t>you may automatically lose any rights to Performance Units that were not vested on the date of your termination of employment, as described in the Plan and the Agreement.</w:t>
      </w:r>
    </w:p>
    <w:p>
      <w:pPr>
        <w:spacing w:after="0" w:line="175" w:lineRule="exact"/>
        <w:rPr>
          <w:sz w:val="20"/>
          <w:szCs w:val="20"/>
          <w:color w:val="auto"/>
        </w:rPr>
      </w:pPr>
    </w:p>
    <w:p>
      <w:pPr>
        <w:ind w:right="1300"/>
        <w:spacing w:after="0" w:line="445" w:lineRule="auto"/>
        <w:rPr>
          <w:sz w:val="20"/>
          <w:szCs w:val="20"/>
          <w:color w:val="auto"/>
        </w:rPr>
      </w:pPr>
      <w:r>
        <w:rPr>
          <w:rFonts w:ascii="Arial" w:cs="Arial" w:eastAsia="Arial" w:hAnsi="Arial"/>
          <w:sz w:val="22"/>
          <w:szCs w:val="22"/>
          <w:color w:val="auto"/>
        </w:rPr>
        <w:t xml:space="preserve">You acknowledge that you have read and specifically accept the conditions referred to in Section I of the Agreement. </w:t>
      </w:r>
      <w:r>
        <w:rPr>
          <w:rFonts w:ascii="Arial" w:cs="Arial" w:eastAsia="Arial" w:hAnsi="Arial"/>
          <w:sz w:val="22"/>
          <w:szCs w:val="22"/>
          <w:b w:val="1"/>
          <w:bCs w:val="1"/>
          <w:i w:val="1"/>
          <w:iCs w:val="1"/>
          <w:color w:val="auto"/>
        </w:rPr>
        <w:t>NOTIFICATIONS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No "offer of securities to the public," as defined under Spanish law, has taken place or will take place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the Spanish territory. The Agreement (including this Appendix) has not been nor will it be registered with the </w:t>
      </w:r>
      <w:r>
        <w:rPr>
          <w:rFonts w:ascii="Arial" w:cs="Arial" w:eastAsia="Arial" w:hAnsi="Arial"/>
          <w:sz w:val="22"/>
          <w:szCs w:val="22"/>
          <w:i w:val="1"/>
          <w:iCs w:val="1"/>
          <w:color w:val="auto"/>
        </w:rPr>
        <w:t>Comisión Nacional</w:t>
      </w:r>
      <w:r>
        <w:rPr>
          <w:rFonts w:ascii="Arial" w:cs="Arial" w:eastAsia="Arial" w:hAnsi="Arial"/>
          <w:sz w:val="22"/>
          <w:szCs w:val="22"/>
          <w:color w:val="auto"/>
        </w:rPr>
        <w:t xml:space="preserve"> </w:t>
      </w:r>
      <w:r>
        <w:rPr>
          <w:rFonts w:ascii="Arial" w:cs="Arial" w:eastAsia="Arial" w:hAnsi="Arial"/>
          <w:sz w:val="22"/>
          <w:szCs w:val="22"/>
          <w:i w:val="1"/>
          <w:iCs w:val="1"/>
          <w:color w:val="auto"/>
        </w:rPr>
        <w:t>del Mercado de Valores</w:t>
      </w:r>
      <w:r>
        <w:rPr>
          <w:rFonts w:ascii="Arial" w:cs="Arial" w:eastAsia="Arial" w:hAnsi="Arial"/>
          <w:sz w:val="22"/>
          <w:szCs w:val="22"/>
          <w:color w:val="auto"/>
        </w:rPr>
        <w:t>, and does not constitute a public offering prospectus.</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 Comercio e Inversiones </w:t>
      </w:r>
      <w:r>
        <w:rPr>
          <w:rFonts w:ascii="Arial" w:cs="Arial" w:eastAsia="Arial" w:hAnsi="Arial"/>
          <w:sz w:val="19"/>
          <w:szCs w:val="19"/>
          <w:color w:val="auto"/>
        </w:rPr>
        <w:t>("</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44"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Award offered hereunder is considered a private offering in Switzerland and is, therefore, not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registration in Switzerland.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may acquire and remit foreign currency (including proceeds from the sale of Shares) up to</w:t>
      </w:r>
      <w:r>
        <w:rPr>
          <w:rFonts w:ascii="Arial" w:cs="Arial" w:eastAsia="Arial" w:hAnsi="Arial"/>
          <w:sz w:val="22"/>
          <w:szCs w:val="22"/>
          <w:b w:val="1"/>
          <w:bCs w:val="1"/>
          <w:color w:val="auto"/>
        </w:rPr>
        <w:t xml:space="preserve"> </w:t>
      </w:r>
      <w:r>
        <w:rPr>
          <w:rFonts w:ascii="Arial" w:cs="Arial" w:eastAsia="Arial" w:hAnsi="Arial"/>
          <w:sz w:val="22"/>
          <w:szCs w:val="22"/>
          <w:color w:val="auto"/>
        </w:rPr>
        <w:t>US$5,000,000 per year without justification. If the transaction amount is TWD500,000 or more in a single transaction, you must submit a Foreign Exchange Transaction Form. If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- 19</w:t>
      </w:r>
    </w:p>
    <w:p>
      <w:pPr>
        <w:sectPr>
          <w:pgSz w:w="11900" w:h="16838" w:orient="portrait"/>
          <w:cols w:equalWidth="0" w:num="1">
            <w:col w:w="11420"/>
          </w:cols>
          <w:pgMar w:left="240" w:top="375" w:right="239" w:bottom="1440" w:gutter="0" w:footer="0" w:header="0"/>
        </w:sectPr>
      </w:pPr>
    </w:p>
    <w:bookmarkStart w:id="101" w:name="page102"/>
    <w:bookmarkEnd w:id="101"/>
    <w:p>
      <w:pPr>
        <w:spacing w:after="0" w:line="263" w:lineRule="auto"/>
        <w:rPr>
          <w:sz w:val="20"/>
          <w:szCs w:val="20"/>
          <w:color w:val="auto"/>
        </w:rPr>
      </w:pPr>
      <w:r>
        <w:rPr>
          <w:rFonts w:ascii="Arial" w:cs="Arial" w:eastAsia="Arial" w:hAnsi="Arial"/>
          <w:sz w:val="22"/>
          <w:szCs w:val="22"/>
          <w:color w:val="auto"/>
        </w:rPr>
        <w:t>the transaction amount is US$500,000 or more in a single transaction, you must also provide supporting documentation to the satisfaction of the remitting bank.</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proceeds from the sale of Shares or the receipt of any dividends exceed US$50,000, you must</w:t>
      </w:r>
    </w:p>
    <w:p>
      <w:pPr>
        <w:spacing w:after="0" w:line="62" w:lineRule="exact"/>
        <w:rPr>
          <w:sz w:val="20"/>
          <w:szCs w:val="20"/>
          <w:color w:val="auto"/>
        </w:rPr>
      </w:pPr>
    </w:p>
    <w:p>
      <w:pPr>
        <w:jc w:val="both"/>
        <w:ind w:firstLine="8"/>
        <w:spacing w:after="0" w:line="245" w:lineRule="auto"/>
        <w:tabs>
          <w:tab w:leader="none" w:pos="294" w:val="left"/>
        </w:tabs>
        <w:numPr>
          <w:ilvl w:val="0"/>
          <w:numId w:val="58"/>
        </w:numPr>
        <w:rPr>
          <w:rFonts w:ascii="Arial" w:cs="Arial" w:eastAsia="Arial" w:hAnsi="Arial"/>
          <w:sz w:val="22"/>
          <w:szCs w:val="22"/>
          <w:color w:val="auto"/>
        </w:rPr>
      </w:pPr>
      <w:r>
        <w:rPr>
          <w:rFonts w:ascii="Arial" w:cs="Arial" w:eastAsia="Arial" w:hAnsi="Arial"/>
          <w:sz w:val="22"/>
          <w:szCs w:val="22"/>
          <w:color w:val="auto"/>
        </w:rPr>
        <w:t>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TUNISIA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hold assets (including Shares acquired under the Plan) outside Tunisia and the value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assets exceeds a certain threshold (currently TDN 500), you must declare the assets to the Central Bank of Tunisia within six</w:t>
      </w:r>
    </w:p>
    <w:p>
      <w:pPr>
        <w:jc w:val="both"/>
        <w:ind w:firstLine="8"/>
        <w:spacing w:after="0" w:line="245" w:lineRule="auto"/>
        <w:tabs>
          <w:tab w:leader="none" w:pos="341" w:val="left"/>
        </w:tabs>
        <w:numPr>
          <w:ilvl w:val="0"/>
          <w:numId w:val="59"/>
        </w:numPr>
        <w:rPr>
          <w:rFonts w:ascii="Arial" w:cs="Arial" w:eastAsia="Arial" w:hAnsi="Arial"/>
          <w:sz w:val="22"/>
          <w:szCs w:val="22"/>
          <w:color w:val="auto"/>
        </w:rPr>
      </w:pPr>
      <w:r>
        <w:rPr>
          <w:rFonts w:ascii="Arial" w:cs="Arial" w:eastAsia="Arial" w:hAnsi="Arial"/>
          <w:sz w:val="22"/>
          <w:szCs w:val="22"/>
          <w:color w:val="auto"/>
        </w:rPr>
        <w:t>months of their acquisition. In addition, if you sell the Shares acquired under the Plan, you are required to repatriate the proceeds from the sale to Tunisia. You are solely responsible for complying with all exchange control laws in Tunisia and are advised to consult with your personal legal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Under Turkish law, you are not permitted to sell Shares acquired under the Plan in Turkey. You must</w:t>
      </w:r>
      <w:r>
        <w:rPr>
          <w:rFonts w:ascii="Arial" w:cs="Arial" w:eastAsia="Arial" w:hAnsi="Arial"/>
          <w:sz w:val="21"/>
          <w:szCs w:val="21"/>
          <w:b w:val="1"/>
          <w:bCs w:val="1"/>
          <w:color w:val="auto"/>
        </w:rPr>
        <w:t xml:space="preserve"> </w:t>
      </w:r>
      <w:r>
        <w:rPr>
          <w:rFonts w:ascii="Arial" w:cs="Arial" w:eastAsia="Arial" w:hAnsi="Arial"/>
          <w:sz w:val="21"/>
          <w:szCs w:val="21"/>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Pursuant to Decree No. 32 on the Protection of the Value of the Turkish Currency ("</w:t>
      </w:r>
      <w:r>
        <w:rPr>
          <w:rFonts w:ascii="Arial" w:cs="Arial" w:eastAsia="Arial" w:hAnsi="Arial"/>
          <w:sz w:val="22"/>
          <w:szCs w:val="22"/>
          <w:u w:val="single" w:color="auto"/>
          <w:color w:val="auto"/>
        </w:rPr>
        <w:t>Decree 32</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and Communique No. 2008-32/34 on Decree No. 32, any activity related to investments in foreign securities (</w:t>
      </w:r>
      <w:r>
        <w:rPr>
          <w:rFonts w:ascii="Arial" w:cs="Arial" w:eastAsia="Arial" w:hAnsi="Arial"/>
          <w:sz w:val="22"/>
          <w:szCs w:val="22"/>
          <w:i w:val="1"/>
          <w:iCs w:val="1"/>
          <w:color w:val="auto"/>
        </w:rPr>
        <w:t>e.g</w:t>
      </w:r>
      <w:r>
        <w:rPr>
          <w:rFonts w:ascii="Arial" w:cs="Arial" w:eastAsia="Arial" w:hAnsi="Arial"/>
          <w:sz w:val="22"/>
          <w:szCs w:val="22"/>
          <w:color w:val="auto"/>
        </w:rPr>
        <w:t>., the sale of Shares under the Plan)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Performance Units under the Plan are available only to Participants under the Program and are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of providing equity incentives. The Plan, the Program and the Agreement are intended for distribution only to such Participants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- 20</w:t>
      </w:r>
    </w:p>
    <w:p>
      <w:pPr>
        <w:sectPr>
          <w:pgSz w:w="11900" w:h="16838" w:orient="portrait"/>
          <w:cols w:equalWidth="0" w:num="1">
            <w:col w:w="11420"/>
          </w:cols>
          <w:pgMar w:left="240" w:top="375" w:right="23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22"/>
          <w:szCs w:val="22"/>
          <w:color w:val="auto"/>
        </w:rPr>
        <w:t>Ministry of the Economy and the Dubai Department of Economic Development have not approved the Plan or the Agreement nor taken steps to verify the information set out therein, and have no responsibility for such documents.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This provision supplements Section V of the Agreement:</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You agree that if you do not pay or your Employer or the Company does not withhold from you the full amount of income tax that you owe due at issuance of Shares in respect of the Performance Units, or the release or assignment of the Performance Units for consideration, or the receipt of any other benefit in connection with the Performance Units (the "</w:t>
      </w:r>
      <w:r>
        <w:rPr>
          <w:rFonts w:ascii="Arial" w:cs="Arial" w:eastAsia="Arial" w:hAnsi="Arial"/>
          <w:sz w:val="19"/>
          <w:szCs w:val="19"/>
          <w:u w:val="single" w:color="auto"/>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and/or paid shall constitute a loan owed by you to your Employer, effective 90 days after the Taxable Event. You agree that the loan will bear interest at the official rate of HM Revenue and Customs ("</w:t>
      </w:r>
      <w:r>
        <w:rPr>
          <w:rFonts w:ascii="Arial" w:cs="Arial" w:eastAsia="Arial" w:hAnsi="Arial"/>
          <w:sz w:val="19"/>
          <w:szCs w:val="19"/>
          <w:u w:val="single" w:color="auto"/>
          <w:color w:val="auto"/>
        </w:rPr>
        <w:t>HMRC</w:t>
      </w:r>
      <w:r>
        <w:rPr>
          <w:rFonts w:ascii="Arial" w:cs="Arial" w:eastAsia="Arial" w:hAnsi="Arial"/>
          <w:sz w:val="19"/>
          <w:szCs w:val="19"/>
          <w:color w:val="auto"/>
        </w:rPr>
        <w:t>") and will be immediately due and repayable by you, and the Company and/or your Employer may recover it at any time thereafter by withholding (subject to Section V of the Agreement) the funds from salary, bonus or any other funds due to you by your Employer, by withholding in Shares issued in respect of the Performance Units or from the cash proceeds from the sale of Shares or by demanding cash or a check from you. You also authorize the Company to delay the issuance of any Shares to you unless and until the loan is repaid in full.</w:t>
      </w:r>
    </w:p>
    <w:p>
      <w:pPr>
        <w:spacing w:after="0" w:line="200" w:lineRule="exact"/>
        <w:rPr>
          <w:sz w:val="20"/>
          <w:szCs w:val="20"/>
          <w:color w:val="auto"/>
        </w:rPr>
      </w:pP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the foregoing, if you are an officer or executive director (as within the meaning of Section 13(k) of the Exchange Act, as amended), from time to time, the terms of the immediately foregoing provision will not apply. In the event that you are an officer or executive director and income tax is not collected from or paid by you within 90 days of the Taxable Event, the amount of any uncollected income tax may constitute a benefit to you on which additional income tax and national insurance contributions ("</w:t>
      </w:r>
      <w:r>
        <w:rPr>
          <w:rFonts w:ascii="Arial" w:cs="Arial" w:eastAsia="Arial" w:hAnsi="Arial"/>
          <w:sz w:val="22"/>
          <w:szCs w:val="22"/>
          <w:u w:val="single" w:color="auto"/>
          <w:color w:val="auto"/>
        </w:rPr>
        <w:t>NICs</w:t>
      </w:r>
      <w:r>
        <w:rPr>
          <w:rFonts w:ascii="Arial" w:cs="Arial" w:eastAsia="Arial" w:hAnsi="Arial"/>
          <w:sz w:val="22"/>
          <w:szCs w:val="22"/>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the Employer may recover from you by any of the means set forth in Section V of the Agreement.</w:t>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Joint Election. </w:t>
      </w:r>
      <w:r>
        <w:rPr>
          <w:rFonts w:ascii="Arial" w:cs="Arial" w:eastAsia="Arial" w:hAnsi="Arial"/>
          <w:sz w:val="19"/>
          <w:szCs w:val="19"/>
          <w:color w:val="auto"/>
        </w:rPr>
        <w:t>As a condition of the Award, you agree to accept any liability for secondary Class 1 National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Contributions (the "</w:t>
      </w:r>
      <w:r>
        <w:rPr>
          <w:rFonts w:ascii="Arial" w:cs="Arial" w:eastAsia="Arial" w:hAnsi="Arial"/>
          <w:sz w:val="19"/>
          <w:szCs w:val="19"/>
          <w:u w:val="single" w:color="auto"/>
          <w:color w:val="auto"/>
        </w:rPr>
        <w:t>Employer NICs</w:t>
      </w:r>
      <w:r>
        <w:rPr>
          <w:rFonts w:ascii="Arial" w:cs="Arial" w:eastAsia="Arial" w:hAnsi="Arial"/>
          <w:sz w:val="19"/>
          <w:szCs w:val="19"/>
          <w:color w:val="auto"/>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Without limitation to the foregoing, you agree to make an election (the "</w:t>
      </w:r>
      <w:r>
        <w:rPr>
          <w:rFonts w:ascii="Arial" w:cs="Arial" w:eastAsia="Arial" w:hAnsi="Arial"/>
          <w:sz w:val="22"/>
          <w:szCs w:val="22"/>
          <w:u w:val="single" w:color="auto"/>
          <w:color w:val="auto"/>
        </w:rPr>
        <w:t>Election</w:t>
      </w:r>
      <w:r>
        <w:rPr>
          <w:rFonts w:ascii="Arial" w:cs="Arial" w:eastAsia="Arial" w:hAnsi="Arial"/>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- 21</w:t>
      </w:r>
    </w:p>
    <w:p>
      <w:pPr>
        <w:sectPr>
          <w:pgSz w:w="11900" w:h="16838" w:orient="portrait"/>
          <w:cols w:equalWidth="0" w:num="1">
            <w:col w:w="11420"/>
          </w:cols>
          <w:pgMar w:left="240" w:top="375"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The following provision replaces Section IX(j) of the Award Agreement:</w:t>
      </w:r>
    </w:p>
    <w:p>
      <w:pPr>
        <w:spacing w:after="0" w:line="226" w:lineRule="exact"/>
        <w:rPr>
          <w:sz w:val="20"/>
          <w:szCs w:val="20"/>
          <w:color w:val="auto"/>
        </w:rPr>
      </w:pPr>
    </w:p>
    <w:p>
      <w:pPr>
        <w:jc w:val="both"/>
        <w:ind w:firstLine="8"/>
        <w:spacing w:after="0" w:line="248" w:lineRule="auto"/>
        <w:tabs>
          <w:tab w:leader="none" w:pos="559"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right will be extended by any notice period mandated by law (</w:t>
      </w:r>
      <w:r>
        <w:rPr>
          <w:rFonts w:ascii="Arial" w:cs="Arial" w:eastAsia="Arial" w:hAnsi="Arial"/>
          <w:sz w:val="22"/>
          <w:szCs w:val="22"/>
          <w:i w:val="1"/>
          <w:iCs w:val="1"/>
          <w:color w:val="auto"/>
        </w:rPr>
        <w:t>e.g</w:t>
      </w:r>
      <w:r>
        <w:rPr>
          <w:rFonts w:ascii="Arial" w:cs="Arial" w:eastAsia="Arial" w:hAnsi="Arial"/>
          <w:sz w:val="22"/>
          <w:szCs w:val="22"/>
          <w:color w:val="auto"/>
        </w:rPr>
        <w:t>., the Worker Adjustment and Retraining Notification Act ("</w:t>
      </w:r>
      <w:r>
        <w:rPr>
          <w:rFonts w:ascii="Arial" w:cs="Arial" w:eastAsia="Arial" w:hAnsi="Arial"/>
          <w:sz w:val="22"/>
          <w:szCs w:val="22"/>
          <w:u w:val="single" w:color="auto"/>
          <w:color w:val="auto"/>
        </w:rPr>
        <w:t>WARN Act</w:t>
      </w:r>
      <w:r>
        <w:rPr>
          <w:rFonts w:ascii="Arial" w:cs="Arial" w:eastAsia="Arial" w:hAnsi="Arial"/>
          <w:sz w:val="22"/>
          <w:szCs w:val="22"/>
          <w:color w:val="auto"/>
        </w:rPr>
        <w:t>")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VENEZUELA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Performance Units Payable Only in Shares. </w:t>
      </w:r>
      <w:r>
        <w:rPr>
          <w:rFonts w:ascii="Arial" w:cs="Arial" w:eastAsia="Arial" w:hAnsi="Arial"/>
          <w:sz w:val="22"/>
          <w:szCs w:val="22"/>
          <w:color w:val="auto"/>
        </w:rPr>
        <w:t>Notwithstanding any discretion in the Plan or anything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in the Agreement, the Performance Units do not provide any right for you, as a resident of Venezuela, to receive a cash payment and shall be paid in Shares only.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Any Shares acquired under the Plan are intended to be a personal investment and are not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purposes of reselling the shares and converting the proceeds into foreign currency. You are advised to consult with your personal legal advisor prior to vesting and settlement of the Performance Units to ensure compliance with the applicable exchange control regulations in Venezuela, as such regulations change frequently. You are solely responsible for ensuring compliance with all exchange control laws in Venezuela.</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Performance Units granted under the Plan and the Shares issued under the Plan are offered as a</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private, exclusive transaction and do not constitute a public offering under local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- 22</w:t>
      </w:r>
    </w:p>
    <w:p>
      <w:pPr>
        <w:sectPr>
          <w:pgSz w:w="11900" w:h="16838" w:orient="portrait"/>
          <w:cols w:equalWidth="0" w:num="1">
            <w:col w:w="11420"/>
          </w:cols>
          <w:pgMar w:left="240" w:top="58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10.26</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TO THE SHAREHOLDERS’ AGREEMENT OF KIRIN-AMGEN, INC.</w:t>
      </w:r>
    </w:p>
    <w:p>
      <w:pPr>
        <w:spacing w:after="0" w:line="200" w:lineRule="exact"/>
        <w:rPr>
          <w:sz w:val="20"/>
          <w:szCs w:val="20"/>
          <w:color w:val="auto"/>
        </w:rPr>
      </w:pPr>
    </w:p>
    <w:p>
      <w:pPr>
        <w:spacing w:after="0" w:line="218" w:lineRule="exact"/>
        <w:rPr>
          <w:sz w:val="20"/>
          <w:szCs w:val="20"/>
          <w:color w:val="auto"/>
        </w:rPr>
      </w:pPr>
    </w:p>
    <w:p>
      <w:pPr>
        <w:ind w:right="60" w:firstLine="1297"/>
        <w:spacing w:after="0" w:line="247" w:lineRule="auto"/>
        <w:rPr>
          <w:sz w:val="20"/>
          <w:szCs w:val="20"/>
          <w:color w:val="auto"/>
        </w:rPr>
      </w:pPr>
      <w:r>
        <w:rPr>
          <w:rFonts w:ascii="Arial" w:cs="Arial" w:eastAsia="Arial" w:hAnsi="Arial"/>
          <w:sz w:val="22"/>
          <w:szCs w:val="22"/>
          <w:color w:val="auto"/>
        </w:rPr>
        <w:t>This AMENDMENT NO. 14 TO THE SHAREHOLDERS’ AGREEMENT OF KIRIN-AMGEN, INC., dated as of March 26, 2014 (this “</w:t>
      </w:r>
      <w:r>
        <w:rPr>
          <w:rFonts w:ascii="Arial" w:cs="Arial" w:eastAsia="Arial" w:hAnsi="Arial"/>
          <w:sz w:val="22"/>
          <w:szCs w:val="22"/>
          <w:u w:val="single" w:color="auto"/>
          <w:color w:val="auto"/>
        </w:rPr>
        <w:t>Amendment Agreement</w:t>
      </w:r>
      <w:r>
        <w:rPr>
          <w:rFonts w:ascii="Arial" w:cs="Arial" w:eastAsia="Arial" w:hAnsi="Arial"/>
          <w:sz w:val="22"/>
          <w:szCs w:val="22"/>
          <w:color w:val="auto"/>
        </w:rPr>
        <w:t>”), is made and entered into by and among Kirin Holdings Company, Limited, a Japanese corporation (“</w:t>
      </w:r>
      <w:r>
        <w:rPr>
          <w:rFonts w:ascii="Arial" w:cs="Arial" w:eastAsia="Arial" w:hAnsi="Arial"/>
          <w:sz w:val="22"/>
          <w:szCs w:val="22"/>
          <w:u w:val="single" w:color="auto"/>
          <w:color w:val="auto"/>
        </w:rPr>
        <w:t>Kirin Holdings</w:t>
      </w:r>
      <w:r>
        <w:rPr>
          <w:rFonts w:ascii="Arial" w:cs="Arial" w:eastAsia="Arial" w:hAnsi="Arial"/>
          <w:sz w:val="22"/>
          <w:szCs w:val="22"/>
          <w:color w:val="auto"/>
        </w:rPr>
        <w:t>”), Kyowa Hakko Kirin Co., Ltd., a Japanese corporation (“</w:t>
      </w:r>
      <w:r>
        <w:rPr>
          <w:rFonts w:ascii="Arial" w:cs="Arial" w:eastAsia="Arial" w:hAnsi="Arial"/>
          <w:sz w:val="22"/>
          <w:szCs w:val="22"/>
          <w:u w:val="single" w:color="auto"/>
          <w:color w:val="auto"/>
        </w:rPr>
        <w:t>KHK</w:t>
      </w:r>
      <w:r>
        <w:rPr>
          <w:rFonts w:ascii="Arial" w:cs="Arial" w:eastAsia="Arial" w:hAnsi="Arial"/>
          <w:sz w:val="22"/>
          <w:szCs w:val="22"/>
          <w:color w:val="auto"/>
        </w:rPr>
        <w:t>”), Amgen Inc., a Delaware corporation (“</w:t>
      </w:r>
      <w:r>
        <w:rPr>
          <w:rFonts w:ascii="Arial" w:cs="Arial" w:eastAsia="Arial" w:hAnsi="Arial"/>
          <w:sz w:val="22"/>
          <w:szCs w:val="22"/>
          <w:u w:val="single" w:color="auto"/>
          <w:color w:val="auto"/>
        </w:rPr>
        <w:t>Amgen</w:t>
      </w:r>
      <w:r>
        <w:rPr>
          <w:rFonts w:ascii="Arial" w:cs="Arial" w:eastAsia="Arial" w:hAnsi="Arial"/>
          <w:sz w:val="22"/>
          <w:szCs w:val="22"/>
          <w:color w:val="auto"/>
        </w:rPr>
        <w:t>”), and Kirin-Amgen, Inc., a Delaware corporation (“</w:t>
      </w:r>
      <w:r>
        <w:rPr>
          <w:rFonts w:ascii="Arial" w:cs="Arial" w:eastAsia="Arial" w:hAnsi="Arial"/>
          <w:sz w:val="22"/>
          <w:szCs w:val="22"/>
          <w:u w:val="single" w:color="auto"/>
          <w:color w:val="auto"/>
        </w:rPr>
        <w:t>Kirin-Amgen</w:t>
      </w:r>
      <w:r>
        <w:rPr>
          <w:rFonts w:ascii="Arial" w:cs="Arial" w:eastAsia="Arial" w:hAnsi="Arial"/>
          <w:sz w:val="22"/>
          <w:szCs w:val="22"/>
          <w:color w:val="auto"/>
        </w:rPr>
        <w:t>”). All capitalized terms used in this Amendment Agreement and not otherwise defined herein shall have the meanings assigned to such terms in the Shareholders’ Agreement (defined below), as amended hereby.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328" w:lineRule="exact"/>
        <w:rPr>
          <w:sz w:val="20"/>
          <w:szCs w:val="20"/>
          <w:color w:val="auto"/>
        </w:rPr>
      </w:pPr>
    </w:p>
    <w:p>
      <w:pPr>
        <w:ind w:right="360" w:firstLine="1305"/>
        <w:spacing w:after="0" w:line="263" w:lineRule="auto"/>
        <w:tabs>
          <w:tab w:leader="none" w:pos="21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Kirin Holdings, KHK, Amgen and Kirin-Amgen are parties to that certain Shareholders’ Agreement of Kirin-Amgen, Inc., dated May 11, 1984 (as amended, the “</w:t>
      </w:r>
      <w:r>
        <w:rPr>
          <w:rFonts w:ascii="Arial" w:cs="Arial" w:eastAsia="Arial" w:hAnsi="Arial"/>
          <w:sz w:val="22"/>
          <w:szCs w:val="22"/>
          <w:u w:val="single" w:color="auto"/>
          <w:color w:val="auto"/>
        </w:rPr>
        <w:t>Shareholders’ Agreement</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right="260" w:firstLine="1305"/>
        <w:spacing w:after="0" w:line="312" w:lineRule="auto"/>
        <w:tabs>
          <w:tab w:leader="none" w:pos="2143"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parties hereto have entered into various agreements with each other and third parties with respect to the glycoprotein molecule consisting of the amino acid sequence of granulocyte-colony stimulating factor or “</w:t>
      </w:r>
      <w:r>
        <w:rPr>
          <w:rFonts w:ascii="Arial" w:cs="Arial" w:eastAsia="Arial" w:hAnsi="Arial"/>
          <w:sz w:val="19"/>
          <w:szCs w:val="19"/>
          <w:u w:val="single" w:color="auto"/>
          <w:color w:val="auto"/>
        </w:rPr>
        <w:t>G-CSF</w:t>
      </w:r>
      <w:r>
        <w:rPr>
          <w:rFonts w:ascii="Arial" w:cs="Arial" w:eastAsia="Arial" w:hAnsi="Arial"/>
          <w:sz w:val="19"/>
          <w:szCs w:val="19"/>
          <w:color w:val="auto"/>
        </w:rPr>
        <w:t>,” including Amendment No. 8 to the Shareholders’ Agreement of Kirin-Amgen, Inc. dated as of May 28, 1993 (“</w:t>
      </w:r>
      <w:r>
        <w:rPr>
          <w:rFonts w:ascii="Arial" w:cs="Arial" w:eastAsia="Arial" w:hAnsi="Arial"/>
          <w:sz w:val="19"/>
          <w:szCs w:val="19"/>
          <w:u w:val="single" w:color="auto"/>
          <w:color w:val="auto"/>
        </w:rPr>
        <w:t>Amendment No. 8</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right="180" w:firstLine="1305"/>
        <w:spacing w:after="0" w:line="253" w:lineRule="auto"/>
        <w:tabs>
          <w:tab w:leader="none" w:pos="214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parties have benefitted from their relationship with respect to G-CSF and desire to adopt this Amendment Agreement to clarify their agreements and understandings with respect to G-CSF and the payment of royalties on the commercial sale of G-CSF products (“</w:t>
      </w:r>
      <w:r>
        <w:rPr>
          <w:rFonts w:ascii="Arial" w:cs="Arial" w:eastAsia="Arial" w:hAnsi="Arial"/>
          <w:sz w:val="22"/>
          <w:szCs w:val="22"/>
          <w:u w:val="single" w:color="auto"/>
          <w:color w:val="auto"/>
        </w:rPr>
        <w:t>G-CSF Products</w:t>
      </w:r>
      <w:r>
        <w:rPr>
          <w:rFonts w:ascii="Arial" w:cs="Arial" w:eastAsia="Arial" w:hAnsi="Arial"/>
          <w:sz w:val="22"/>
          <w:szCs w:val="22"/>
          <w:color w:val="auto"/>
        </w:rPr>
        <w:t>”); and</w:t>
      </w:r>
    </w:p>
    <w:p>
      <w:pPr>
        <w:spacing w:after="0" w:line="226" w:lineRule="exact"/>
        <w:rPr>
          <w:rFonts w:ascii="Arial" w:cs="Arial" w:eastAsia="Arial" w:hAnsi="Arial"/>
          <w:sz w:val="22"/>
          <w:szCs w:val="22"/>
          <w:color w:val="auto"/>
        </w:rPr>
      </w:pPr>
    </w:p>
    <w:p>
      <w:pPr>
        <w:jc w:val="both"/>
        <w:ind w:right="40" w:firstLine="1305"/>
        <w:spacing w:after="0" w:line="343" w:lineRule="auto"/>
        <w:tabs>
          <w:tab w:leader="none" w:pos="2155" w:val="left"/>
        </w:tabs>
        <w:numPr>
          <w:ilvl w:val="0"/>
          <w:numId w:val="61"/>
        </w:numPr>
        <w:rPr>
          <w:rFonts w:ascii="Arial" w:cs="Arial" w:eastAsia="Arial" w:hAnsi="Arial"/>
          <w:sz w:val="19"/>
          <w:szCs w:val="19"/>
          <w:color w:val="auto"/>
        </w:rPr>
      </w:pPr>
      <w:r>
        <w:rPr>
          <w:rFonts w:ascii="Arial" w:cs="Arial" w:eastAsia="Arial" w:hAnsi="Arial"/>
          <w:sz w:val="19"/>
          <w:szCs w:val="19"/>
          <w:color w:val="auto"/>
        </w:rPr>
        <w:t>Pursuant to that certain Agreement by and between Sloan-Kettering Institute for Cancer Research (“</w:t>
      </w:r>
      <w:r>
        <w:rPr>
          <w:rFonts w:ascii="Arial" w:cs="Arial" w:eastAsia="Arial" w:hAnsi="Arial"/>
          <w:sz w:val="19"/>
          <w:szCs w:val="19"/>
          <w:u w:val="single" w:color="auto"/>
          <w:color w:val="auto"/>
        </w:rPr>
        <w:t>SKI</w:t>
      </w:r>
      <w:r>
        <w:rPr>
          <w:rFonts w:ascii="Arial" w:cs="Arial" w:eastAsia="Arial" w:hAnsi="Arial"/>
          <w:sz w:val="19"/>
          <w:szCs w:val="19"/>
          <w:color w:val="auto"/>
        </w:rPr>
        <w:t>”) and Amgen dated February 12, 1986, as amended (“</w:t>
      </w:r>
      <w:r>
        <w:rPr>
          <w:rFonts w:ascii="Arial" w:cs="Arial" w:eastAsia="Arial" w:hAnsi="Arial"/>
          <w:sz w:val="19"/>
          <w:szCs w:val="19"/>
          <w:u w:val="single" w:color="auto"/>
          <w:color w:val="auto"/>
        </w:rPr>
        <w:t>SKI Agreement</w:t>
      </w:r>
      <w:r>
        <w:rPr>
          <w:rFonts w:ascii="Arial" w:cs="Arial" w:eastAsia="Arial" w:hAnsi="Arial"/>
          <w:sz w:val="19"/>
          <w:szCs w:val="19"/>
          <w:color w:val="auto"/>
        </w:rPr>
        <w:t>”), Kirin-Amgen is defined as an affiliate of Amgen thereunder.</w:t>
      </w:r>
    </w:p>
    <w:p>
      <w:pPr>
        <w:spacing w:after="0" w:line="145" w:lineRule="exact"/>
        <w:rPr>
          <w:sz w:val="20"/>
          <w:szCs w:val="20"/>
          <w:color w:val="auto"/>
        </w:rPr>
      </w:pPr>
    </w:p>
    <w:p>
      <w:pPr>
        <w:ind w:right="480" w:firstLine="1297"/>
        <w:spacing w:after="0" w:line="263" w:lineRule="auto"/>
        <w:rPr>
          <w:sz w:val="20"/>
          <w:szCs w:val="20"/>
          <w:color w:val="auto"/>
        </w:rPr>
      </w:pPr>
      <w:r>
        <w:rPr>
          <w:rFonts w:ascii="Arial" w:cs="Arial" w:eastAsia="Arial" w:hAnsi="Arial"/>
          <w:sz w:val="22"/>
          <w:szCs w:val="22"/>
          <w:color w:val="auto"/>
        </w:rPr>
        <w:t>NOW, THEREFORE, in consideration of the mutual covenants set forth herein and for other good and valuable consideration, the receipt of which is hereby acknowledged, the parties hereby agree as follows:</w:t>
      </w:r>
    </w:p>
    <w:p>
      <w:pPr>
        <w:spacing w:after="0" w:line="17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ROYALTIES UNDER SKI AGREEMENT</w:t>
      </w:r>
    </w:p>
    <w:p>
      <w:pPr>
        <w:spacing w:after="0" w:line="26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References to Amended SKI Agreement</w:t>
      </w:r>
    </w:p>
    <w:p>
      <w:pPr>
        <w:spacing w:after="0" w:line="260"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9"/>
          <w:szCs w:val="19"/>
          <w:color w:val="auto"/>
        </w:rPr>
        <w:t>Each of Kirin Holdings, KHK, Amgen and Kirin-Amgen hereby agrees that all references to the “Amended SKI Agreement” contained in Amendment No. 8 and herein shall refer to the SKI Agreement as amended as of the date of this Amendment Agreement, including, without limitation, as amended by that certain (i) letter dated September 19, 1986, (ii) Consent and Amendment to SKI License dated as of May 15, 1987, (iii) Consent and Amendment No. 2 dated as of November 13, 1990,</w:t>
      </w:r>
    </w:p>
    <w:p>
      <w:pPr>
        <w:spacing w:after="0" w:line="3" w:lineRule="exact"/>
        <w:rPr>
          <w:sz w:val="20"/>
          <w:szCs w:val="20"/>
          <w:color w:val="auto"/>
        </w:rPr>
      </w:pPr>
    </w:p>
    <w:p>
      <w:pPr>
        <w:ind w:right="40" w:firstLine="8"/>
        <w:spacing w:after="0" w:line="281" w:lineRule="auto"/>
        <w:tabs>
          <w:tab w:leader="none" w:pos="366"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Consent and Amendment No. 3 dated as of December 1, 1993, (v) Amendment Number Four to License Agreement dated as of December 23, 2003, and (vi) Amendment Number Five to License Agreement dated July 16, 2008. Furthermore, any references to</w:t>
      </w:r>
    </w:p>
    <w:p>
      <w:pPr>
        <w:spacing w:after="0" w:line="1" w:lineRule="exact"/>
        <w:rPr>
          <w:rFonts w:ascii="Arial" w:cs="Arial" w:eastAsia="Arial" w:hAnsi="Arial"/>
          <w:sz w:val="19"/>
          <w:szCs w:val="19"/>
          <w:color w:val="auto"/>
        </w:rPr>
      </w:pPr>
    </w:p>
    <w:p>
      <w:pPr>
        <w:ind w:right="940"/>
        <w:spacing w:after="0" w:line="323" w:lineRule="auto"/>
        <w:rPr>
          <w:rFonts w:ascii="Arial" w:cs="Arial" w:eastAsia="Arial" w:hAnsi="Arial"/>
          <w:sz w:val="19"/>
          <w:szCs w:val="19"/>
          <w:color w:val="auto"/>
        </w:rPr>
      </w:pPr>
      <w:r>
        <w:rPr>
          <w:rFonts w:ascii="Arial" w:cs="Arial" w:eastAsia="Arial" w:hAnsi="Arial"/>
          <w:sz w:val="19"/>
          <w:szCs w:val="19"/>
          <w:color w:val="auto"/>
        </w:rPr>
        <w:t>(a) royalties payable to SKI or (b) the SKI Agreement (whether using the term SKI Agreement or otherwise) in any other agreement between any of the parties to this Amendment Agreement shall refer to (x) royalties payable under the SKI</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5" w:name="page106"/>
    <w:bookmarkEnd w:id="105"/>
    <w:p>
      <w:pPr>
        <w:spacing w:after="0" w:line="263" w:lineRule="auto"/>
        <w:rPr>
          <w:sz w:val="20"/>
          <w:szCs w:val="20"/>
          <w:color w:val="auto"/>
        </w:rPr>
      </w:pPr>
      <w:r>
        <w:rPr>
          <w:rFonts w:ascii="Arial" w:cs="Arial" w:eastAsia="Arial" w:hAnsi="Arial"/>
          <w:sz w:val="21"/>
          <w:szCs w:val="21"/>
          <w:color w:val="auto"/>
        </w:rPr>
        <w:t>Agreement or (y) the SKI Agreement, in either case, as amended as of the date of this Amendment Agreement, including, without limitation, as amended by that certain (i) letter dated September 19, 1986, (ii) Consent and Amendment to SKI License dated as of May 15, 1987, (iii) Consent and Amendment No. 2 dated as of November 13, 1990, (iv) Consent and Amendment No. 3 dated as of December 1, 1993, (v) Amendment Number Four to License Agreement dated as of December 23, 2003, and (vi) Amendment Number Five to License Agreement dated July 16, 2008.</w:t>
      </w:r>
    </w:p>
    <w:p>
      <w:pPr>
        <w:spacing w:after="0" w:line="17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Royalties for G-CSF Product Sales in Japan</w:t>
      </w:r>
    </w:p>
    <w:p>
      <w:pPr>
        <w:spacing w:after="0" w:line="260"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The parties hereto confirm that in accordance with the G-CSF Japanese License Agreement, Kirin-Amgen shall pay to SKI all royalties payable by Amgen to SKI pursuant to the Amended SKI Agreement with respect to sales of G-CSF Products in Japan. It is understood and hereby agreed to by the parties that notwithstanding the provisions of Amendment No. 8 or the G-CSF Japanese License Agreement, KHK shall have no obligation to pay under either of Amendment No. 8 or the G-CSF Japanese License Agreement any royalties to Kirin-Amgen for sales of pegfilgrastim in Japan.</w:t>
      </w: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6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u w:val="single" w:color="auto"/>
          <w:color w:val="auto"/>
        </w:rPr>
        <w:t>No Further Amendment</w:t>
      </w:r>
    </w:p>
    <w:p>
      <w:pPr>
        <w:spacing w:after="0" w:line="260" w:lineRule="exact"/>
        <w:rPr>
          <w:sz w:val="20"/>
          <w:szCs w:val="20"/>
          <w:color w:val="auto"/>
        </w:rPr>
      </w:pPr>
    </w:p>
    <w:p>
      <w:pPr>
        <w:ind w:right="420" w:firstLine="1297"/>
        <w:spacing w:after="0" w:line="253" w:lineRule="auto"/>
        <w:rPr>
          <w:sz w:val="20"/>
          <w:szCs w:val="20"/>
          <w:color w:val="auto"/>
        </w:rPr>
      </w:pPr>
      <w:r>
        <w:rPr>
          <w:rFonts w:ascii="Arial" w:cs="Arial" w:eastAsia="Arial" w:hAnsi="Arial"/>
          <w:sz w:val="22"/>
          <w:szCs w:val="22"/>
          <w:color w:val="auto"/>
        </w:rPr>
        <w:t>Except as expressly set forth in this Amendment Agreement, all the terms and conditions of the Shareholders’ Agreement shall remain unchanged and in full force and effect and shall continue to be binding between or among KHK, Kirin Holdings and either or both of Amgen and Kirin-Amgen, as the case may be.</w:t>
      </w:r>
    </w:p>
    <w:p>
      <w:pPr>
        <w:spacing w:after="0" w:line="18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Entire Agreement; Amendment</w:t>
      </w:r>
    </w:p>
    <w:p>
      <w:pPr>
        <w:spacing w:after="0" w:line="260" w:lineRule="exact"/>
        <w:rPr>
          <w:sz w:val="20"/>
          <w:szCs w:val="20"/>
          <w:color w:val="auto"/>
        </w:rPr>
      </w:pPr>
    </w:p>
    <w:p>
      <w:pPr>
        <w:ind w:right="340" w:firstLine="1297"/>
        <w:spacing w:after="0" w:line="302" w:lineRule="auto"/>
        <w:rPr>
          <w:sz w:val="20"/>
          <w:szCs w:val="20"/>
          <w:color w:val="auto"/>
        </w:rPr>
      </w:pPr>
      <w:r>
        <w:rPr>
          <w:rFonts w:ascii="Arial" w:cs="Arial" w:eastAsia="Arial" w:hAnsi="Arial"/>
          <w:sz w:val="19"/>
          <w:szCs w:val="19"/>
          <w:color w:val="auto"/>
        </w:rPr>
        <w:t>This Amendment Agreement (together with all documents and instruments referenced herein) constitutes the full and complete agreement and understanding between the parties hereto and shall supersede any and all prior written and oral agreements concerning the subject matter contained herein. This Amendment Agreement may not be modified or amended, nor may any provision hereof be waived without a written instrument executed by the parties hereto.</w:t>
      </w:r>
    </w:p>
    <w:p>
      <w:pPr>
        <w:spacing w:after="0" w:line="14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Waiver</w:t>
      </w:r>
    </w:p>
    <w:p>
      <w:pPr>
        <w:spacing w:after="0" w:line="260" w:lineRule="exact"/>
        <w:rPr>
          <w:sz w:val="20"/>
          <w:szCs w:val="20"/>
          <w:color w:val="auto"/>
        </w:rPr>
      </w:pPr>
    </w:p>
    <w:p>
      <w:pPr>
        <w:ind w:right="80" w:firstLine="1297"/>
        <w:spacing w:after="0" w:line="302" w:lineRule="auto"/>
        <w:rPr>
          <w:sz w:val="20"/>
          <w:szCs w:val="20"/>
          <w:color w:val="auto"/>
        </w:rPr>
      </w:pPr>
      <w:r>
        <w:rPr>
          <w:rFonts w:ascii="Arial" w:cs="Arial" w:eastAsia="Arial" w:hAnsi="Arial"/>
          <w:sz w:val="19"/>
          <w:szCs w:val="19"/>
          <w:color w:val="auto"/>
        </w:rPr>
        <w:t>No failure or delay by any party to insist upon the strict performance of any term, condition, covenant or agreement of this Amendment Agreement, or to exercise any right, power or remedy hereunder or thereunder or consequent upon a breach hereof or thereof shall constitute a waiver of any such term, condition, covenant, agreement, right, power or remedy or of any such breach or preclude such party from exercising any such right, power or remedy at any later time or times.</w:t>
      </w:r>
    </w:p>
    <w:p>
      <w:pPr>
        <w:spacing w:after="0" w:line="14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u w:val="single" w:color="auto"/>
          <w:color w:val="auto"/>
        </w:rPr>
        <w:t>Headings</w:t>
      </w:r>
    </w:p>
    <w:p>
      <w:pPr>
        <w:spacing w:after="0" w:line="260" w:lineRule="exact"/>
        <w:rPr>
          <w:sz w:val="20"/>
          <w:szCs w:val="20"/>
          <w:color w:val="auto"/>
        </w:rPr>
      </w:pPr>
    </w:p>
    <w:p>
      <w:pPr>
        <w:ind w:right="400" w:firstLine="1297"/>
        <w:spacing w:after="0" w:line="263" w:lineRule="auto"/>
        <w:rPr>
          <w:sz w:val="20"/>
          <w:szCs w:val="20"/>
          <w:color w:val="auto"/>
        </w:rPr>
      </w:pPr>
      <w:r>
        <w:rPr>
          <w:rFonts w:ascii="Arial" w:cs="Arial" w:eastAsia="Arial" w:hAnsi="Arial"/>
          <w:sz w:val="22"/>
          <w:szCs w:val="22"/>
          <w:color w:val="auto"/>
        </w:rPr>
        <w:t>Headings in this Amendment Agreement are included herein for the convenience of reference only and shall not constitute a part of this Amendment Agreement for any purpose.</w:t>
      </w:r>
    </w:p>
    <w:p>
      <w:pPr>
        <w:spacing w:after="0" w:line="17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19"/>
          <w:szCs w:val="19"/>
          <w:u w:val="single" w:color="auto"/>
          <w:color w:val="auto"/>
        </w:rPr>
        <w:t>Governing Law</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Amendment Agreement shall be construed in accordance with the internal laws, and</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75" w:right="25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not the law of conflicts, of the State of California applicable to agreements made and to be performed in such state.</w:t>
      </w:r>
    </w:p>
    <w:p>
      <w:pPr>
        <w:spacing w:after="0" w:line="22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u w:val="single" w:color="auto"/>
          <w:color w:val="auto"/>
        </w:rPr>
        <w:t>Binding Effect</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This Amendment Agreement shall be binding upon and inure to the benefit of the parties hereto, their successors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assigns.</w:t>
      </w:r>
    </w:p>
    <w:p>
      <w:pPr>
        <w:spacing w:after="0" w:line="202"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19"/>
          <w:szCs w:val="19"/>
          <w:u w:val="single" w:color="auto"/>
          <w:color w:val="auto"/>
        </w:rPr>
        <w:t>Counterparts</w:t>
      </w:r>
    </w:p>
    <w:p>
      <w:pPr>
        <w:spacing w:after="0" w:line="260" w:lineRule="exact"/>
        <w:rPr>
          <w:sz w:val="20"/>
          <w:szCs w:val="20"/>
          <w:color w:val="auto"/>
        </w:rPr>
      </w:pPr>
    </w:p>
    <w:p>
      <w:pPr>
        <w:ind w:right="320" w:firstLine="1297"/>
        <w:spacing w:after="0" w:line="263" w:lineRule="auto"/>
        <w:rPr>
          <w:sz w:val="20"/>
          <w:szCs w:val="20"/>
          <w:color w:val="auto"/>
        </w:rPr>
      </w:pPr>
      <w:r>
        <w:rPr>
          <w:rFonts w:ascii="Arial" w:cs="Arial" w:eastAsia="Arial" w:hAnsi="Arial"/>
          <w:sz w:val="22"/>
          <w:szCs w:val="22"/>
          <w:color w:val="auto"/>
        </w:rPr>
        <w:t>This Amendment Agreement may be executed in one or more counterparts by the parties hereto. All counterparts shall be construed together and shall constitute one agreement.</w:t>
      </w:r>
    </w:p>
    <w:p>
      <w:pPr>
        <w:spacing w:after="0" w:line="17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21"/>
          <w:szCs w:val="21"/>
          <w:u w:val="single" w:color="auto"/>
          <w:color w:val="auto"/>
        </w:rPr>
        <w:t>Validity</w:t>
      </w:r>
    </w:p>
    <w:p>
      <w:pPr>
        <w:spacing w:after="0" w:line="260"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9"/>
          <w:szCs w:val="19"/>
          <w:color w:val="auto"/>
        </w:rPr>
        <w:t>If for any reason any clause or provision of this Amendment Agreement, or the application of any such clause or provision in a particular context or to a particular situation, circumstance or person, should be held unenforceable, invalid or in violation of law by any court or other tribunal, then the application of such clause or provision in contexts or to situations, circumstances or persons other than that in or to which it is held unenforceable, invalid or in violation of law shall not be affected thereby, and the remaining clauses and provisions hereof shall nevertheless remain in full force and effect.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07" w:name="page108"/>
    <w:bookmarkEnd w:id="107"/>
    <w:p>
      <w:pPr>
        <w:ind w:firstLine="1297"/>
        <w:spacing w:after="0" w:line="263" w:lineRule="auto"/>
        <w:rPr>
          <w:sz w:val="20"/>
          <w:szCs w:val="20"/>
          <w:color w:val="auto"/>
        </w:rPr>
      </w:pPr>
      <w:r>
        <w:rPr>
          <w:rFonts w:ascii="Arial" w:cs="Arial" w:eastAsia="Arial" w:hAnsi="Arial"/>
          <w:sz w:val="22"/>
          <w:szCs w:val="22"/>
          <w:color w:val="auto"/>
        </w:rPr>
        <w:t>IN WITNESS WHEREOF, the undersigned have caused this Amendment Agreement to be executed by their duly authorized representatives in the manner legally binding upon them.</w:t>
      </w:r>
    </w:p>
    <w:p>
      <w:pPr>
        <w:spacing w:after="0" w:line="32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KIRIN HOLDINGS COMPANY, LIMITED</w:t>
      </w:r>
    </w:p>
    <w:p>
      <w:pPr>
        <w:spacing w:after="0" w:line="44" w:lineRule="exact"/>
        <w:rPr>
          <w:sz w:val="20"/>
          <w:szCs w:val="20"/>
          <w:color w:val="auto"/>
        </w:rPr>
      </w:pPr>
    </w:p>
    <w:p>
      <w:pPr>
        <w:ind w:left="6660"/>
        <w:spacing w:after="0"/>
        <w:tabs>
          <w:tab w:leader="none" w:pos="7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Ryosuke Mizouchi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24765</wp:posOffset>
            </wp:positionV>
            <wp:extent cx="264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Name: Ryosuke Mizouchi</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Title: Senior Executive Officer</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Date: March 26, 2014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KYOWA HAKKO KIRIN CO., LTD.</w:t>
      </w:r>
    </w:p>
    <w:p>
      <w:pPr>
        <w:spacing w:after="0" w:line="44" w:lineRule="exact"/>
        <w:rPr>
          <w:sz w:val="20"/>
          <w:szCs w:val="20"/>
          <w:color w:val="auto"/>
        </w:rPr>
      </w:pPr>
    </w:p>
    <w:p>
      <w:pPr>
        <w:ind w:left="6660"/>
        <w:spacing w:after="0"/>
        <w:tabs>
          <w:tab w:leader="none" w:pos="7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Toshitumi Mikayama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24765</wp:posOffset>
            </wp:positionV>
            <wp:extent cx="2641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Name: Toshitumi Mikayama</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Title: Managing Executive Officer</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Date: March 26, 2014</w:t>
      </w:r>
    </w:p>
    <w:p>
      <w:pPr>
        <w:spacing w:after="0" w:line="36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AMGEN INC.</w:t>
      </w:r>
    </w:p>
    <w:p>
      <w:pPr>
        <w:spacing w:after="0" w:line="44" w:lineRule="exact"/>
        <w:rPr>
          <w:sz w:val="20"/>
          <w:szCs w:val="20"/>
          <w:color w:val="auto"/>
        </w:rPr>
      </w:pPr>
    </w:p>
    <w:p>
      <w:pPr>
        <w:ind w:left="6660"/>
        <w:spacing w:after="0"/>
        <w:tabs>
          <w:tab w:leader="none" w:pos="7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William 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24765</wp:posOffset>
            </wp:positionV>
            <wp:extent cx="2641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Name: William Erb</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21"/>
          <w:szCs w:val="21"/>
          <w:color w:val="auto"/>
        </w:rPr>
        <w:t>Title: Vice President Business Development</w:t>
      </w:r>
    </w:p>
    <w:p>
      <w:pPr>
        <w:spacing w:after="0" w:line="56"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Date: March 26, 2014</w:t>
      </w:r>
    </w:p>
    <w:p>
      <w:pPr>
        <w:spacing w:after="0" w:line="36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KIRIN-AMGEN, INC.</w:t>
      </w:r>
    </w:p>
    <w:p>
      <w:pPr>
        <w:spacing w:after="0" w:line="44" w:lineRule="exact"/>
        <w:rPr>
          <w:sz w:val="20"/>
          <w:szCs w:val="20"/>
          <w:color w:val="auto"/>
        </w:rPr>
      </w:pPr>
    </w:p>
    <w:p>
      <w:pPr>
        <w:ind w:left="6660"/>
        <w:spacing w:after="0"/>
        <w:tabs>
          <w:tab w:leader="none" w:pos="7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Niro Sakamoto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24765</wp:posOffset>
            </wp:positionV>
            <wp:extent cx="26416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Name: Niro Sakamoto</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Title: Chairman</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Date: March 26, 2014</w:t>
      </w: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1320" w:right="4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Chairman of the Board, Chief Executive Officer and President of Amgen Inc., certify that:</w:t>
      </w:r>
    </w:p>
    <w:p>
      <w:pPr>
        <w:spacing w:after="0" w:line="144"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4"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20" w:hanging="328"/>
        <w:spacing w:after="0" w:line="342" w:lineRule="auto"/>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42"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30, 2014</w:t>
      </w:r>
      <w:r>
        <w:rPr>
          <w:sz w:val="20"/>
          <w:szCs w:val="20"/>
          <w:color w:val="auto"/>
        </w:rPr>
        <w:tab/>
      </w:r>
      <w:r>
        <w:rPr>
          <w:rFonts w:ascii="Arial" w:cs="Arial" w:eastAsia="Arial" w:hAnsi="Arial"/>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Bradway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9" w:name="page110"/>
    <w:bookmarkEnd w:id="109"/>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A. Kelly, Acting Chief Financial Officer of Amgen Inc., certify that:</w:t>
      </w:r>
    </w:p>
    <w:p>
      <w:pPr>
        <w:spacing w:after="0" w:line="144"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4"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0"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20" w:hanging="328"/>
        <w:spacing w:after="0" w:line="342"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42"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30, 2014</w:t>
      </w:r>
      <w:r>
        <w:rPr>
          <w:sz w:val="20"/>
          <w:szCs w:val="20"/>
          <w:color w:val="auto"/>
        </w:rPr>
        <w:tab/>
      </w:r>
      <w:r>
        <w:rPr>
          <w:rFonts w:ascii="Arial" w:cs="Arial" w:eastAsia="Arial" w:hAnsi="Arial"/>
          <w:sz w:val="18"/>
          <w:szCs w:val="18"/>
          <w:color w:val="auto"/>
        </w:rPr>
        <w:t>/s/ MICHAEL 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A. Kelly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Acting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277"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March 31, 2014 (the “Report”) fully complies with the requirements of Section 13(a) or Section 15(d), as applicable, of the Securities Exchange Act of 1934, as amended; and</w:t>
      </w:r>
    </w:p>
    <w:p>
      <w:pPr>
        <w:spacing w:after="0" w:line="89" w:lineRule="exact"/>
        <w:rPr>
          <w:rFonts w:ascii="Arial" w:cs="Arial" w:eastAsia="Arial" w:hAnsi="Arial"/>
          <w:sz w:val="18"/>
          <w:szCs w:val="18"/>
          <w:color w:val="auto"/>
        </w:rPr>
      </w:pPr>
    </w:p>
    <w:p>
      <w:pPr>
        <w:ind w:left="740" w:hanging="327"/>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520" w:val="left"/>
        </w:tabs>
        <w:rPr>
          <w:sz w:val="20"/>
          <w:szCs w:val="20"/>
          <w:color w:val="auto"/>
        </w:rPr>
      </w:pPr>
      <w:r>
        <w:rPr>
          <w:rFonts w:ascii="Arial" w:cs="Arial" w:eastAsia="Arial" w:hAnsi="Arial"/>
          <w:sz w:val="18"/>
          <w:szCs w:val="18"/>
          <w:color w:val="auto"/>
        </w:rPr>
        <w:t>Dated: April 30, 2014</w:t>
      </w:r>
      <w:r>
        <w:rPr>
          <w:sz w:val="20"/>
          <w:szCs w:val="20"/>
          <w:color w:val="auto"/>
        </w:rPr>
        <w:tab/>
      </w:r>
      <w:r>
        <w:rPr>
          <w:rFonts w:ascii="Arial" w:cs="Arial" w:eastAsia="Arial" w:hAnsi="Arial"/>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A. Bradway</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Chief Executive Officer and President</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March 31, 2014 (the “Report”) fully complies with the requirements of Section 13(a) or Section 15(d), as applicable, of the Securities Exchange Act of 1934, as amended; and</w:t>
      </w:r>
    </w:p>
    <w:p>
      <w:pPr>
        <w:spacing w:after="0" w:line="89" w:lineRule="exact"/>
        <w:rPr>
          <w:rFonts w:ascii="Arial" w:cs="Arial" w:eastAsia="Arial" w:hAnsi="Arial"/>
          <w:sz w:val="18"/>
          <w:szCs w:val="18"/>
          <w:color w:val="auto"/>
        </w:rPr>
      </w:pPr>
    </w:p>
    <w:p>
      <w:pPr>
        <w:ind w:left="740" w:hanging="327"/>
        <w:spacing w:after="0"/>
        <w:tabs>
          <w:tab w:leader="none" w:pos="7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620" w:val="left"/>
        </w:tabs>
        <w:rPr>
          <w:sz w:val="20"/>
          <w:szCs w:val="20"/>
          <w:color w:val="auto"/>
        </w:rPr>
      </w:pPr>
      <w:r>
        <w:rPr>
          <w:rFonts w:ascii="Arial" w:cs="Arial" w:eastAsia="Arial" w:hAnsi="Arial"/>
          <w:sz w:val="18"/>
          <w:szCs w:val="18"/>
          <w:color w:val="auto"/>
        </w:rPr>
        <w:t>Dated: April 30, 2014</w:t>
      </w:r>
      <w:r>
        <w:rPr>
          <w:sz w:val="20"/>
          <w:szCs w:val="20"/>
          <w:color w:val="auto"/>
        </w:rPr>
        <w:tab/>
      </w:r>
      <w:r>
        <w:rPr>
          <w:rFonts w:ascii="Arial" w:cs="Arial" w:eastAsia="Arial" w:hAnsi="Arial"/>
          <w:sz w:val="17"/>
          <w:szCs w:val="17"/>
          <w:color w:val="auto"/>
        </w:rPr>
        <w:t>/s/ MICHAEL 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Michael A. Kelly</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Acting Chief Financial Officer</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upperLetter"/>
      <w:start w:val="9"/>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2"/>
      <w:numFmt w:val="bullet"/>
      <w:start w:val="1"/>
    </w:lvl>
  </w:abstractNum>
  <w:abstractNum w:abstractNumId="8">
    <w:nsid w:val="2463B9EA"/>
    <w:multiLevelType w:val="hybridMultilevel"/>
    <w:lvl w:ilvl="0">
      <w:lvlJc w:val="left"/>
      <w:lvlText w:val="%1."/>
      <w:numFmt w:val="lowerLetter"/>
      <w:start w:val="2"/>
    </w:lvl>
  </w:abstractNum>
  <w:abstractNum w:abstractNumId="9">
    <w:nsid w:val="5E884ADC"/>
    <w:multiLevelType w:val="hybridMultilevel"/>
    <w:lvl w:ilvl="0">
      <w:lvlJc w:val="left"/>
      <w:lvlText w:val="3"/>
      <w:numFmt w:val="bullet"/>
      <w:start w:val="1"/>
    </w:lvl>
  </w:abstractNum>
  <w:abstractNum w:abstractNumId="10">
    <w:nsid w:val="51EAD36B"/>
    <w:multiLevelType w:val="hybridMultilevel"/>
    <w:lvl w:ilvl="0">
      <w:lvlJc w:val="left"/>
      <w:lvlText w:val="%1."/>
      <w:numFmt w:val="lowerLetter"/>
      <w:start w:val="5"/>
    </w:lvl>
  </w:abstractNum>
  <w:abstractNum w:abstractNumId="11">
    <w:nsid w:val="2D517796"/>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2">
    <w:nsid w:val="580BD78F"/>
    <w:multiLevelType w:val="hybridMultilevel"/>
    <w:lvl w:ilvl="0">
      <w:lvlJc w:val="left"/>
      <w:lvlText w:val="(%1)"/>
      <w:numFmt w:val="lowerRoman"/>
      <w:start w:val="2"/>
    </w:lvl>
    <w:lvl w:ilvl="1">
      <w:lvlJc w:val="left"/>
      <w:lvlText w:val="(%2)"/>
      <w:numFmt w:val="lowerRoman"/>
      <w:start w:val="3"/>
    </w:lvl>
    <w:lvl w:ilvl="2">
      <w:lvlJc w:val="left"/>
      <w:lvlText w:val="(%3)"/>
      <w:numFmt w:val="lowerLetter"/>
      <w:start w:val="1"/>
    </w:lvl>
  </w:abstractNum>
  <w:abstractNum w:abstractNumId="13">
    <w:nsid w:val="153EA438"/>
    <w:multiLevelType w:val="hybridMultilevel"/>
    <w:lvl w:ilvl="0">
      <w:lvlJc w:val="left"/>
      <w:lvlText w:val="(%1)"/>
      <w:numFmt w:val="lowerRoman"/>
      <w:start w:val="5"/>
    </w:lvl>
    <w:lvl w:ilvl="1">
      <w:lvlJc w:val="left"/>
      <w:lvlText w:val="(%2)"/>
      <w:numFmt w:val="upperLetter"/>
      <w:start w:val="1"/>
    </w:lvl>
  </w:abstractNum>
  <w:abstractNum w:abstractNumId="14">
    <w:nsid w:val="3855585C"/>
    <w:multiLevelType w:val="hybridMultilevel"/>
    <w:lvl w:ilvl="0">
      <w:lvlJc w:val="left"/>
      <w:lvlText w:val="(%1)"/>
      <w:numFmt w:val="lowerRoman"/>
      <w:start w:val="6"/>
    </w:lvl>
  </w:abstractNum>
  <w:abstractNum w:abstractNumId="15">
    <w:nsid w:val="70A64E2A"/>
    <w:multiLevelType w:val="hybridMultilevel"/>
    <w:lvl w:ilvl="0">
      <w:lvlJc w:val="left"/>
      <w:lvlText w:val="%1."/>
      <w:numFmt w:val="upperLetter"/>
      <w:start w:val="35"/>
    </w:lvl>
  </w:abstractNum>
  <w:abstractNum w:abstractNumId="16">
    <w:nsid w:val="6A2342EC"/>
    <w:multiLevelType w:val="hybridMultilevel"/>
    <w:lvl w:ilvl="0">
      <w:lvlJc w:val="left"/>
      <w:lvlText w:val="%1."/>
      <w:numFmt w:val="upperLetter"/>
      <w:start w:val="61"/>
    </w:lvl>
  </w:abstractNum>
  <w:abstractNum w:abstractNumId="17">
    <w:nsid w:val="2A487CB0"/>
    <w:multiLevelType w:val="hybridMultilevel"/>
    <w:lvl w:ilvl="0">
      <w:lvlJc w:val="left"/>
      <w:lvlText w:val="(%1)"/>
      <w:numFmt w:val="lowerLetter"/>
      <w:start w:val="1"/>
    </w:lvl>
  </w:abstractNum>
  <w:abstractNum w:abstractNumId="18">
    <w:nsid w:val="1D4ED43B"/>
    <w:multiLevelType w:val="hybridMultilevel"/>
    <w:lvl w:ilvl="0">
      <w:lvlJc w:val="left"/>
      <w:lvlText w:val="4"/>
      <w:numFmt w:val="bullet"/>
      <w:start w:val="1"/>
    </w:lvl>
  </w:abstractNum>
  <w:abstractNum w:abstractNumId="19">
    <w:nsid w:val="725A06FB"/>
    <w:multiLevelType w:val="hybridMultilevel"/>
    <w:lvl w:ilvl="0">
      <w:lvlJc w:val="left"/>
      <w:lvlText w:val="%1"/>
      <w:numFmt w:val="upperLetter"/>
      <w:start w:val="1"/>
    </w:lvl>
    <w:lvl w:ilvl="1">
      <w:lvlJc w:val="left"/>
      <w:lvlText w:val="(%2)"/>
      <w:numFmt w:val="lowerLetter"/>
      <w:start w:val="1"/>
    </w:lvl>
  </w:abstractNum>
  <w:abstractNum w:abstractNumId="20">
    <w:nsid w:val="2CD89A32"/>
    <w:multiLevelType w:val="hybridMultilevel"/>
    <w:lvl w:ilvl="0">
      <w:lvlJc w:val="left"/>
      <w:lvlText w:val="%1."/>
      <w:numFmt w:val="upperLetter"/>
      <w:start w:val="22"/>
    </w:lvl>
    <w:lvl w:ilvl="1">
      <w:lvlJc w:val="left"/>
      <w:lvlText w:val="%2"/>
      <w:numFmt w:val="lowerLetter"/>
      <w:start w:val="1"/>
    </w:lvl>
  </w:abstractNum>
  <w:abstractNum w:abstractNumId="21">
    <w:nsid w:val="57E4CCAF"/>
    <w:multiLevelType w:val="hybridMultilevel"/>
    <w:lvl w:ilvl="0">
      <w:lvlJc w:val="left"/>
      <w:lvlText w:val="%1."/>
      <w:numFmt w:val="upperLetter"/>
      <w:start w:val="24"/>
    </w:lvl>
  </w:abstractNum>
  <w:abstractNum w:abstractNumId="22">
    <w:nsid w:val="7A6D8D3C"/>
    <w:multiLevelType w:val="hybridMultilevel"/>
    <w:lvl w:ilvl="0">
      <w:lvlJc w:val="left"/>
      <w:lvlText w:val="(%1)"/>
      <w:numFmt w:val="lowerLetter"/>
      <w:start w:val="1"/>
    </w:lvl>
    <w:lvl w:ilvl="1">
      <w:lvlJc w:val="left"/>
      <w:lvlText w:val="(%2)"/>
      <w:numFmt w:val="lowerLetter"/>
      <w:start w:val="9"/>
    </w:lvl>
  </w:abstractNum>
  <w:abstractNum w:abstractNumId="23">
    <w:nsid w:val="4B588F54"/>
    <w:multiLevelType w:val="hybridMultilevel"/>
    <w:lvl w:ilvl="0">
      <w:lvlJc w:val="left"/>
      <w:lvlText w:val="(%1)"/>
      <w:numFmt w:val="lowerRoman"/>
      <w:start w:val="2"/>
    </w:lvl>
  </w:abstractNum>
  <w:abstractNum w:abstractNumId="24">
    <w:nsid w:val="542289EC"/>
    <w:multiLevelType w:val="hybridMultilevel"/>
    <w:lvl w:ilvl="0">
      <w:lvlJc w:val="left"/>
      <w:lvlText w:val="%1."/>
      <w:numFmt w:val="lowerLetter"/>
      <w:start w:val="1"/>
    </w:lvl>
  </w:abstractNum>
  <w:abstractNum w:abstractNumId="25">
    <w:nsid w:val="6DE91B18"/>
    <w:multiLevelType w:val="hybridMultilevel"/>
    <w:lvl w:ilvl="0">
      <w:lvlJc w:val="left"/>
      <w:lvlText w:val="(%1)"/>
      <w:numFmt w:val="lowerRoman"/>
      <w:start w:val="1"/>
    </w:lvl>
  </w:abstractNum>
  <w:abstractNum w:abstractNumId="26">
    <w:nsid w:val="38437FDB"/>
    <w:multiLevelType w:val="hybridMultilevel"/>
    <w:lvl w:ilvl="0">
      <w:lvlJc w:val="left"/>
      <w:lvlText w:val="(%1)"/>
      <w:numFmt w:val="decimal"/>
      <w:start w:val="5"/>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lowerRoman"/>
      <w:start w:val="1"/>
    </w:lvl>
  </w:abstractNum>
  <w:abstractNum w:abstractNumId="30">
    <w:nsid w:val="579478FE"/>
    <w:multiLevelType w:val="hybridMultilevel"/>
    <w:lvl w:ilvl="0">
      <w:lvlJc w:val="left"/>
      <w:lvlText w:val="(%1)"/>
      <w:numFmt w:val="decimal"/>
      <w:start w:val="2"/>
    </w:lvl>
  </w:abstractNum>
  <w:abstractNum w:abstractNumId="31">
    <w:nsid w:val="749ABB43"/>
    <w:multiLevelType w:val="hybridMultilevel"/>
    <w:lvl w:ilvl="0">
      <w:lvlJc w:val="left"/>
      <w:lvlText w:val="(%1)"/>
      <w:numFmt w:val="lowerRoman"/>
      <w:start w:val="1"/>
    </w:lvl>
  </w:abstractNum>
  <w:abstractNum w:abstractNumId="32">
    <w:nsid w:val="3DC240FB"/>
    <w:multiLevelType w:val="hybridMultilevel"/>
    <w:lvl w:ilvl="0">
      <w:lvlJc w:val="left"/>
      <w:lvlText w:val="(%1)"/>
      <w:numFmt w:val="decimal"/>
      <w:start w:val="6"/>
    </w:lvl>
  </w:abstractNum>
  <w:abstractNum w:abstractNumId="33">
    <w:nsid w:val="1BA026FA"/>
    <w:multiLevelType w:val="hybridMultilevel"/>
    <w:lvl w:ilvl="0">
      <w:lvlJc w:val="left"/>
      <w:lvlText w:val="(%1)"/>
      <w:numFmt w:val="lowerRoman"/>
      <w:start w:val="1"/>
    </w:lvl>
  </w:abstractNum>
  <w:abstractNum w:abstractNumId="34">
    <w:nsid w:val="79A1DEAA"/>
    <w:multiLevelType w:val="hybridMultilevel"/>
    <w:lvl w:ilvl="0">
      <w:lvlJc w:val="left"/>
      <w:lvlText w:val="1"/>
      <w:numFmt w:val="bullet"/>
      <w:start w:val="1"/>
    </w:lvl>
  </w:abstractNum>
  <w:abstractNum w:abstractNumId="35">
    <w:nsid w:val="75C6C33A"/>
    <w:multiLevelType w:val="hybridMultilevel"/>
    <w:lvl w:ilvl="0">
      <w:lvlJc w:val="left"/>
      <w:lvlText w:val="%1."/>
      <w:numFmt w:val="upperLetter"/>
      <w:start w:val="9"/>
    </w:lvl>
  </w:abstractNum>
  <w:abstractNum w:abstractNumId="36">
    <w:nsid w:val="12E685FB"/>
    <w:multiLevelType w:val="hybridMultilevel"/>
    <w:lvl w:ilvl="0">
      <w:lvlJc w:val="left"/>
      <w:lvlText w:val="%1."/>
      <w:numFmt w:val="upperLetter"/>
      <w:start w:val="35"/>
    </w:lvl>
  </w:abstractNum>
  <w:abstractNum w:abstractNumId="37">
    <w:nsid w:val="70C6A529"/>
    <w:multiLevelType w:val="hybridMultilevel"/>
    <w:lvl w:ilvl="0">
      <w:lvlJc w:val="left"/>
      <w:lvlText w:val="%1."/>
      <w:numFmt w:val="upperLetter"/>
      <w:start w:val="61"/>
    </w:lvl>
  </w:abstractNum>
  <w:abstractNum w:abstractNumId="38">
    <w:nsid w:val="520EEDD1"/>
    <w:multiLevelType w:val="hybridMultilevel"/>
    <w:lvl w:ilvl="0">
      <w:lvlJc w:val="left"/>
      <w:lvlText w:val="%1."/>
      <w:numFmt w:val="upperLetter"/>
      <w:start w:val="22"/>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2"/>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2"/>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upperLetter"/>
      <w:start w:val="1"/>
    </w:lvl>
    <w:lvl w:ilvl="1">
      <w:lvlJc w:val="left"/>
      <w:lvlText w:val="(%2)"/>
      <w:numFmt w:val="lowerLetter"/>
      <w:start w:val="7"/>
    </w:lvl>
    <w:lvl w:ilvl="2">
      <w:lvlJc w:val="left"/>
      <w:lvlText w:val="(%3)"/>
      <w:numFmt w:val="upperLetter"/>
      <w:start w:val="1"/>
    </w:lvl>
  </w:abstractNum>
  <w:abstractNum w:abstractNumId="45">
    <w:nsid w:val="1CF10FD8"/>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abstractNum>
  <w:abstractNum w:abstractNumId="46">
    <w:nsid w:val="180115BE"/>
    <w:multiLevelType w:val="hybridMultilevel"/>
    <w:lvl w:ilvl="0">
      <w:lvlJc w:val="left"/>
      <w:lvlText w:val="(%1)"/>
      <w:numFmt w:val="decimal"/>
      <w:start w:val="5"/>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4"/>
    </w:lvl>
  </w:abstractNum>
  <w:abstractNum w:abstractNumId="49">
    <w:nsid w:val="354FE9F9"/>
    <w:multiLevelType w:val="hybridMultilevel"/>
    <w:lvl w:ilvl="0">
      <w:lvlJc w:val="left"/>
      <w:lvlText w:val="%1."/>
      <w:numFmt w:val="upperLetter"/>
      <w:start w:val="50"/>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5"/>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4"/>
    </w:lvl>
  </w:abstractNum>
  <w:abstractNum w:abstractNumId="55">
    <w:nsid w:val="61574095"/>
    <w:multiLevelType w:val="hybridMultilevel"/>
    <w:lvl w:ilvl="0">
      <w:lvlJc w:val="left"/>
      <w:lvlText w:val="&amp;"/>
      <w:numFmt w:val="bullet"/>
      <w:start w:val="1"/>
    </w:lvl>
  </w:abstractNum>
  <w:abstractNum w:abstractNumId="56">
    <w:nsid w:val="7E0C57B1"/>
    <w:multiLevelType w:val="hybridMultilevel"/>
    <w:lvl w:ilvl="0">
      <w:lvlJc w:val="left"/>
      <w:lvlText w:val="(%1)"/>
      <w:numFmt w:val="decimal"/>
      <w:start w:val="2"/>
    </w:lvl>
  </w:abstractNum>
  <w:abstractNum w:abstractNumId="57">
    <w:nsid w:val="77AE35EB"/>
    <w:multiLevelType w:val="hybridMultilevel"/>
    <w:lvl w:ilvl="0">
      <w:lvlJc w:val="left"/>
      <w:lvlText w:val="(%1)"/>
      <w:numFmt w:val="lowerRoman"/>
      <w:start w:val="1"/>
    </w:lvl>
  </w:abstractNum>
  <w:abstractNum w:abstractNumId="58">
    <w:nsid w:val="579BE4F1"/>
    <w:multiLevelType w:val="hybridMultilevel"/>
    <w:lvl w:ilvl="0">
      <w:lvlJc w:val="left"/>
      <w:lvlText w:val="(%1)"/>
      <w:numFmt w:val="decimal"/>
      <w:start w:val="6"/>
    </w:lvl>
  </w:abstractNum>
  <w:abstractNum w:abstractNumId="59">
    <w:nsid w:val="310C50B3"/>
    <w:multiLevelType w:val="hybridMultilevel"/>
    <w:lvl w:ilvl="0">
      <w:lvlJc w:val="left"/>
      <w:lvlText w:val="(%1)"/>
      <w:numFmt w:val="lowerLetter"/>
      <w:start w:val="10"/>
    </w:lvl>
  </w:abstractNum>
  <w:abstractNum w:abstractNumId="60">
    <w:nsid w:val="5FF87E05"/>
    <w:multiLevelType w:val="hybridMultilevel"/>
    <w:lvl w:ilvl="0">
      <w:lvlJc w:val="left"/>
      <w:lvlText w:val="%1."/>
      <w:numFmt w:val="upperLetter"/>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lowerRoman"/>
      <w:start w:val="4"/>
    </w:lvl>
  </w:abstractNum>
  <w:abstractNum w:abstractNumId="63">
    <w:nsid w:val="1DBABF00"/>
    <w:multiLevelType w:val="hybridMultilevel"/>
    <w:lvl w:ilvl="0">
      <w:lvlJc w:val="left"/>
      <w:lvlText w:val="%1."/>
      <w:numFmt w:val="decimal"/>
      <w:start w:val="2"/>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lowerRoman"/>
      <w:start w:val="1"/>
    </w:lvl>
  </w:abstractNum>
  <w:abstractNum w:abstractNumId="67">
    <w:nsid w:val="5DB70AE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2019-12-05T17:34:30Z</dcterms:created>
  <dcterms:modified xsi:type="dcterms:W3CDTF">2019-12-05T17:34:30Z</dcterms:modified>
</cp:coreProperties>
</file>